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C7" w:rsidRPr="00216AFA" w:rsidRDefault="004710C7" w:rsidP="004710C7">
      <w:pPr>
        <w:rPr>
          <w:sz w:val="2"/>
          <w:szCs w:val="2"/>
        </w:rPr>
      </w:pPr>
      <w:bookmarkStart w:id="0" w:name="_GoBack"/>
      <w:bookmarkEnd w:id="0"/>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4710C7" w:rsidRPr="00216AFA" w:rsidTr="00EE1CE9">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4710C7" w:rsidRPr="00216AFA" w:rsidRDefault="004710C7" w:rsidP="00EE1CE9">
            <w:pPr>
              <w:spacing w:after="160"/>
              <w:rPr>
                <w:rFonts w:ascii="Arial Narrow" w:hAnsi="Arial Narrow" w:cs="Arial Narrow"/>
                <w:sz w:val="32"/>
                <w:szCs w:val="32"/>
              </w:rPr>
            </w:pPr>
            <w:r w:rsidRPr="00216AFA">
              <w:rPr>
                <w:rFonts w:ascii="Arial Narrow" w:hAnsi="Arial Narrow"/>
                <w:b/>
                <w:sz w:val="32"/>
              </w:rPr>
              <w:t>Európsky parlament</w:t>
            </w:r>
          </w:p>
          <w:p w:rsidR="004710C7" w:rsidRPr="00216AFA" w:rsidRDefault="004710C7" w:rsidP="00EE1CE9">
            <w:pPr>
              <w:rPr>
                <w:rFonts w:ascii="Arial" w:hAnsi="Arial" w:cs="Arial"/>
                <w:sz w:val="20"/>
              </w:rPr>
            </w:pPr>
            <w:r w:rsidRPr="00216AFA">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4710C7" w:rsidRPr="00216AFA" w:rsidRDefault="004710C7" w:rsidP="00EE1CE9">
            <w:pPr>
              <w:spacing w:line="320" w:lineRule="atLeast"/>
              <w:jc w:val="right"/>
              <w:rPr>
                <w:szCs w:val="24"/>
              </w:rPr>
            </w:pPr>
            <w:r w:rsidRPr="00216AFA">
              <w:rPr>
                <w:noProof/>
                <w:lang w:val="en-GB"/>
              </w:rPr>
              <w:drawing>
                <wp:inline distT="0" distB="0" distL="0" distR="0" wp14:anchorId="3FF66E7C" wp14:editId="6BF95E24">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4710C7" w:rsidRPr="00216AFA" w:rsidTr="00EE1CE9">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4710C7" w:rsidRPr="00216AFA" w:rsidRDefault="004710C7" w:rsidP="00EE1CE9"/>
        </w:tc>
      </w:tr>
    </w:tbl>
    <w:p w:rsidR="004710C7" w:rsidRPr="00216AFA" w:rsidRDefault="004710C7" w:rsidP="004710C7">
      <w:pPr>
        <w:rPr>
          <w:rFonts w:ascii="Arial" w:hAnsi="Arial" w:cs="Arial"/>
          <w:sz w:val="20"/>
        </w:rPr>
      </w:pPr>
    </w:p>
    <w:p w:rsidR="004710C7" w:rsidRPr="00216AFA" w:rsidRDefault="004710C7" w:rsidP="004710C7">
      <w:pPr>
        <w:spacing w:after="120"/>
        <w:jc w:val="center"/>
        <w:rPr>
          <w:rFonts w:ascii="Arial" w:hAnsi="Arial" w:cs="Arial"/>
          <w:sz w:val="22"/>
          <w:szCs w:val="22"/>
        </w:rPr>
      </w:pPr>
      <w:r w:rsidRPr="00216AFA">
        <w:rPr>
          <w:rFonts w:ascii="Arial" w:hAnsi="Arial"/>
          <w:i/>
          <w:sz w:val="22"/>
        </w:rPr>
        <w:t>Výbor pre občianske slobody, spravodlivosť a vnútorné veci</w:t>
      </w:r>
    </w:p>
    <w:p w:rsidR="004710C7" w:rsidRPr="00216AFA" w:rsidRDefault="004710C7" w:rsidP="004710C7">
      <w:pPr>
        <w:rPr>
          <w:rFonts w:ascii="Arial" w:hAnsi="Arial" w:cs="Arial"/>
          <w:sz w:val="22"/>
          <w:szCs w:val="22"/>
        </w:rPr>
      </w:pPr>
    </w:p>
    <w:p w:rsidR="004710C7" w:rsidRPr="00216AFA" w:rsidRDefault="004710C7" w:rsidP="004710C7">
      <w:pPr>
        <w:spacing w:before="240" w:after="240" w:line="320" w:lineRule="atLeast"/>
        <w:jc w:val="center"/>
        <w:rPr>
          <w:rFonts w:ascii="Arial" w:hAnsi="Arial" w:cs="Arial"/>
          <w:szCs w:val="24"/>
        </w:rPr>
      </w:pPr>
      <w:r w:rsidRPr="00216AFA">
        <w:rPr>
          <w:noProof/>
          <w:lang w:val="en-GB"/>
        </w:rPr>
        <mc:AlternateContent>
          <mc:Choice Requires="wps">
            <w:drawing>
              <wp:anchor distT="0" distB="0" distL="114300" distR="114300" simplePos="0" relativeHeight="251659264" behindDoc="0" locked="0" layoutInCell="0" allowOverlap="1" wp14:anchorId="589D75C6" wp14:editId="2BBC1FF2">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74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4710C7" w:rsidRPr="00216AFA" w:rsidRDefault="004710C7" w:rsidP="004710C7">
      <w:pPr>
        <w:jc w:val="center"/>
        <w:rPr>
          <w:b/>
        </w:rPr>
      </w:pPr>
      <w:r w:rsidRPr="00216AFA">
        <w:rPr>
          <w:b/>
        </w:rPr>
        <w:t>Vymenovanie európskeho dozorného úradníka pre ochranu údajov na funkčné obdobie 2024 – 2029</w:t>
      </w:r>
    </w:p>
    <w:p w:rsidR="004710C7" w:rsidRPr="00216AFA" w:rsidRDefault="004710C7" w:rsidP="004710C7">
      <w:pPr>
        <w:jc w:val="center"/>
        <w:rPr>
          <w:b/>
        </w:rPr>
      </w:pPr>
      <w:r w:rsidRPr="00216AFA">
        <w:rPr>
          <w:b/>
        </w:rPr>
        <w:t>Vypočutie kandidátov 16. januára 2025 od 9.00 h do 10.30 h</w:t>
      </w:r>
    </w:p>
    <w:p w:rsidR="004710C7" w:rsidRPr="00216AFA" w:rsidRDefault="004710C7" w:rsidP="004710C7">
      <w:pPr>
        <w:jc w:val="center"/>
        <w:rPr>
          <w:b/>
        </w:rPr>
      </w:pPr>
      <w:r w:rsidRPr="00216AFA">
        <w:rPr>
          <w:b/>
        </w:rPr>
        <w:t>v Európskom parlamente</w:t>
      </w:r>
    </w:p>
    <w:p w:rsidR="004710C7" w:rsidRPr="00216AFA" w:rsidRDefault="004710C7" w:rsidP="004710C7">
      <w:pPr>
        <w:jc w:val="center"/>
        <w:rPr>
          <w:b/>
        </w:rPr>
      </w:pPr>
      <w:r w:rsidRPr="00216AFA">
        <w:rPr>
          <w:b/>
        </w:rPr>
        <w:t>v Bruseli</w:t>
      </w:r>
    </w:p>
    <w:p w:rsidR="004710C7" w:rsidRPr="00216AFA" w:rsidRDefault="004710C7" w:rsidP="004710C7"/>
    <w:p w:rsidR="004710C7" w:rsidRPr="00216AFA" w:rsidRDefault="004710C7" w:rsidP="004710C7"/>
    <w:p w:rsidR="004710C7" w:rsidRPr="00216AFA" w:rsidRDefault="004710C7" w:rsidP="004710C7">
      <w:pPr>
        <w:jc w:val="center"/>
      </w:pPr>
      <w:r w:rsidRPr="00216AFA">
        <w:t>Odpovede kandidáta Wojciecha WIEWIÓROWSKÉHO</w:t>
      </w:r>
    </w:p>
    <w:p w:rsidR="004710C7" w:rsidRPr="00216AFA" w:rsidRDefault="004710C7" w:rsidP="004710C7">
      <w:pPr>
        <w:rPr>
          <w:sz w:val="22"/>
          <w:szCs w:val="22"/>
        </w:rPr>
      </w:pPr>
    </w:p>
    <w:p w:rsidR="004710C7" w:rsidRPr="00216AFA" w:rsidRDefault="004710C7" w:rsidP="004710C7">
      <w:pPr>
        <w:rPr>
          <w:sz w:val="22"/>
          <w:szCs w:val="22"/>
        </w:rPr>
      </w:pPr>
    </w:p>
    <w:p w:rsidR="004710C7" w:rsidRPr="00216AFA" w:rsidRDefault="004710C7" w:rsidP="004710C7">
      <w:pPr>
        <w:rPr>
          <w:b/>
          <w:sz w:val="22"/>
          <w:szCs w:val="22"/>
        </w:rPr>
      </w:pPr>
      <w:r w:rsidRPr="00216AFA">
        <w:rPr>
          <w:b/>
          <w:sz w:val="22"/>
        </w:rPr>
        <w:t>1. Mohli by ste uviesť dôvody, prečo ste sa prihlásili na túto pozíciu a prečo si myslíte, že ste vhodným kandidátom?</w:t>
      </w:r>
    </w:p>
    <w:p w:rsidR="004710C7" w:rsidRPr="00216AFA" w:rsidRDefault="004710C7" w:rsidP="004710C7">
      <w:pPr>
        <w:rPr>
          <w:sz w:val="22"/>
          <w:szCs w:val="22"/>
        </w:rPr>
      </w:pPr>
    </w:p>
    <w:p w:rsidR="004710C7" w:rsidRPr="00216AFA" w:rsidRDefault="004710C7" w:rsidP="004710C7">
      <w:pPr>
        <w:jc w:val="both"/>
        <w:rPr>
          <w:sz w:val="22"/>
          <w:szCs w:val="22"/>
        </w:rPr>
      </w:pPr>
      <w:r w:rsidRPr="00216AFA">
        <w:rPr>
          <w:sz w:val="22"/>
        </w:rPr>
        <w:t>Pred viac ako desiatimi rokmi som sa predstavil Európskemu parlamentu ako kandidát na asistenta európskeho dozorného úradníka pre ochranu údajov. Pri zdôvodňovaní mojej kandidatúry som sa zameral na hodnoty, o ktoré sa opieral môj záväzok ochraňovať základné práva v EÚ. Vychádzal som z osobnej skúsenosti a pozorovania dôsledkov, ktoré môže mať nedodržiavanie princípov demokracie. Žil som v totalitnom režime, v ktorom zastrašujúci účinok policajného štátu a stanného práva znamenal, že osobná sloboda a dôstojnosť boli obmedzené a neboli samozrejmosťou.</w:t>
      </w:r>
    </w:p>
    <w:p w:rsidR="004710C7" w:rsidRPr="00216AFA" w:rsidRDefault="004710C7" w:rsidP="004710C7">
      <w:pPr>
        <w:jc w:val="both"/>
        <w:rPr>
          <w:sz w:val="16"/>
          <w:szCs w:val="16"/>
        </w:rPr>
      </w:pPr>
    </w:p>
    <w:p w:rsidR="004710C7" w:rsidRPr="00216AFA" w:rsidRDefault="004710C7" w:rsidP="004710C7">
      <w:pPr>
        <w:jc w:val="both"/>
        <w:rPr>
          <w:sz w:val="22"/>
          <w:szCs w:val="22"/>
        </w:rPr>
      </w:pPr>
      <w:r w:rsidRPr="00216AFA">
        <w:rPr>
          <w:sz w:val="22"/>
        </w:rPr>
        <w:t>Prešlo desať rokov a hodnoty, o ktoré sa opiera moja kandidatúra, sa nezmenili. Za uplynulých päť rok na pozícii európskeho dozorného úradníka pre ochranu údajov som z bezprostrednej blízkosti videl, aké dôležité je pri vedení tohto nezávislého orgánu klásť dôraz na dodržiavanie základných ľudských práv. Kríza spôsobená ochorením COVID-19 a nestabilná geopolitická situácia preverili náš záväzok chrániť súkromie a pripomenuli nám, že pravidlá ochrany údajov v EÚ existujú nielen preto, aby sa s jedincami zaobchádzalo spravodlivo a s rešpektom, ale slúžia tiež na podporu celkového európskeho verejného záujmu, najmä prostredníctvom budovania dôvery v integritu vnútorného trhu EÚ. Otázkami riadenia informácií sa zaoberám z akademického hľadiska už viac ako 25 rokov a takmer 20 rokov pracujem na uplatňovaní týchto zásad v praxi vo verejnej správe.</w:t>
      </w:r>
    </w:p>
    <w:p w:rsidR="004710C7" w:rsidRPr="00216AFA" w:rsidRDefault="004710C7" w:rsidP="004710C7">
      <w:pPr>
        <w:jc w:val="both"/>
        <w:rPr>
          <w:sz w:val="16"/>
          <w:szCs w:val="16"/>
        </w:rPr>
      </w:pPr>
    </w:p>
    <w:p w:rsidR="004710C7" w:rsidRPr="00216AFA" w:rsidRDefault="004710C7" w:rsidP="004710C7">
      <w:pPr>
        <w:jc w:val="both"/>
        <w:rPr>
          <w:sz w:val="22"/>
          <w:szCs w:val="22"/>
        </w:rPr>
      </w:pPr>
      <w:r w:rsidRPr="00216AFA">
        <w:rPr>
          <w:sz w:val="22"/>
        </w:rPr>
        <w:t>Za posledných päť rokov sa potvrdilo, že EDPS je vyspelou inštitúciou. Zabezpečil som rovnováhu medzi poskytovaním kritickej kontroly v situáciách, keď sa to od regulačného orgánu očakávalo, a naopak prijímaním kritickej kontroly mojej práce. Uznávam, že niekedy je úlohou regulátora osvetľovať nepopulárnu alebo problémovú stránku vecí a moje doterajšie výsledky ukazujú, že sa tejto úlohe – v prípade potreby – nevyhýbam. Vždy som bol otvorený a zostávam otvorený kritike konkrétnych rozhodnutí, ale cítim záväzok chrániť hodnoty, ktoré je EDPS poverený obhajovať. V tomto duchu sa uchádzam o druhý mandát, keďže pevne verím v právny štát a verím, že je nevyhnutné vážne sa zaoberať základnými zásadami právneho poriadku EÚ. Ide o zásadnú výzvu vzhľadom na blížiacu sa éru autonómnych agentov umelej inteligencie, v ktorej bude mať generatívna umelá inteligencia každodenné použitie, a vzhľadom na črtajúcu sa kvantovú výpočtovú techniku.</w:t>
      </w:r>
    </w:p>
    <w:p w:rsidR="004710C7" w:rsidRPr="00216AFA" w:rsidRDefault="004710C7" w:rsidP="004710C7">
      <w:pPr>
        <w:rPr>
          <w:sz w:val="16"/>
          <w:szCs w:val="16"/>
        </w:rPr>
      </w:pPr>
    </w:p>
    <w:p w:rsidR="004710C7" w:rsidRPr="00216AFA" w:rsidRDefault="004710C7" w:rsidP="004710C7">
      <w:pPr>
        <w:jc w:val="both"/>
        <w:rPr>
          <w:sz w:val="22"/>
          <w:szCs w:val="22"/>
        </w:rPr>
      </w:pPr>
      <w:r w:rsidRPr="00216AFA">
        <w:rPr>
          <w:sz w:val="22"/>
        </w:rPr>
        <w:lastRenderedPageBreak/>
        <w:t>Som pripravený poskytovať tomuto Parlamentu, ako aj ostatným inštitúciám Európskej únie informované a objektívne poradenstvo o tom, ako reagovať na najväčšie výzvy budúcich rokov vrátane vývoja a zavádzania systémov umelej inteligencie, biometrických údajov a rozpoznávania tváre, blockchainu, spracúvania neurodát, kvantovej výpočtovej techniky a šifrovacích techník. Zastávam názor, že žiadna z týchto výziev nie je vo všeobecnosti „nezlučiteľná“ so zásadami všeobecného nariadenia o ochrane údajov a že pre všetky z nich pravidlá ochrany údajov môžu, ba dokonca by mali poskytovať dôležité usmernenia.</w:t>
      </w:r>
    </w:p>
    <w:p w:rsidR="004710C7" w:rsidRPr="00216AFA" w:rsidRDefault="004710C7" w:rsidP="004710C7">
      <w:pPr>
        <w:rPr>
          <w:sz w:val="16"/>
          <w:szCs w:val="16"/>
        </w:rPr>
      </w:pPr>
    </w:p>
    <w:p w:rsidR="004710C7" w:rsidRPr="00216AFA" w:rsidRDefault="004710C7" w:rsidP="004710C7">
      <w:pPr>
        <w:jc w:val="both"/>
        <w:rPr>
          <w:sz w:val="22"/>
          <w:szCs w:val="22"/>
        </w:rPr>
      </w:pPr>
      <w:r w:rsidRPr="00216AFA">
        <w:rPr>
          <w:sz w:val="22"/>
        </w:rPr>
        <w:t>Túto funkciu som zastával aj počas celej prípravy aktov týkajúcich sa súboru digitálnych pravidiel (Digital Rulebook Acts) – od ich prvých návrhov až po ich konečné schválenie. Nadobudol som tak inštitucionálnu pamäť, vďaka ktorej rozumiem, ako legislatívny vývoj ovplyvňuje spracúvanie údajov a práv dotknutých osôb. Tieto znalosti sú rozhodujúce pre poskytovanie riadneho právneho poradenstva o vzťahu medzi súborom digitálnych pravidiel a všeobecným nariadením o ochrane údajov a nariadením 2018/1725. V ére rastúcej prepojenosti medzi rôznymi digitálnymi oblasťami som pripravený zabezpečiť, aby ústredným prvkom našich diskusií zostala debata o základných právach.</w:t>
      </w:r>
    </w:p>
    <w:p w:rsidR="004710C7" w:rsidRPr="00216AFA" w:rsidRDefault="004710C7" w:rsidP="004710C7">
      <w:pPr>
        <w:jc w:val="both"/>
        <w:rPr>
          <w:sz w:val="16"/>
          <w:szCs w:val="16"/>
        </w:rPr>
      </w:pPr>
    </w:p>
    <w:p w:rsidR="004710C7" w:rsidRPr="00216AFA" w:rsidRDefault="004710C7" w:rsidP="004710C7">
      <w:pPr>
        <w:jc w:val="both"/>
        <w:rPr>
          <w:sz w:val="22"/>
          <w:szCs w:val="22"/>
        </w:rPr>
      </w:pPr>
      <w:r w:rsidRPr="00216AFA">
        <w:rPr>
          <w:sz w:val="22"/>
        </w:rPr>
        <w:t>Tento záväzok dlžím nielen adresátom posudzujúcim moju profesijnú spôsobilosť, ale aj mojim dvom dospievajúcim dcéram, ktoré sú narodené v digitálnej ére 21. storočia a patria ku „generácii Z“ (a možno dokonca ku „generácii Alfa“). Som plne odhodlaný pripraviť pôdu pre ochranu údajov a súkromia pre budúce generácie a zabezpečiť, aby digitálna spoločnosť a hospodárstvo fungovali v záujme všetkých.</w:t>
      </w:r>
    </w:p>
    <w:p w:rsidR="004710C7" w:rsidRPr="00216AFA" w:rsidRDefault="004710C7" w:rsidP="004710C7">
      <w:pPr>
        <w:jc w:val="both"/>
        <w:rPr>
          <w:sz w:val="22"/>
          <w:szCs w:val="22"/>
        </w:rPr>
      </w:pPr>
    </w:p>
    <w:p w:rsidR="004710C7" w:rsidRPr="00216AFA" w:rsidRDefault="004710C7" w:rsidP="004710C7">
      <w:pPr>
        <w:rPr>
          <w:sz w:val="22"/>
          <w:szCs w:val="22"/>
        </w:rPr>
      </w:pPr>
    </w:p>
    <w:p w:rsidR="004710C7" w:rsidRPr="00216AFA" w:rsidRDefault="004710C7" w:rsidP="004710C7">
      <w:pPr>
        <w:rPr>
          <w:sz w:val="22"/>
          <w:szCs w:val="22"/>
        </w:rPr>
      </w:pPr>
      <w:r w:rsidRPr="00216AFA">
        <w:rPr>
          <w:b/>
          <w:sz w:val="22"/>
        </w:rPr>
        <w:t>2. Ako plánujete plniť úlohu, ktorá bola európskemu dozornému úradníkovi pre ochranu údajov právne pridelená?</w:t>
      </w:r>
    </w:p>
    <w:p w:rsidR="004710C7" w:rsidRPr="00216AFA" w:rsidRDefault="004710C7" w:rsidP="004710C7">
      <w:pPr>
        <w:rPr>
          <w:sz w:val="22"/>
          <w:szCs w:val="22"/>
        </w:rPr>
      </w:pPr>
    </w:p>
    <w:p w:rsidR="004710C7" w:rsidRPr="00216AFA" w:rsidRDefault="004710C7" w:rsidP="004710C7">
      <w:pPr>
        <w:pStyle w:val="Default"/>
        <w:jc w:val="both"/>
        <w:rPr>
          <w:sz w:val="22"/>
          <w:szCs w:val="22"/>
        </w:rPr>
      </w:pPr>
      <w:r w:rsidRPr="00216AFA">
        <w:rPr>
          <w:sz w:val="22"/>
        </w:rPr>
        <w:t xml:space="preserve">Pri plnení úlohy, ktorá bola EDPS právne pridelená, som rozhodnutý využiť široký rozsah mojich skúseností a čerpať inšpiráciu z akademických vedomostí a praktických odborných znalostí v oblasti podnikateľských činností, ktoré som nadobudol v minulosti. Podľa môjho názoru riešenie výziev a hľadanie odpovedí na ne si vyžaduje spojiť poznatky z kľúčových oblastí práva a informačných technológií s terajšími praktickými skúsenosťami s uplatňovaním týchto znalostí z pozície orgánu pre ochranu údajov – na vnútroštátnej úrovni aj v inštitúciách EÚ, ako aj so skúsenosťami z niekoľkoročného pôsobenia na medzinárodných fórach. </w:t>
      </w:r>
    </w:p>
    <w:p w:rsidR="004710C7" w:rsidRPr="00216AFA" w:rsidRDefault="004710C7" w:rsidP="004710C7">
      <w:pPr>
        <w:pStyle w:val="Default"/>
        <w:jc w:val="both"/>
        <w:rPr>
          <w:sz w:val="16"/>
          <w:szCs w:val="16"/>
        </w:rPr>
      </w:pPr>
    </w:p>
    <w:p w:rsidR="004710C7" w:rsidRPr="00216AFA" w:rsidRDefault="004710C7" w:rsidP="004710C7">
      <w:pPr>
        <w:pStyle w:val="Default"/>
        <w:jc w:val="both"/>
        <w:rPr>
          <w:sz w:val="22"/>
          <w:szCs w:val="22"/>
        </w:rPr>
      </w:pPr>
      <w:r w:rsidRPr="00216AFA">
        <w:rPr>
          <w:sz w:val="22"/>
        </w:rPr>
        <w:t xml:space="preserve">Moje pracovné motto má svoj pôvod vo „filozofickom vyhlásení“ Európskej asociácie študentov práva (v ktorej som pôsobil pred 30 rokmi): </w:t>
      </w:r>
      <w:r w:rsidRPr="00216AFA">
        <w:rPr>
          <w:b/>
          <w:i/>
          <w:sz w:val="22"/>
        </w:rPr>
        <w:t>„Spravodlivý svet, v ktorom sa rešpektuje ľudská dôstojnosť a kultúrna rozmanitosť“.</w:t>
      </w:r>
      <w:r w:rsidRPr="00216AFA">
        <w:rPr>
          <w:sz w:val="22"/>
        </w:rPr>
        <w:t xml:space="preserve"> Nejde tu len o vyjadrenie romantickej idey. Išlo o hnaciu silu všetkých mojich činností: od mojich počiatočných skúseností v súkromnom sektore a na akademickej pôde až po moju službu vo verejnej správe na vnútroštátnej aj európskej úrovni. Táto vízia je tiež zdrojom mojej viery v európsky projekt. Preto pevne verím, že úlohou EDPS je v konečnom dôsledku prispievať k budovaniu spravodlivého sveta. Zásada právneho štátu a ľudská dôstojnosť by mali byť stredobodom záujmu a mali by sme mať vždy na zreteli, že nechránime údaje, ale človeka, ktorého sa tieto údaje týkajú. Okrem toho by sme mali pri hľadaní globálnych riešení v oblasti ochrany súkromia rešpektovať kultúrnu rozmanitosť Európanov, ako aj zohľadňovať kultúrne a právne rozdiely. Táto hybná sila a toto chápanie úlohy EDPS sa bude odzrkadľovať vo všetkých našich činnostiach: v dohľade nad viac ako 70 inštitúciami a orgánmi Únie, v poradenstve, ktoré poskytujeme spoluzákonodarcom Únie a Komisii k návrhom právnych predpisov a v našich nových úlohách podľa aktu o umelej inteligencii. </w:t>
      </w:r>
    </w:p>
    <w:p w:rsidR="004710C7" w:rsidRPr="00216AFA" w:rsidRDefault="004710C7" w:rsidP="004710C7">
      <w:pPr>
        <w:pStyle w:val="Default"/>
        <w:jc w:val="both"/>
        <w:rPr>
          <w:sz w:val="16"/>
          <w:szCs w:val="16"/>
        </w:rPr>
      </w:pPr>
    </w:p>
    <w:p w:rsidR="004710C7" w:rsidRPr="00216AFA" w:rsidRDefault="004710C7" w:rsidP="004710C7">
      <w:pPr>
        <w:pStyle w:val="Default"/>
        <w:jc w:val="both"/>
        <w:rPr>
          <w:color w:val="212121"/>
          <w:sz w:val="22"/>
          <w:szCs w:val="22"/>
        </w:rPr>
      </w:pPr>
      <w:r w:rsidRPr="00216AFA">
        <w:rPr>
          <w:sz w:val="22"/>
        </w:rPr>
        <w:t xml:space="preserve">Moje skúsenosti s krízou spôsobenou ochorením COVID-19 a s ruskou inváziou na Ukrajinu svedčia o tom, </w:t>
      </w:r>
      <w:r w:rsidRPr="00216AFA">
        <w:rPr>
          <w:color w:val="212121"/>
          <w:sz w:val="22"/>
        </w:rPr>
        <w:t xml:space="preserve">že ochrana údajov môže fungovať, pomáhať nám a umožňovať účinne reagovať na krízu. Som pevne presvedčený, že môžeme stavať na pozitívnych príkladoch dosiahnutých riešení, ktoré chránia súkromie. Zastávam názor, že EDPS zohrával významnú úlohu pri formovaní vývoja, ako sú interoperabilné COVID pasy a aplikácie. </w:t>
      </w:r>
      <w:r w:rsidRPr="00216AFA">
        <w:rPr>
          <w:b/>
          <w:color w:val="212121"/>
          <w:sz w:val="22"/>
        </w:rPr>
        <w:t>Som</w:t>
      </w:r>
      <w:r w:rsidRPr="00216AFA">
        <w:rPr>
          <w:color w:val="212121"/>
          <w:sz w:val="22"/>
        </w:rPr>
        <w:t xml:space="preserve"> tiež </w:t>
      </w:r>
      <w:r w:rsidRPr="00216AFA">
        <w:rPr>
          <w:b/>
          <w:color w:val="212121"/>
          <w:sz w:val="22"/>
        </w:rPr>
        <w:t>hrdý na úlohu EDPS</w:t>
      </w:r>
      <w:r w:rsidRPr="00216AFA">
        <w:rPr>
          <w:color w:val="212121"/>
          <w:sz w:val="22"/>
        </w:rPr>
        <w:t xml:space="preserve">, ktorú zastával pri zriaďovaní databáz Eurojustu týkajúcich sa vojnových zločinov. </w:t>
      </w:r>
    </w:p>
    <w:p w:rsidR="004710C7" w:rsidRPr="00216AFA" w:rsidRDefault="004710C7" w:rsidP="004710C7">
      <w:pPr>
        <w:pStyle w:val="Default"/>
        <w:rPr>
          <w:color w:val="212121"/>
          <w:sz w:val="16"/>
          <w:szCs w:val="16"/>
        </w:rPr>
      </w:pPr>
    </w:p>
    <w:p w:rsidR="004710C7" w:rsidRPr="00216AFA" w:rsidRDefault="004710C7" w:rsidP="004710C7">
      <w:pPr>
        <w:pStyle w:val="Default"/>
        <w:jc w:val="both"/>
        <w:rPr>
          <w:color w:val="212121"/>
          <w:sz w:val="22"/>
          <w:szCs w:val="22"/>
        </w:rPr>
      </w:pPr>
      <w:r w:rsidRPr="00216AFA">
        <w:rPr>
          <w:color w:val="212121"/>
          <w:sz w:val="22"/>
        </w:rPr>
        <w:lastRenderedPageBreak/>
        <w:t xml:space="preserve">EDPS by mal zachovať a presadzovať najvyššiu možnú nezávislosť orgánu na ochranu údajov a tým zabezpečiť politickú neutrálnosť tejto inštitúcie. Úplná nezávislosť je jediným spôsobom, ako zaručiť výklad článkov 7 a 8 Charty základných práv v súlade s európskymi hodnotami a ideami. Zároveň však uznávam, že je potrebné zachovať pružnosť, no nie vo vzťahu k samotným základným právam, ale v spôsobe, akým sa uplatňujú v práve a politike Únie. </w:t>
      </w:r>
    </w:p>
    <w:p w:rsidR="004710C7" w:rsidRPr="00216AFA" w:rsidRDefault="004710C7" w:rsidP="004710C7">
      <w:pPr>
        <w:pStyle w:val="Default"/>
        <w:jc w:val="both"/>
        <w:rPr>
          <w:color w:val="212121"/>
          <w:sz w:val="16"/>
          <w:szCs w:val="16"/>
        </w:rPr>
      </w:pPr>
    </w:p>
    <w:p w:rsidR="004710C7" w:rsidRPr="00216AFA" w:rsidRDefault="004710C7" w:rsidP="004710C7">
      <w:pPr>
        <w:pStyle w:val="Default"/>
        <w:jc w:val="both"/>
        <w:rPr>
          <w:color w:val="212121"/>
          <w:sz w:val="22"/>
          <w:szCs w:val="22"/>
        </w:rPr>
      </w:pPr>
      <w:r w:rsidRPr="00216AFA">
        <w:rPr>
          <w:color w:val="212121"/>
          <w:sz w:val="22"/>
        </w:rPr>
        <w:t xml:space="preserve">Hoci vždy zdôrazňujem, že EDPS nie je politickým orgánom, nemôžeme ignorovať geopolitickú realitu a musíme vedieť, </w:t>
      </w:r>
      <w:r w:rsidRPr="00216AFA">
        <w:rPr>
          <w:b/>
          <w:color w:val="212121"/>
          <w:sz w:val="22"/>
        </w:rPr>
        <w:t>ako spolupracovať s podobne zmýšľajúcimi demokratickými krajinami</w:t>
      </w:r>
      <w:r w:rsidRPr="00216AFA">
        <w:rPr>
          <w:color w:val="212121"/>
          <w:sz w:val="22"/>
        </w:rPr>
        <w:t xml:space="preserve"> a ako úspešne spolupracovať v celosvetovom meradle, napríklad v rámci OECD a G7, kde spoločné vyhlásenia svedčia o záväzkoch, ktoré je Európa pripravená prijať. </w:t>
      </w:r>
    </w:p>
    <w:p w:rsidR="004710C7" w:rsidRPr="00216AFA" w:rsidRDefault="004710C7" w:rsidP="004710C7">
      <w:pPr>
        <w:pStyle w:val="Default"/>
        <w:rPr>
          <w:color w:val="212121"/>
          <w:sz w:val="16"/>
          <w:szCs w:val="16"/>
        </w:rPr>
      </w:pPr>
    </w:p>
    <w:p w:rsidR="004710C7" w:rsidRPr="00216AFA" w:rsidRDefault="004710C7" w:rsidP="004710C7">
      <w:pPr>
        <w:pStyle w:val="Default"/>
        <w:jc w:val="both"/>
        <w:rPr>
          <w:color w:val="212121"/>
          <w:sz w:val="22"/>
          <w:szCs w:val="22"/>
        </w:rPr>
      </w:pPr>
      <w:r w:rsidRPr="00216AFA">
        <w:rPr>
          <w:b/>
          <w:color w:val="212121"/>
          <w:sz w:val="22"/>
        </w:rPr>
        <w:t>Európska administratíva, ktorú budujeme, by mala byť inteligentná a inovatívna.</w:t>
      </w:r>
      <w:r w:rsidRPr="00216AFA">
        <w:rPr>
          <w:color w:val="212121"/>
          <w:sz w:val="22"/>
        </w:rPr>
        <w:t xml:space="preserve"> Mala by byť schopná prispôsobiť sa novým technológiám a obchodným modelom a používať ich na inteligentnejšiu a modernejšiu ochranu údajov. Takisto sa zasadzujem o inteligentnejší orgán EDPS, ktorý bude plne využívať najnovšie technológie vrátane umelej inteligencie. Som pripravený vypočuť si široké spektrum zainteresovaných strán z priemyslu, občianskej spoločnosti a akademickej obce, pokiaľ ide o najlepšie a najhoršie postupy pri používaní osobných údajov, budovaní progresívnej a dynamickej kultúry riadenia a oceňovaní a rozvíjaní rozmanitých talentov ľudí, ktorí pracujú pre tento orgán. Viem, že zamestnanci EDPS sú jedným z najcennejších pokladov, ktoré mám k dispozícii, a preto s veľkým záujmom načúvam interným hlasom inštitúcie. V našom poslednom strednodobom preskúmaní stratégie sme sa dôrazne pokúsili ukázať, že mne, ako aj EDPS záleží na tom, čo si zamestnanci myslia. </w:t>
      </w:r>
    </w:p>
    <w:p w:rsidR="004710C7" w:rsidRPr="00216AFA" w:rsidRDefault="004710C7" w:rsidP="004710C7">
      <w:pPr>
        <w:pStyle w:val="Default"/>
        <w:jc w:val="both"/>
        <w:rPr>
          <w:color w:val="212121"/>
          <w:sz w:val="16"/>
          <w:szCs w:val="16"/>
        </w:rPr>
      </w:pPr>
    </w:p>
    <w:p w:rsidR="004710C7" w:rsidRPr="00216AFA" w:rsidRDefault="004710C7" w:rsidP="004710C7">
      <w:pPr>
        <w:jc w:val="both"/>
        <w:rPr>
          <w:sz w:val="22"/>
          <w:szCs w:val="22"/>
        </w:rPr>
      </w:pPr>
      <w:r w:rsidRPr="00216AFA">
        <w:rPr>
          <w:color w:val="212121"/>
          <w:sz w:val="22"/>
        </w:rPr>
        <w:t>Nariadením 2018/1725 sa EDPS udeľuje silný súbor právomocí nielen na presadzovanie zodpovedných postupov pri spracúvaní údajov v súlade so zásadou zodpovednosti, ale aj na zapojenie a vzdelávanie orgánov EÚ v tejto oblasti. Tieto kompetencie využijem v plnom rozsahu, odvážne a nestranne, pričom sa jasne zameriam na to, aby sa dosiahol najlepší možný výsledok na ochranu jednotlivcov, čo je dôvod, pre ktorý bol EDPS vytvorený.</w:t>
      </w:r>
    </w:p>
    <w:p w:rsidR="004710C7" w:rsidRPr="00216AFA" w:rsidRDefault="004710C7" w:rsidP="004710C7">
      <w:pPr>
        <w:rPr>
          <w:sz w:val="22"/>
          <w:szCs w:val="22"/>
        </w:rPr>
      </w:pPr>
    </w:p>
    <w:p w:rsidR="004710C7" w:rsidRPr="00216AFA" w:rsidRDefault="004710C7" w:rsidP="004710C7">
      <w:pPr>
        <w:rPr>
          <w:b/>
          <w:sz w:val="22"/>
          <w:szCs w:val="22"/>
        </w:rPr>
      </w:pPr>
      <w:r w:rsidRPr="00216AFA">
        <w:rPr>
          <w:b/>
          <w:sz w:val="22"/>
        </w:rPr>
        <w:t>3. Mohli by ste rozviesť, ako si predstavujete budúcnosť orgánu, ktorý by ste vo funkcii európskeho dozorného úradníka pre ochranu údajov viedli, s akými možnými výzvami pritom počítate a na ktoré priority by sa podľa Vás mal tento nezávislý orgán sústrediť?</w:t>
      </w:r>
    </w:p>
    <w:p w:rsidR="004710C7" w:rsidRPr="00216AFA" w:rsidRDefault="004710C7" w:rsidP="004710C7">
      <w:pPr>
        <w:rPr>
          <w:sz w:val="22"/>
          <w:szCs w:val="22"/>
        </w:rPr>
      </w:pPr>
    </w:p>
    <w:p w:rsidR="004710C7" w:rsidRPr="00216AFA" w:rsidRDefault="004710C7" w:rsidP="004710C7">
      <w:pPr>
        <w:pStyle w:val="Default"/>
        <w:jc w:val="both"/>
        <w:rPr>
          <w:color w:val="212121"/>
          <w:sz w:val="22"/>
          <w:szCs w:val="22"/>
        </w:rPr>
      </w:pPr>
      <w:r w:rsidRPr="00216AFA">
        <w:rPr>
          <w:color w:val="212121"/>
          <w:sz w:val="22"/>
        </w:rPr>
        <w:t xml:space="preserve">V budúcnosti vidím </w:t>
      </w:r>
      <w:r w:rsidRPr="00216AFA">
        <w:rPr>
          <w:b/>
          <w:color w:val="212121"/>
          <w:sz w:val="22"/>
        </w:rPr>
        <w:t>EDPS ako pružný a proaktívny orgán</w:t>
      </w:r>
      <w:r w:rsidRPr="00216AFA">
        <w:rPr>
          <w:color w:val="212121"/>
          <w:sz w:val="22"/>
        </w:rPr>
        <w:t xml:space="preserve">. </w:t>
      </w:r>
    </w:p>
    <w:p w:rsidR="004710C7" w:rsidRPr="00216AFA" w:rsidRDefault="004710C7" w:rsidP="004710C7">
      <w:pPr>
        <w:pStyle w:val="Default"/>
        <w:jc w:val="both"/>
        <w:rPr>
          <w:sz w:val="16"/>
          <w:szCs w:val="16"/>
        </w:rPr>
      </w:pPr>
    </w:p>
    <w:p w:rsidR="004710C7" w:rsidRPr="00216AFA" w:rsidRDefault="004710C7" w:rsidP="004710C7">
      <w:pPr>
        <w:pStyle w:val="Default"/>
        <w:jc w:val="both"/>
        <w:rPr>
          <w:color w:val="212121"/>
          <w:sz w:val="22"/>
          <w:szCs w:val="22"/>
        </w:rPr>
      </w:pPr>
      <w:r w:rsidRPr="00216AFA">
        <w:rPr>
          <w:color w:val="212121"/>
          <w:sz w:val="22"/>
        </w:rPr>
        <w:t xml:space="preserve">Nepredpokladám, že v blízkej budúcnosti bude zriadený „jednotný európsky digitálny orgán“. Rôzne očakávania od príslušných orgánov viedli k tomu, že európski zákonodarcovia vytvorili množstvo nariadení s vlastnými modelmi riadenia a komplexnou štruktúrou interakcií. Ide skutočne o jednu z výziev, ktoré EDPS predpovedal vo svojich legislatívnych stanoviskách vďaka tomu, že bol jedným z prvých, kto presadzoval a požadoval koherentnosť. </w:t>
      </w:r>
    </w:p>
    <w:p w:rsidR="004710C7" w:rsidRPr="00216AFA" w:rsidRDefault="004710C7" w:rsidP="004710C7">
      <w:pPr>
        <w:pStyle w:val="Default"/>
        <w:jc w:val="both"/>
        <w:rPr>
          <w:color w:val="212121"/>
          <w:sz w:val="22"/>
          <w:szCs w:val="22"/>
        </w:rPr>
      </w:pPr>
    </w:p>
    <w:p w:rsidR="004710C7" w:rsidRPr="00216AFA" w:rsidRDefault="004710C7" w:rsidP="004710C7">
      <w:pPr>
        <w:pStyle w:val="Default"/>
        <w:jc w:val="both"/>
        <w:rPr>
          <w:color w:val="212121"/>
          <w:sz w:val="22"/>
          <w:szCs w:val="22"/>
        </w:rPr>
      </w:pPr>
      <w:r w:rsidRPr="00216AFA">
        <w:rPr>
          <w:color w:val="212121"/>
          <w:sz w:val="22"/>
        </w:rPr>
        <w:t xml:space="preserve">Avšak pri zohľadnení viacerých úloh, ktoré EDPS plní v súlade s právnymi predpismi, t. j., že je zároveň </w:t>
      </w:r>
    </w:p>
    <w:p w:rsidR="004710C7" w:rsidRPr="00216AFA" w:rsidRDefault="004710C7" w:rsidP="004710C7">
      <w:pPr>
        <w:pStyle w:val="Default"/>
        <w:jc w:val="both"/>
        <w:rPr>
          <w:color w:val="212121"/>
          <w:sz w:val="16"/>
          <w:szCs w:val="16"/>
        </w:rPr>
      </w:pPr>
    </w:p>
    <w:p w:rsidR="004710C7" w:rsidRPr="00216AFA" w:rsidRDefault="004710C7" w:rsidP="004710C7">
      <w:pPr>
        <w:pStyle w:val="Default"/>
        <w:spacing w:after="23"/>
        <w:jc w:val="both"/>
        <w:rPr>
          <w:color w:val="212121"/>
          <w:sz w:val="22"/>
          <w:szCs w:val="22"/>
        </w:rPr>
      </w:pPr>
      <w:r w:rsidRPr="00216AFA">
        <w:rPr>
          <w:color w:val="212121"/>
          <w:sz w:val="22"/>
        </w:rPr>
        <w:t xml:space="preserve">1) dozorným orgánom (jediným skutočne nezávislým regulačným orgánom pre inštitúcie, orgány a agentúry EÚ), </w:t>
      </w:r>
    </w:p>
    <w:p w:rsidR="004710C7" w:rsidRPr="00216AFA" w:rsidRDefault="004710C7" w:rsidP="004710C7">
      <w:pPr>
        <w:pStyle w:val="Default"/>
        <w:spacing w:after="23"/>
        <w:jc w:val="both"/>
        <w:rPr>
          <w:color w:val="212121"/>
          <w:sz w:val="22"/>
          <w:szCs w:val="22"/>
        </w:rPr>
      </w:pPr>
      <w:r w:rsidRPr="00216AFA">
        <w:rPr>
          <w:color w:val="212121"/>
          <w:sz w:val="22"/>
        </w:rPr>
        <w:t xml:space="preserve">2) poradným orgánom (v legislatívnom procese), </w:t>
      </w:r>
    </w:p>
    <w:p w:rsidR="004710C7" w:rsidRPr="00216AFA" w:rsidRDefault="004710C7" w:rsidP="004710C7">
      <w:pPr>
        <w:pStyle w:val="Default"/>
        <w:spacing w:after="23"/>
        <w:jc w:val="both"/>
        <w:rPr>
          <w:color w:val="212121"/>
          <w:sz w:val="22"/>
          <w:szCs w:val="22"/>
        </w:rPr>
      </w:pPr>
      <w:r w:rsidRPr="00216AFA">
        <w:rPr>
          <w:color w:val="212121"/>
          <w:sz w:val="22"/>
        </w:rPr>
        <w:t xml:space="preserve">3) poskytovateľom služieb (poskytovateľom sekretariátu EDPB) a tiež </w:t>
      </w:r>
    </w:p>
    <w:p w:rsidR="004710C7" w:rsidRPr="00216AFA" w:rsidRDefault="004710C7" w:rsidP="004710C7">
      <w:pPr>
        <w:pStyle w:val="Default"/>
        <w:jc w:val="both"/>
        <w:rPr>
          <w:color w:val="212121"/>
          <w:sz w:val="22"/>
          <w:szCs w:val="22"/>
        </w:rPr>
      </w:pPr>
      <w:r w:rsidRPr="00216AFA">
        <w:rPr>
          <w:color w:val="212121"/>
          <w:sz w:val="22"/>
        </w:rPr>
        <w:t xml:space="preserve">4) orgánom dohľadu nad trhom (v súlade s aktom o AI), </w:t>
      </w:r>
    </w:p>
    <w:p w:rsidR="004710C7" w:rsidRPr="00216AFA" w:rsidRDefault="004710C7" w:rsidP="004710C7">
      <w:pPr>
        <w:pStyle w:val="Default"/>
        <w:jc w:val="both"/>
        <w:rPr>
          <w:color w:val="212121"/>
          <w:sz w:val="16"/>
          <w:szCs w:val="16"/>
        </w:rPr>
      </w:pPr>
    </w:p>
    <w:p w:rsidR="004710C7" w:rsidRPr="00216AFA" w:rsidRDefault="004710C7" w:rsidP="004710C7">
      <w:pPr>
        <w:pStyle w:val="Default"/>
        <w:jc w:val="both"/>
        <w:rPr>
          <w:color w:val="212121"/>
          <w:sz w:val="22"/>
          <w:szCs w:val="22"/>
        </w:rPr>
      </w:pPr>
      <w:r w:rsidRPr="00216AFA">
        <w:rPr>
          <w:color w:val="212121"/>
          <w:sz w:val="22"/>
        </w:rPr>
        <w:t xml:space="preserve">môžeme konštatovať, že </w:t>
      </w:r>
      <w:r w:rsidRPr="00216AFA">
        <w:rPr>
          <w:b/>
          <w:color w:val="212121"/>
          <w:sz w:val="22"/>
        </w:rPr>
        <w:t>EDPS má jedinečné postavenie</w:t>
      </w:r>
      <w:r w:rsidRPr="00216AFA">
        <w:rPr>
          <w:color w:val="212121"/>
          <w:sz w:val="22"/>
        </w:rPr>
        <w:t xml:space="preserve"> na to, aby sa postaral o informačné toky a slúžil ako centrum návrhov zabezpečujúce ich včlenenie do nedávno vypracovaného viacvrstvového regulačného rámca. Úlohu EDPS vidím v spojení jeho hlavných činností s účasťou v Európskom výbore pre ochranu údajov, v Európskom dátovom inovačnom výbore, v Rade pre umelú inteligenciu, v Medziinštitucionálnej rade pre kybernetickú bezpečnosť a v skupine na vysokej úrovni pre akt o digitálnych trhoch. Som pripravený doplniť k úlohám EDPS nedávno ohlásené vedenie siete pre výmenu informácií o digitálnom prostredí (Digital Clearinghouse 2.0) a tým dostať regulačné orgány za jeden stôl. Ide o neoddeliteľnú súčasť mojej vízie EDPS ako proaktívneho orgánu, pretože som si vedomý toho, že je potrebné, aby sme konali jednotne v čase, keď sa Európa nachádza pod drobnohľadom a je vystavená kritike za údajný nedostatok inovácií. Jednoducho, ale pevne verím, že inovácie a základné práva môžu ísť ruka v ruke. </w:t>
      </w:r>
    </w:p>
    <w:p w:rsidR="004710C7" w:rsidRPr="00216AFA" w:rsidRDefault="004710C7" w:rsidP="004710C7">
      <w:pPr>
        <w:pStyle w:val="Default"/>
        <w:jc w:val="both"/>
        <w:rPr>
          <w:color w:val="212121"/>
          <w:sz w:val="16"/>
          <w:szCs w:val="16"/>
        </w:rPr>
      </w:pPr>
    </w:p>
    <w:p w:rsidR="004710C7" w:rsidRPr="00216AFA" w:rsidRDefault="004710C7" w:rsidP="004710C7">
      <w:pPr>
        <w:pStyle w:val="Default"/>
        <w:jc w:val="both"/>
        <w:rPr>
          <w:color w:val="212121"/>
          <w:sz w:val="22"/>
          <w:szCs w:val="22"/>
        </w:rPr>
      </w:pPr>
      <w:r w:rsidRPr="00216AFA">
        <w:rPr>
          <w:color w:val="212121"/>
          <w:sz w:val="22"/>
        </w:rPr>
        <w:t xml:space="preserve">Vzhľadom na všetky tieto skutočnosti môžem bez obáv povedať, že sa budem </w:t>
      </w:r>
      <w:r w:rsidRPr="00216AFA">
        <w:rPr>
          <w:b/>
          <w:color w:val="212121"/>
          <w:sz w:val="22"/>
        </w:rPr>
        <w:t>prioritne zaoberať diskusiou o umelej inteligencii.</w:t>
      </w:r>
      <w:r w:rsidRPr="00216AFA">
        <w:rPr>
          <w:color w:val="212121"/>
          <w:sz w:val="22"/>
        </w:rPr>
        <w:t xml:space="preserve"> Som si istý, že inštitúcie EÚ budú v najbližšej budúcnosti potrebovať usmernenia o tom, ako môže Európa zohrávať vedúcu úlohu pri zaisťovaní bezpečného zavádzania umelej inteligencie v rôznych odvetviach. EDPS už vykonáva tieto činnosti v súvislosti s problematikami, ktoré obsahuje jeho prognóza </w:t>
      </w:r>
      <w:r w:rsidRPr="00216AFA">
        <w:rPr>
          <w:i/>
          <w:color w:val="212121"/>
          <w:sz w:val="22"/>
        </w:rPr>
        <w:t>TechSonar</w:t>
      </w:r>
      <w:r w:rsidRPr="00216AFA">
        <w:rPr>
          <w:color w:val="212121"/>
          <w:sz w:val="22"/>
        </w:rPr>
        <w:t xml:space="preserve"> na rok 2025, ako je generovanie rozšírené o vyhľadávanie v overených externých údajoch (RAG – retrieval-augmented generation), vstavaná umelá inteligencia (on-device AI), odstraňovanie dát z jazykových modelov (machine unlearning), multimodálna umelá inteligencia, škálovateľný dohľad a neuro-symbolická umelá inteligencia. </w:t>
      </w:r>
    </w:p>
    <w:p w:rsidR="004710C7" w:rsidRPr="00216AFA" w:rsidRDefault="004710C7" w:rsidP="004710C7">
      <w:pPr>
        <w:pStyle w:val="Default"/>
        <w:jc w:val="both"/>
        <w:rPr>
          <w:color w:val="212121"/>
          <w:sz w:val="16"/>
          <w:szCs w:val="16"/>
        </w:rPr>
      </w:pPr>
    </w:p>
    <w:p w:rsidR="004710C7" w:rsidRPr="00216AFA" w:rsidRDefault="004710C7" w:rsidP="004710C7">
      <w:pPr>
        <w:jc w:val="both"/>
        <w:rPr>
          <w:sz w:val="22"/>
          <w:szCs w:val="22"/>
        </w:rPr>
      </w:pPr>
      <w:r w:rsidRPr="00216AFA">
        <w:rPr>
          <w:color w:val="212121"/>
          <w:sz w:val="22"/>
        </w:rPr>
        <w:t>Praktické stanoviská EDPS sa budú opierať o výsledky, ktoré dosiahli moji predchodcovia, a o výsledky, ktoré sme dosiahli počas môjho prvého mandátu. V tomto zmysle</w:t>
      </w:r>
      <w:r w:rsidRPr="00216AFA">
        <w:rPr>
          <w:b/>
          <w:color w:val="212121"/>
          <w:sz w:val="22"/>
        </w:rPr>
        <w:t xml:space="preserve"> navrhujem určitú kontinuitu, nesmieme však zaspať na vavrínoch</w:t>
      </w:r>
      <w:r w:rsidRPr="00216AFA">
        <w:rPr>
          <w:color w:val="212121"/>
          <w:sz w:val="22"/>
        </w:rPr>
        <w:t>. Som si vedomý, že EDPS zohráva v rámci Európskeho výboru pre ochranu údajov (EDPB) osobitnú úlohu, a to ako jeho člen aj ako subjekt zabezpečujúci jeho sekretariát, čo zahŕňa aj zabezpečenie toho, aby všeobecné nariadenie o ochrane údajov v nasledujúcich piatich rokoch prinieslo skutočné zmeny. Popri podpore predsedu EDPB prvotriednymi úradníkmi a vybavením urobím všetko, čo je v mojej kompetencii, aby som EDPB pomohol uspieť pri dosahovaní konzistentného a spoľahlivého presadzovania všeobecného nariadenia o ochrane údajov v celej EÚ.</w:t>
      </w:r>
    </w:p>
    <w:p w:rsidR="00006052" w:rsidRPr="00216AFA" w:rsidRDefault="00006052"/>
    <w:sectPr w:rsidR="00006052" w:rsidRPr="00216AFA" w:rsidSect="00216AF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EF" w:rsidRPr="00216AFA" w:rsidRDefault="004F35EF">
      <w:r w:rsidRPr="00216AFA">
        <w:separator/>
      </w:r>
    </w:p>
  </w:endnote>
  <w:endnote w:type="continuationSeparator" w:id="0">
    <w:p w:rsidR="004F35EF" w:rsidRPr="00216AFA" w:rsidRDefault="004F35EF">
      <w:r w:rsidRPr="00216A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FA" w:rsidRPr="00216AFA" w:rsidRDefault="00216AFA" w:rsidP="00216AFA">
    <w:pPr>
      <w:pStyle w:val="EPFooter"/>
    </w:pPr>
    <w:r w:rsidRPr="00216AFA">
      <w:t>PE</w:t>
    </w:r>
    <w:r w:rsidRPr="00216AFA">
      <w:rPr>
        <w:rStyle w:val="HideTWBExt"/>
      </w:rPr>
      <w:t>&lt;NoPE&gt;</w:t>
    </w:r>
    <w:r w:rsidRPr="00216AFA">
      <w:t>766.743</w:t>
    </w:r>
    <w:r w:rsidRPr="00216AFA">
      <w:rPr>
        <w:rStyle w:val="HideTWBExt"/>
      </w:rPr>
      <w:t>&lt;/NoPE&gt;</w:t>
    </w:r>
    <w:r w:rsidRPr="00216AFA">
      <w:tab/>
    </w:r>
    <w:r w:rsidRPr="00216AFA">
      <w:fldChar w:fldCharType="begin"/>
    </w:r>
    <w:r w:rsidRPr="00216AFA">
      <w:instrText xml:space="preserve"> PAGE  \* MERGEFORMAT </w:instrText>
    </w:r>
    <w:r w:rsidRPr="00216AFA">
      <w:fldChar w:fldCharType="separate"/>
    </w:r>
    <w:r w:rsidR="007E51E8">
      <w:rPr>
        <w:noProof/>
      </w:rPr>
      <w:t>2</w:t>
    </w:r>
    <w:r w:rsidRPr="00216AFA">
      <w:fldChar w:fldCharType="end"/>
    </w:r>
    <w:r w:rsidRPr="00216AFA">
      <w:t>/</w:t>
    </w:r>
    <w:r w:rsidR="007E51E8">
      <w:fldChar w:fldCharType="begin"/>
    </w:r>
    <w:r w:rsidR="007E51E8">
      <w:instrText xml:space="preserve"> NUMPAGES  \* MERGEFORMAT </w:instrText>
    </w:r>
    <w:r w:rsidR="007E51E8">
      <w:fldChar w:fldCharType="separate"/>
    </w:r>
    <w:r w:rsidR="007E51E8">
      <w:rPr>
        <w:noProof/>
      </w:rPr>
      <w:t>4</w:t>
    </w:r>
    <w:r w:rsidR="007E51E8">
      <w:rPr>
        <w:noProof/>
      </w:rPr>
      <w:fldChar w:fldCharType="end"/>
    </w:r>
    <w:r w:rsidRPr="00216AFA">
      <w:tab/>
    </w:r>
    <w:r w:rsidRPr="00216AFA">
      <w:rPr>
        <w:rStyle w:val="HideTWBExt"/>
      </w:rPr>
      <w:t>&lt;PathFdR&gt;</w:t>
    </w:r>
    <w:r w:rsidRPr="00216AFA">
      <w:t>NT\1311203SK.docx</w:t>
    </w:r>
    <w:r w:rsidRPr="00216AFA">
      <w:rPr>
        <w:rStyle w:val="HideTWBExt"/>
      </w:rPr>
      <w:t>&lt;/PathFdR&gt;</w:t>
    </w:r>
  </w:p>
  <w:p w:rsidR="00D95527" w:rsidRPr="00216AFA" w:rsidRDefault="00216AFA" w:rsidP="00216AFA">
    <w:pPr>
      <w:pStyle w:val="EPFooter2"/>
    </w:pPr>
    <w:r w:rsidRPr="00216AFA">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FA" w:rsidRPr="00216AFA" w:rsidRDefault="00216AFA" w:rsidP="00216AFA">
    <w:pPr>
      <w:pStyle w:val="EPFooter"/>
    </w:pPr>
    <w:r w:rsidRPr="00216AFA">
      <w:rPr>
        <w:rStyle w:val="HideTWBExt"/>
      </w:rPr>
      <w:t>&lt;PathFdR&gt;</w:t>
    </w:r>
    <w:r w:rsidRPr="00216AFA">
      <w:t>NT\1311203SK.docx</w:t>
    </w:r>
    <w:r w:rsidRPr="00216AFA">
      <w:rPr>
        <w:rStyle w:val="HideTWBExt"/>
      </w:rPr>
      <w:t>&lt;/PathFdR&gt;</w:t>
    </w:r>
    <w:r w:rsidRPr="00216AFA">
      <w:tab/>
    </w:r>
    <w:r w:rsidRPr="00216AFA">
      <w:fldChar w:fldCharType="begin"/>
    </w:r>
    <w:r w:rsidRPr="00216AFA">
      <w:instrText xml:space="preserve"> PAGE  \* MERGEFORMAT </w:instrText>
    </w:r>
    <w:r w:rsidRPr="00216AFA">
      <w:fldChar w:fldCharType="separate"/>
    </w:r>
    <w:r w:rsidR="007E51E8">
      <w:rPr>
        <w:noProof/>
      </w:rPr>
      <w:t>4</w:t>
    </w:r>
    <w:r w:rsidRPr="00216AFA">
      <w:fldChar w:fldCharType="end"/>
    </w:r>
    <w:r w:rsidRPr="00216AFA">
      <w:t>/</w:t>
    </w:r>
    <w:r w:rsidR="007E51E8">
      <w:fldChar w:fldCharType="begin"/>
    </w:r>
    <w:r w:rsidR="007E51E8">
      <w:instrText xml:space="preserve"> NUMPAGES  \* MERGEFORMAT </w:instrText>
    </w:r>
    <w:r w:rsidR="007E51E8">
      <w:fldChar w:fldCharType="separate"/>
    </w:r>
    <w:r w:rsidR="007E51E8">
      <w:rPr>
        <w:noProof/>
      </w:rPr>
      <w:t>4</w:t>
    </w:r>
    <w:r w:rsidR="007E51E8">
      <w:rPr>
        <w:noProof/>
      </w:rPr>
      <w:fldChar w:fldCharType="end"/>
    </w:r>
    <w:r w:rsidRPr="00216AFA">
      <w:tab/>
      <w:t>PE</w:t>
    </w:r>
    <w:r w:rsidRPr="00216AFA">
      <w:rPr>
        <w:rStyle w:val="HideTWBExt"/>
      </w:rPr>
      <w:t>&lt;NoPE&gt;</w:t>
    </w:r>
    <w:r w:rsidRPr="00216AFA">
      <w:t>766.743</w:t>
    </w:r>
    <w:r w:rsidRPr="00216AFA">
      <w:rPr>
        <w:rStyle w:val="HideTWBExt"/>
      </w:rPr>
      <w:t>&lt;/NoPE&gt;</w:t>
    </w:r>
  </w:p>
  <w:p w:rsidR="00D95527" w:rsidRPr="00216AFA" w:rsidRDefault="00216AFA" w:rsidP="00216AFA">
    <w:pPr>
      <w:pStyle w:val="EPFooter2"/>
    </w:pPr>
    <w:r w:rsidRPr="00216AFA">
      <w:tab/>
    </w:r>
    <w:r w:rsidRPr="00216AFA">
      <w:tab/>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FA" w:rsidRPr="00216AFA" w:rsidRDefault="00216AFA" w:rsidP="00216AFA">
    <w:pPr>
      <w:pStyle w:val="EPFooter"/>
    </w:pPr>
    <w:r w:rsidRPr="00216AFA">
      <w:rPr>
        <w:rStyle w:val="HideTWBExt"/>
      </w:rPr>
      <w:t>&lt;PathFdR&gt;</w:t>
    </w:r>
    <w:r w:rsidRPr="00216AFA">
      <w:t>NT\1311203SK.docx</w:t>
    </w:r>
    <w:r w:rsidRPr="00216AFA">
      <w:rPr>
        <w:rStyle w:val="HideTWBExt"/>
      </w:rPr>
      <w:t>&lt;/PathFdR&gt;</w:t>
    </w:r>
    <w:r w:rsidRPr="00216AFA">
      <w:tab/>
    </w:r>
    <w:r w:rsidRPr="00216AFA">
      <w:tab/>
      <w:t>PE</w:t>
    </w:r>
    <w:r w:rsidRPr="00216AFA">
      <w:rPr>
        <w:rStyle w:val="HideTWBExt"/>
      </w:rPr>
      <w:t>&lt;NoPE&gt;</w:t>
    </w:r>
    <w:r w:rsidRPr="00216AFA">
      <w:t>766.743</w:t>
    </w:r>
    <w:r w:rsidRPr="00216AFA">
      <w:rPr>
        <w:rStyle w:val="HideTWBExt"/>
      </w:rPr>
      <w:t>&lt;/NoPE&gt;</w:t>
    </w:r>
  </w:p>
  <w:p w:rsidR="00E93ED6" w:rsidRPr="00216AFA" w:rsidRDefault="00216AFA" w:rsidP="00216AFA">
    <w:pPr>
      <w:pStyle w:val="EPFooter2"/>
    </w:pPr>
    <w:r w:rsidRPr="00216AFA">
      <w:t>SK</w:t>
    </w:r>
    <w:r w:rsidRPr="00216AFA">
      <w:tab/>
    </w:r>
    <w:r w:rsidRPr="00216AFA">
      <w:tab/>
      <w:t>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EF" w:rsidRPr="00216AFA" w:rsidRDefault="004F35EF">
      <w:r w:rsidRPr="00216AFA">
        <w:separator/>
      </w:r>
    </w:p>
  </w:footnote>
  <w:footnote w:type="continuationSeparator" w:id="0">
    <w:p w:rsidR="004F35EF" w:rsidRPr="00216AFA" w:rsidRDefault="004F35EF">
      <w:r w:rsidRPr="00216A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E8" w:rsidRDefault="007E5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E8" w:rsidRDefault="007E5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E8" w:rsidRDefault="007E51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SK"/>
    <w:docVar w:name="TXTLANGUEMIN" w:val="sk"/>
    <w:docVar w:name="TXTNRPE" w:val="766.743"/>
    <w:docVar w:name="TXTPEorAP" w:val="PE"/>
    <w:docVar w:name="TXTROUTE" w:val="NT\1311203SK.docx"/>
  </w:docVars>
  <w:rsids>
    <w:rsidRoot w:val="004F35EF"/>
    <w:rsid w:val="00006052"/>
    <w:rsid w:val="00036199"/>
    <w:rsid w:val="000B3765"/>
    <w:rsid w:val="001C553B"/>
    <w:rsid w:val="001F0314"/>
    <w:rsid w:val="00216AFA"/>
    <w:rsid w:val="002C30FA"/>
    <w:rsid w:val="00306F80"/>
    <w:rsid w:val="00351DF4"/>
    <w:rsid w:val="003A70FA"/>
    <w:rsid w:val="004710C7"/>
    <w:rsid w:val="004F35EF"/>
    <w:rsid w:val="005719D6"/>
    <w:rsid w:val="005D7B22"/>
    <w:rsid w:val="00655845"/>
    <w:rsid w:val="00664292"/>
    <w:rsid w:val="00763C99"/>
    <w:rsid w:val="00773D44"/>
    <w:rsid w:val="007E51E8"/>
    <w:rsid w:val="009324B9"/>
    <w:rsid w:val="009E76B7"/>
    <w:rsid w:val="00A60152"/>
    <w:rsid w:val="00BF40B7"/>
    <w:rsid w:val="00C0762D"/>
    <w:rsid w:val="00D00EBD"/>
    <w:rsid w:val="00D1454C"/>
    <w:rsid w:val="00D33ACA"/>
    <w:rsid w:val="00D95527"/>
    <w:rsid w:val="00DA76D7"/>
    <w:rsid w:val="00DC1887"/>
    <w:rsid w:val="00E314AE"/>
    <w:rsid w:val="00E93ED6"/>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EEB6B"/>
  <w15:chartTrackingRefBased/>
  <w15:docId w15:val="{1923D1EE-8865-4E25-8269-09F9E57A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customStyle="1" w:styleId="Default">
    <w:name w:val="Default"/>
    <w:rsid w:val="004710C7"/>
    <w:pPr>
      <w:autoSpaceDE w:val="0"/>
      <w:autoSpaceDN w:val="0"/>
      <w:adjustRightInd w:val="0"/>
    </w:pPr>
    <w:rPr>
      <w:color w:val="000000"/>
      <w:sz w:val="24"/>
      <w:szCs w:val="24"/>
    </w:rPr>
  </w:style>
  <w:style w:type="paragraph" w:styleId="Footer">
    <w:name w:val="footer"/>
    <w:basedOn w:val="Normal"/>
    <w:link w:val="FooterChar"/>
    <w:rsid w:val="003A70FA"/>
    <w:pPr>
      <w:tabs>
        <w:tab w:val="center" w:pos="4513"/>
        <w:tab w:val="right" w:pos="9026"/>
      </w:tabs>
    </w:pPr>
  </w:style>
  <w:style w:type="character" w:customStyle="1" w:styleId="FooterChar">
    <w:name w:val="Footer Char"/>
    <w:basedOn w:val="DefaultParagraphFont"/>
    <w:link w:val="Footer"/>
    <w:rsid w:val="003A70FA"/>
    <w:rPr>
      <w:sz w:val="24"/>
    </w:rPr>
  </w:style>
  <w:style w:type="paragraph" w:styleId="Header">
    <w:name w:val="header"/>
    <w:basedOn w:val="Normal"/>
    <w:link w:val="HeaderChar"/>
    <w:rsid w:val="007E51E8"/>
    <w:pPr>
      <w:tabs>
        <w:tab w:val="center" w:pos="4513"/>
        <w:tab w:val="right" w:pos="9026"/>
      </w:tabs>
    </w:pPr>
  </w:style>
  <w:style w:type="character" w:customStyle="1" w:styleId="HeaderChar">
    <w:name w:val="Header Char"/>
    <w:basedOn w:val="DefaultParagraphFont"/>
    <w:link w:val="Header"/>
    <w:rsid w:val="007E51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1842</Words>
  <Characters>10983</Characters>
  <Application>Microsoft Office Word</Application>
  <DocSecurity>0</DocSecurity>
  <Lines>181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DINGA-SUPOVA Lucia</cp:lastModifiedBy>
  <cp:revision>2</cp:revision>
  <dcterms:created xsi:type="dcterms:W3CDTF">2025-01-10T10:51:00Z</dcterms:created>
  <dcterms:modified xsi:type="dcterms:W3CDTF">2025-01-10T10:51:00Z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SK</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1311203</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NT\1311203SK.docx</vt:lpwstr>
  </property>
  <property fmtid="{D5CDD505-2E9C-101B-9397-08002B2CF9AE}" pid="11" name="PE number">
    <vt:lpwstr>766.743</vt:lpwstr>
  </property>
  <property fmtid="{D5CDD505-2E9C-101B-9397-08002B2CF9AE}" pid="12" name="SendToEpades">
    <vt:lpwstr>OK - 2024/12/12 17:55</vt:lpwstr>
  </property>
  <property fmtid="{D5CDD505-2E9C-101B-9397-08002B2CF9AE}" pid="13" name="SDLStudio">
    <vt:lpwstr/>
  </property>
  <property fmtid="{D5CDD505-2E9C-101B-9397-08002B2CF9AE}" pid="14" name="Bookout">
    <vt:lpwstr>OK - 2025/01/10 11:51</vt:lpwstr>
  </property>
</Properties>
</file>