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C7" w:rsidRPr="00382AF9" w:rsidRDefault="004710C7" w:rsidP="004710C7">
      <w:pPr>
        <w:rPr>
          <w:sz w:val="2"/>
          <w:szCs w:val="2"/>
        </w:rPr>
      </w:pPr>
      <w:bookmarkStart w:id="0" w:name="_GoBack"/>
      <w:bookmarkEnd w:id="0"/>
    </w:p>
    <w:tbl>
      <w:tblP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4A0" w:firstRow="1" w:lastRow="0" w:firstColumn="1" w:lastColumn="0" w:noHBand="0" w:noVBand="1"/>
      </w:tblPr>
      <w:tblGrid>
        <w:gridCol w:w="5987"/>
        <w:gridCol w:w="3084"/>
      </w:tblGrid>
      <w:tr w:rsidR="004710C7" w:rsidRPr="00382AF9" w:rsidTr="00EE1CE9">
        <w:trPr>
          <w:jc w:val="center"/>
        </w:trPr>
        <w:tc>
          <w:tcPr>
            <w:tcW w:w="5987" w:type="dxa"/>
            <w:tcBorders>
              <w:top w:val="nil"/>
              <w:left w:val="nil"/>
              <w:bottom w:val="nil"/>
              <w:right w:val="nil"/>
            </w:tcBorders>
            <w:shd w:val="clear" w:color="auto" w:fill="FFFFFF"/>
            <w:tcMar>
              <w:top w:w="60" w:type="dxa"/>
              <w:left w:w="60" w:type="dxa"/>
              <w:bottom w:w="60" w:type="dxa"/>
              <w:right w:w="60" w:type="dxa"/>
            </w:tcMar>
            <w:vAlign w:val="bottom"/>
            <w:hideMark/>
          </w:tcPr>
          <w:p w:rsidR="004710C7" w:rsidRPr="00382AF9" w:rsidRDefault="004710C7" w:rsidP="00EE1CE9">
            <w:pPr>
              <w:spacing w:after="160"/>
              <w:rPr>
                <w:rFonts w:ascii="Arial Narrow" w:hAnsi="Arial Narrow" w:cs="Arial Narrow"/>
                <w:sz w:val="32"/>
                <w:szCs w:val="32"/>
              </w:rPr>
            </w:pPr>
            <w:r w:rsidRPr="00382AF9">
              <w:rPr>
                <w:rFonts w:ascii="Arial Narrow" w:hAnsi="Arial Narrow"/>
                <w:b/>
                <w:sz w:val="32"/>
              </w:rPr>
              <w:t>Europees Parlement</w:t>
            </w:r>
          </w:p>
          <w:p w:rsidR="004710C7" w:rsidRPr="00382AF9" w:rsidRDefault="004710C7" w:rsidP="00EE1CE9">
            <w:pPr>
              <w:rPr>
                <w:rFonts w:ascii="Arial" w:hAnsi="Arial" w:cs="Arial"/>
                <w:sz w:val="20"/>
              </w:rPr>
            </w:pPr>
            <w:r w:rsidRPr="00382AF9">
              <w:rPr>
                <w:rFonts w:ascii="Arial" w:hAnsi="Arial"/>
                <w:sz w:val="20"/>
              </w:rPr>
              <w:t>2024-2029</w:t>
            </w:r>
          </w:p>
        </w:tc>
        <w:tc>
          <w:tcPr>
            <w:tcW w:w="3084" w:type="dxa"/>
            <w:tcBorders>
              <w:top w:val="nil"/>
              <w:left w:val="nil"/>
              <w:bottom w:val="nil"/>
              <w:right w:val="nil"/>
            </w:tcBorders>
            <w:shd w:val="clear" w:color="auto" w:fill="FFFFFF"/>
            <w:tcMar>
              <w:top w:w="60" w:type="dxa"/>
              <w:left w:w="60" w:type="dxa"/>
              <w:bottom w:w="60" w:type="dxa"/>
              <w:right w:w="60" w:type="dxa"/>
            </w:tcMar>
            <w:vAlign w:val="bottom"/>
            <w:hideMark/>
          </w:tcPr>
          <w:p w:rsidR="004710C7" w:rsidRPr="00382AF9" w:rsidRDefault="004710C7" w:rsidP="00EE1CE9">
            <w:pPr>
              <w:spacing w:line="320" w:lineRule="atLeast"/>
              <w:jc w:val="right"/>
              <w:rPr>
                <w:szCs w:val="24"/>
              </w:rPr>
            </w:pPr>
            <w:r w:rsidRPr="00382AF9">
              <w:rPr>
                <w:noProof/>
                <w:lang w:eastAsia="nl-NL"/>
              </w:rPr>
              <w:drawing>
                <wp:inline distT="0" distB="0" distL="0" distR="0" wp14:anchorId="3FF66E7C" wp14:editId="6BF95E24">
                  <wp:extent cx="1119505" cy="6146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9505" cy="614680"/>
                          </a:xfrm>
                          <a:prstGeom prst="rect">
                            <a:avLst/>
                          </a:prstGeom>
                          <a:noFill/>
                          <a:ln>
                            <a:noFill/>
                          </a:ln>
                        </pic:spPr>
                      </pic:pic>
                    </a:graphicData>
                  </a:graphic>
                </wp:inline>
              </w:drawing>
            </w:r>
          </w:p>
        </w:tc>
      </w:tr>
      <w:tr w:rsidR="004710C7" w:rsidRPr="00382AF9" w:rsidTr="00EE1CE9">
        <w:trPr>
          <w:jc w:val="center"/>
        </w:trPr>
        <w:tc>
          <w:tcPr>
            <w:tcW w:w="9071" w:type="dxa"/>
            <w:gridSpan w:val="2"/>
            <w:tcBorders>
              <w:top w:val="nil"/>
              <w:left w:val="nil"/>
              <w:bottom w:val="single" w:sz="4" w:space="0" w:color="000000"/>
              <w:right w:val="nil"/>
            </w:tcBorders>
            <w:shd w:val="clear" w:color="auto" w:fill="FFFFFF"/>
            <w:tcMar>
              <w:top w:w="60" w:type="dxa"/>
              <w:left w:w="60" w:type="dxa"/>
              <w:bottom w:w="60" w:type="dxa"/>
              <w:right w:w="60" w:type="dxa"/>
            </w:tcMar>
          </w:tcPr>
          <w:p w:rsidR="004710C7" w:rsidRPr="00382AF9" w:rsidRDefault="004710C7" w:rsidP="00EE1CE9"/>
        </w:tc>
      </w:tr>
    </w:tbl>
    <w:p w:rsidR="004710C7" w:rsidRPr="00382AF9" w:rsidRDefault="004710C7" w:rsidP="004710C7">
      <w:pPr>
        <w:rPr>
          <w:rFonts w:ascii="Arial" w:hAnsi="Arial" w:cs="Arial"/>
          <w:sz w:val="20"/>
        </w:rPr>
      </w:pPr>
    </w:p>
    <w:p w:rsidR="004710C7" w:rsidRPr="00382AF9" w:rsidRDefault="004710C7" w:rsidP="004710C7">
      <w:pPr>
        <w:spacing w:after="120"/>
        <w:jc w:val="center"/>
        <w:rPr>
          <w:rFonts w:ascii="Arial" w:hAnsi="Arial" w:cs="Arial"/>
          <w:sz w:val="22"/>
          <w:szCs w:val="22"/>
        </w:rPr>
      </w:pPr>
      <w:r w:rsidRPr="00382AF9">
        <w:rPr>
          <w:rFonts w:ascii="Arial" w:hAnsi="Arial"/>
          <w:i/>
          <w:sz w:val="22"/>
        </w:rPr>
        <w:t>Commissie burgerlijke vrijheden, justitie en binnenlandse zaken</w:t>
      </w:r>
    </w:p>
    <w:p w:rsidR="004710C7" w:rsidRPr="00382AF9" w:rsidRDefault="004710C7" w:rsidP="004710C7">
      <w:pPr>
        <w:rPr>
          <w:rFonts w:ascii="Arial" w:hAnsi="Arial" w:cs="Arial"/>
          <w:sz w:val="22"/>
          <w:szCs w:val="22"/>
        </w:rPr>
      </w:pPr>
    </w:p>
    <w:p w:rsidR="004710C7" w:rsidRPr="00382AF9" w:rsidRDefault="004710C7" w:rsidP="004710C7">
      <w:pPr>
        <w:spacing w:before="240" w:after="240" w:line="320" w:lineRule="atLeast"/>
        <w:jc w:val="center"/>
        <w:rPr>
          <w:rFonts w:ascii="Arial" w:hAnsi="Arial" w:cs="Arial"/>
          <w:szCs w:val="24"/>
        </w:rPr>
      </w:pPr>
      <w:r w:rsidRPr="00382AF9">
        <w:rPr>
          <w:noProof/>
          <w:lang w:eastAsia="nl-NL"/>
        </w:rPr>
        <mc:AlternateContent>
          <mc:Choice Requires="wps">
            <w:drawing>
              <wp:anchor distT="0" distB="0" distL="114300" distR="114300" simplePos="0" relativeHeight="251659264" behindDoc="0" locked="0" layoutInCell="0" allowOverlap="1" wp14:anchorId="589D75C6" wp14:editId="2BBC1FF2">
                <wp:simplePos x="0" y="0"/>
                <wp:positionH relativeFrom="page">
                  <wp:posOffset>889000</wp:posOffset>
                </wp:positionH>
                <wp:positionV relativeFrom="paragraph">
                  <wp:posOffset>-152400</wp:posOffset>
                </wp:positionV>
                <wp:extent cx="576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74C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pt,-12pt" to="5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u/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aTad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" o:allowincell="f">
                <w10:wrap anchorx="page"/>
              </v:line>
            </w:pict>
          </mc:Fallback>
        </mc:AlternateContent>
      </w:r>
    </w:p>
    <w:p w:rsidR="004710C7" w:rsidRPr="00382AF9" w:rsidRDefault="004710C7" w:rsidP="004710C7">
      <w:pPr>
        <w:jc w:val="center"/>
        <w:rPr>
          <w:b/>
        </w:rPr>
      </w:pPr>
      <w:r w:rsidRPr="00382AF9">
        <w:rPr>
          <w:b/>
        </w:rPr>
        <w:t>Benoeming van de Europese Toezichthouder voor gegevensbescherming voor de periode 2024-2029</w:t>
      </w:r>
    </w:p>
    <w:p w:rsidR="004710C7" w:rsidRPr="00382AF9" w:rsidRDefault="004710C7" w:rsidP="004710C7">
      <w:pPr>
        <w:jc w:val="center"/>
        <w:rPr>
          <w:b/>
        </w:rPr>
      </w:pPr>
      <w:r w:rsidRPr="00382AF9">
        <w:rPr>
          <w:b/>
        </w:rPr>
        <w:t>Hoorzitting met de kandidaten op 16 januari 2025, 9.00 – 10.30 uur</w:t>
      </w:r>
    </w:p>
    <w:p w:rsidR="004710C7" w:rsidRPr="00382AF9" w:rsidRDefault="004710C7" w:rsidP="004710C7">
      <w:pPr>
        <w:jc w:val="center"/>
        <w:rPr>
          <w:b/>
        </w:rPr>
      </w:pPr>
      <w:r w:rsidRPr="00382AF9">
        <w:rPr>
          <w:b/>
        </w:rPr>
        <w:t>in het Europees Parlement</w:t>
      </w:r>
    </w:p>
    <w:p w:rsidR="004710C7" w:rsidRPr="00382AF9" w:rsidRDefault="004710C7" w:rsidP="004710C7">
      <w:pPr>
        <w:jc w:val="center"/>
        <w:rPr>
          <w:b/>
        </w:rPr>
      </w:pPr>
      <w:r w:rsidRPr="00382AF9">
        <w:rPr>
          <w:b/>
        </w:rPr>
        <w:t>Brussel</w:t>
      </w:r>
    </w:p>
    <w:p w:rsidR="004710C7" w:rsidRPr="00382AF9" w:rsidRDefault="004710C7" w:rsidP="004710C7"/>
    <w:p w:rsidR="004710C7" w:rsidRPr="00382AF9" w:rsidRDefault="004710C7" w:rsidP="004710C7"/>
    <w:p w:rsidR="004710C7" w:rsidRPr="00382AF9" w:rsidRDefault="004710C7" w:rsidP="004710C7">
      <w:pPr>
        <w:jc w:val="center"/>
      </w:pPr>
      <w:r w:rsidRPr="00382AF9">
        <w:t>Antwoorden van kandidaat Wojciech WIEWIÓROWSKI</w:t>
      </w:r>
    </w:p>
    <w:p w:rsidR="004710C7" w:rsidRPr="00382AF9" w:rsidRDefault="004710C7" w:rsidP="004710C7">
      <w:pPr>
        <w:rPr>
          <w:sz w:val="22"/>
          <w:szCs w:val="22"/>
        </w:rPr>
      </w:pPr>
    </w:p>
    <w:p w:rsidR="004710C7" w:rsidRPr="00382AF9" w:rsidRDefault="004710C7" w:rsidP="004710C7">
      <w:pPr>
        <w:rPr>
          <w:sz w:val="22"/>
          <w:szCs w:val="22"/>
        </w:rPr>
      </w:pPr>
    </w:p>
    <w:p w:rsidR="004710C7" w:rsidRPr="00382AF9" w:rsidRDefault="004710C7" w:rsidP="004710C7">
      <w:pPr>
        <w:rPr>
          <w:b/>
          <w:sz w:val="22"/>
          <w:szCs w:val="22"/>
        </w:rPr>
      </w:pPr>
      <w:r w:rsidRPr="00382AF9">
        <w:rPr>
          <w:b/>
          <w:sz w:val="22"/>
        </w:rPr>
        <w:t>1. Waarom hebt u zich kandidaat gesteld voor deze post en waarom acht u zichzelf geschikt?</w:t>
      </w:r>
    </w:p>
    <w:p w:rsidR="004710C7" w:rsidRPr="00382AF9" w:rsidRDefault="004710C7" w:rsidP="004710C7">
      <w:pPr>
        <w:rPr>
          <w:sz w:val="22"/>
          <w:szCs w:val="22"/>
        </w:rPr>
      </w:pPr>
    </w:p>
    <w:p w:rsidR="004710C7" w:rsidRPr="00382AF9" w:rsidRDefault="004710C7" w:rsidP="004710C7">
      <w:pPr>
        <w:jc w:val="both"/>
        <w:rPr>
          <w:sz w:val="22"/>
          <w:szCs w:val="22"/>
        </w:rPr>
      </w:pPr>
      <w:r w:rsidRPr="00382AF9">
        <w:rPr>
          <w:sz w:val="22"/>
        </w:rPr>
        <w:t>Iets meer dan tien jaar geleden heb ik mij bij het Europees Parlement kandidaat gesteld voor de functie van adjunct-toezichthouder bij de EDPS. Ter ondersteuning van mijn kandidatuur heb ik de nadruk gelegd op de waarden die ten grondslag liggen aan mijn inzet voor de bescherming van de grondrechten in de EU. Ik baseerde mij hierbij op mijn eigen ervaringen van de gevolgen van het ontbreken van een democratisch beginsel. Ik leefde onder een totalitair regime, waar het afschrikkende effect van een toezichtsstaat en de krijgswet betekende dat individuele vrijheid en waardigheid schaars en niet vanzelfsprekend waren.</w:t>
      </w:r>
    </w:p>
    <w:p w:rsidR="004710C7" w:rsidRPr="00382AF9" w:rsidRDefault="004710C7" w:rsidP="004710C7">
      <w:pPr>
        <w:jc w:val="both"/>
        <w:rPr>
          <w:sz w:val="16"/>
          <w:szCs w:val="16"/>
        </w:rPr>
      </w:pPr>
    </w:p>
    <w:p w:rsidR="004710C7" w:rsidRPr="00382AF9" w:rsidRDefault="004710C7" w:rsidP="004710C7">
      <w:pPr>
        <w:jc w:val="both"/>
        <w:rPr>
          <w:sz w:val="22"/>
          <w:szCs w:val="22"/>
        </w:rPr>
      </w:pPr>
      <w:r w:rsidRPr="00382AF9">
        <w:rPr>
          <w:sz w:val="22"/>
        </w:rPr>
        <w:t>Tien jaar later zijn de waarden die ten grondslag liggen aan mijn kandidatuur nog steeds dezelfde. De afgelopen vijf jaar was ik de Europese Toezichthouder voor gegevensbescherming, waardoor ik als eerste heb mogen ervaren hoe belangrijk het is om deze onafhankelijke autoriteit, waar grondrechten centraal staan, te leiden. De COVID-19-crisis en de onstabiele geopolitieke situatie hebben onze inzet voor privacy op de proef gesteld en ons eraan herinnerd dat de regels inzake gegevensbescherming in de EU er niet alleen zijn om ervoor te zorgen dat personen eerlijk en met respect worden behandeld, maar ook om het algemeen Europees openbaar belang te beschermen, dat met name gediend wordt doordat deze regels een bijdrage leveren aan het vertrouwen in de integriteit van de Europese interne markt. Ik ben al meer dan 25 jaar vanuit academisch oogpunt bezig met kwesties op het gebied van informatiebeheer en heb bijna 20 jaar gewerkt aan de praktische toepassing van deze beginselen in de openbare dienst.</w:t>
      </w:r>
    </w:p>
    <w:p w:rsidR="004710C7" w:rsidRPr="00382AF9" w:rsidRDefault="004710C7" w:rsidP="004710C7">
      <w:pPr>
        <w:jc w:val="both"/>
        <w:rPr>
          <w:sz w:val="16"/>
          <w:szCs w:val="16"/>
        </w:rPr>
      </w:pPr>
    </w:p>
    <w:p w:rsidR="004710C7" w:rsidRPr="00382AF9" w:rsidRDefault="004710C7" w:rsidP="004710C7">
      <w:pPr>
        <w:jc w:val="both"/>
        <w:rPr>
          <w:sz w:val="22"/>
          <w:szCs w:val="22"/>
        </w:rPr>
      </w:pPr>
      <w:r w:rsidRPr="00382AF9">
        <w:rPr>
          <w:sz w:val="22"/>
        </w:rPr>
        <w:t xml:space="preserve">De afgelopen vijf jaar is gebleken dat de EDPS een volwassen instelling is. Ik heb een evenwicht gevonden tussen het bieden van kritische controle wanneer dit van de toezichthouder werd verwacht en het verwelkomen van kritisch toezicht op mijn werk in ruil daarvoor. Ik erken dat de rol van een toezichthouder er soms in bestaat licht te werpen op de onpopulaire of problematische aard van kwesties, en uit mijn staat van dienst is gebleken dat ik hier niet voor terugschrik wanneer dit nodig is. Ik ben altijd open geweest en blijf openstaan voor kritiek op specifieke beslissingen, maar ik zet mij ten volle in voor de waarden die de EDPS moet verdedigen. In deze geest solliciteer ik voor een tweede mandaat omdat ik vast geloof in de rechtsstaat en ervan overtuigd ben dat de beginselen van de rechtsorde van de Unie ernstig moeten worden genomen. Deze uitdaging is van cruciaal belang aan de vooravond van </w:t>
      </w:r>
      <w:r w:rsidRPr="00382AF9">
        <w:rPr>
          <w:sz w:val="22"/>
        </w:rPr>
        <w:lastRenderedPageBreak/>
        <w:t>het revolutionaire AI-tijdperk waarin generatieve AI dagelijks wordt gebruikt en kwantumcomputing zijn intrede zal doen.</w:t>
      </w:r>
    </w:p>
    <w:p w:rsidR="004710C7" w:rsidRPr="00382AF9" w:rsidRDefault="004710C7" w:rsidP="004710C7">
      <w:pPr>
        <w:rPr>
          <w:sz w:val="16"/>
          <w:szCs w:val="16"/>
        </w:rPr>
      </w:pPr>
    </w:p>
    <w:p w:rsidR="004710C7" w:rsidRPr="00382AF9" w:rsidRDefault="004710C7" w:rsidP="004710C7">
      <w:pPr>
        <w:jc w:val="both"/>
        <w:rPr>
          <w:sz w:val="22"/>
          <w:szCs w:val="22"/>
        </w:rPr>
      </w:pPr>
      <w:r w:rsidRPr="00382AF9">
        <w:rPr>
          <w:sz w:val="22"/>
        </w:rPr>
        <w:t>Ik ben van plan om dit Parlement, net als andere instellingen van de Europese Unie, geïnformeerd en objectief advies te verstrekken over hoe kan worden gereageerd op de grootste uitdagingen van de komende jaren, zoals de ontwikkeling en uitrol van AI-systemen, biometrische toepassingen en gezichtsherkenning, blockchain, verwerking van neurogegevens, kwantumcomputing en versleutelingstechnieken. Ik ben van mening dat geen van deze uitdagingen in het algemeen “onverenigbaar” is met de beginselen van de AVG en dat regels inzake gegevensbescherming voor al deze uitdagingen belangrijke richtsnoeren kunnen en moeten bieden.</w:t>
      </w:r>
    </w:p>
    <w:p w:rsidR="004710C7" w:rsidRPr="00382AF9" w:rsidRDefault="004710C7" w:rsidP="004710C7">
      <w:pPr>
        <w:rPr>
          <w:sz w:val="16"/>
          <w:szCs w:val="16"/>
        </w:rPr>
      </w:pPr>
    </w:p>
    <w:p w:rsidR="004710C7" w:rsidRPr="00382AF9" w:rsidRDefault="004710C7" w:rsidP="004710C7">
      <w:pPr>
        <w:jc w:val="both"/>
        <w:rPr>
          <w:sz w:val="22"/>
          <w:szCs w:val="22"/>
        </w:rPr>
      </w:pPr>
      <w:r w:rsidRPr="00382AF9">
        <w:rPr>
          <w:sz w:val="22"/>
        </w:rPr>
        <w:t>Ik was ook betrokken bij het volledige regelgevingsproces voor het digitale rulebook, van de eerste ontwerpen tot het moment van de definitieve goedkeuring ervan. Dit heeft mij het institutionele inzicht verschaft dat nodig is om te begrijpen hoe wetgevingsontwikkelingen van invloed zijn op de praktijk van gegevensverwerking en de rechten van betrokkenen. Deze kennis is immers van cruciaal belang om gedegen juridisch advies te verstrekken over de relatie tussen het digitale rulebook en de AVG en Verordening (EU) 2018/1725. In een tijdperk waarin de interconnectiviteit tussen verschillende digitale werelden toeneemt, wil ik ervoor zorgen dat het debat over de grondrechten centraal blijft staan in onze besprekingen.</w:t>
      </w:r>
    </w:p>
    <w:p w:rsidR="004710C7" w:rsidRPr="00382AF9" w:rsidRDefault="004710C7" w:rsidP="004710C7">
      <w:pPr>
        <w:jc w:val="both"/>
        <w:rPr>
          <w:sz w:val="16"/>
          <w:szCs w:val="16"/>
        </w:rPr>
      </w:pPr>
    </w:p>
    <w:p w:rsidR="004710C7" w:rsidRPr="00382AF9" w:rsidRDefault="004710C7" w:rsidP="004710C7">
      <w:pPr>
        <w:jc w:val="both"/>
        <w:rPr>
          <w:sz w:val="22"/>
          <w:szCs w:val="22"/>
        </w:rPr>
      </w:pPr>
      <w:r w:rsidRPr="00382AF9">
        <w:rPr>
          <w:sz w:val="22"/>
        </w:rPr>
        <w:t>Ik ben dit niet alleen verschuldigd aan iedereen tot wie ik mij in de uitoefening van mijn ambt richt, maar ook aan mijn twee tienerdochters, die deel uitmaken van de 21e-eeuwse “generatie Z” (en misschien zelfs “generatie Alfa”) van digital natives. Ik wil me ten volle inzetten om de weg te effenen voor gegevensbescherming en privacy voor de komende generaties en om ervoor te zorgen dat de digitale samenleving en economie eenieders belang dienen.</w:t>
      </w:r>
    </w:p>
    <w:p w:rsidR="004710C7" w:rsidRPr="00382AF9" w:rsidRDefault="004710C7" w:rsidP="004710C7">
      <w:pPr>
        <w:jc w:val="both"/>
        <w:rPr>
          <w:sz w:val="22"/>
          <w:szCs w:val="22"/>
        </w:rPr>
      </w:pPr>
    </w:p>
    <w:p w:rsidR="004710C7" w:rsidRPr="00382AF9" w:rsidRDefault="004710C7" w:rsidP="004710C7">
      <w:pPr>
        <w:rPr>
          <w:sz w:val="22"/>
          <w:szCs w:val="22"/>
        </w:rPr>
      </w:pPr>
    </w:p>
    <w:p w:rsidR="004710C7" w:rsidRPr="00382AF9" w:rsidRDefault="004710C7" w:rsidP="004710C7">
      <w:pPr>
        <w:rPr>
          <w:sz w:val="22"/>
          <w:szCs w:val="22"/>
        </w:rPr>
      </w:pPr>
      <w:r w:rsidRPr="00382AF9">
        <w:rPr>
          <w:b/>
          <w:sz w:val="22"/>
        </w:rPr>
        <w:t>2. Hoe wilt u invulling geven aan de rol die de EDPS bij wet is toebedeeld?</w:t>
      </w:r>
    </w:p>
    <w:p w:rsidR="004710C7" w:rsidRPr="00382AF9" w:rsidRDefault="004710C7" w:rsidP="004710C7">
      <w:pPr>
        <w:rPr>
          <w:sz w:val="22"/>
          <w:szCs w:val="22"/>
        </w:rPr>
      </w:pPr>
    </w:p>
    <w:p w:rsidR="004710C7" w:rsidRPr="00382AF9" w:rsidRDefault="004710C7" w:rsidP="004710C7">
      <w:pPr>
        <w:pStyle w:val="Default"/>
        <w:jc w:val="both"/>
        <w:rPr>
          <w:sz w:val="22"/>
          <w:szCs w:val="22"/>
        </w:rPr>
      </w:pPr>
      <w:r w:rsidRPr="00382AF9">
        <w:rPr>
          <w:sz w:val="22"/>
        </w:rPr>
        <w:t xml:space="preserve">Op basis van mijn academische kennis en praktijkervaring in het bedrijfsleven in het verleden, ben ik van plan de rol te vervullen die de EDPS wettelijk is toebedeeld door gebruik te maken van deze uitgebreide ervaring. Ik ben van mening dat de manier om uitdagingen aan te pakken en er antwoorden op te vinden, erin bestaat kennis op het gebied van regelgeving en informatietechnologieën te combineren met mijn huidige praktische ervaring bij de toepassing ervan als gegevensbeschermingsautoriteit – zowel in de lidstaten als in de Europese instellingen – en met mijn jarenlange activiteiten in diverse internationale fora. </w:t>
      </w:r>
    </w:p>
    <w:p w:rsidR="004710C7" w:rsidRPr="00382AF9" w:rsidRDefault="004710C7" w:rsidP="004710C7">
      <w:pPr>
        <w:pStyle w:val="Default"/>
        <w:jc w:val="both"/>
        <w:rPr>
          <w:sz w:val="16"/>
          <w:szCs w:val="16"/>
        </w:rPr>
      </w:pPr>
    </w:p>
    <w:p w:rsidR="004710C7" w:rsidRPr="00382AF9" w:rsidRDefault="004710C7" w:rsidP="004710C7">
      <w:pPr>
        <w:pStyle w:val="Default"/>
        <w:jc w:val="both"/>
        <w:rPr>
          <w:sz w:val="22"/>
          <w:szCs w:val="22"/>
        </w:rPr>
      </w:pPr>
      <w:r w:rsidRPr="00382AF9">
        <w:rPr>
          <w:sz w:val="22"/>
        </w:rPr>
        <w:t xml:space="preserve">Mijn professionele motto vindt zijn oorsprong in de beginselverklaring van de vereniging van Europese rechtenstudenten (waarin ik 30 jaar geleden actief was): </w:t>
      </w:r>
      <w:r w:rsidRPr="00382AF9">
        <w:rPr>
          <w:b/>
          <w:i/>
          <w:sz w:val="22"/>
        </w:rPr>
        <w:t>“een rechtvaardige wereld met respect voor menselijke waardigheid en culturele diversiteit”</w:t>
      </w:r>
      <w:r w:rsidRPr="00382AF9">
        <w:rPr>
          <w:sz w:val="22"/>
        </w:rPr>
        <w:t xml:space="preserve">. Dit is niet alleen maar een romantisch idee, maar het is de drijvende kracht achter alles wat ik tot nu toe heb gedaan, van mijn eerste werkzaamheden in de particuliere sector en binnen de academische wereld tot mijn werkzaamheden binnen de nationale overheid en op Europees niveau. Deze visie vormt ook de grondslag van mijn geloof in het Europese project. Ik ben er dan ook stellig van overtuigd dat de rol van de EDPS er uiteindelijk in bestaat bij te dragen aan de bouw van een rechtvaardige wereld. Daarbij moeten de beginselen van de rechtsstaat en de menselijke waardigheid centraal staan en moeten we er ons altijd van bewust zijn dat het niet gaat om bescherming van gegevens, maar om de bescherming van de mensen achter die gegevens. Bovendien moet de EDPS bij het zoeken naar mondiale oplossingen om de privacy te beschermen, de culturele diversiteit van de Europeanen eerbiedigen en rekening houden met de bestaande culturele en juridische verschillen. Deze drijfveer en dit inzicht in de rol van de EDPS zullen in al onze activiteiten worden geïntegreerd, namelijk het toezicht op meer dan 70 instellingen en organen van de Unie, het advies dat wij aan de medewetgevers van de Unie en de Commissie over ontwerpwetgeving verstrekken en onze nieuwe taken in het kader van de AI-verordening. </w:t>
      </w:r>
    </w:p>
    <w:p w:rsidR="004710C7" w:rsidRPr="00382AF9" w:rsidRDefault="004710C7" w:rsidP="004710C7">
      <w:pPr>
        <w:pStyle w:val="Default"/>
        <w:jc w:val="both"/>
        <w:rPr>
          <w:sz w:val="16"/>
          <w:szCs w:val="16"/>
        </w:rPr>
      </w:pPr>
    </w:p>
    <w:p w:rsidR="004710C7" w:rsidRPr="00382AF9" w:rsidRDefault="004710C7" w:rsidP="004710C7">
      <w:pPr>
        <w:pStyle w:val="Default"/>
        <w:jc w:val="both"/>
        <w:rPr>
          <w:color w:val="212121"/>
          <w:sz w:val="22"/>
          <w:szCs w:val="22"/>
        </w:rPr>
      </w:pPr>
      <w:r w:rsidRPr="00382AF9">
        <w:rPr>
          <w:sz w:val="22"/>
        </w:rPr>
        <w:t>Uit mijn ervaring met de COVID-19-crisis en de Russische invasie van Oekraïne blijkt dat gegevensbescherming kan werken en helpen en ons in staat stelt doeltreffend op crises te reageren.</w:t>
      </w:r>
      <w:r w:rsidRPr="00382AF9">
        <w:rPr>
          <w:color w:val="212121"/>
          <w:sz w:val="22"/>
        </w:rPr>
        <w:t xml:space="preserve"> Ik ben ervan overtuigd dat we kunnen voortbouwen op positieve voorbeelden van privacyvriendelijke oplossingen die we hebben bereikt. Ik zal er blijven op hameren dat de EDPS een enorme rol heeft gespeeld bij het vormgeven van dergelijke ontwikkelingen, zoals interoperabele COVID-paspoorten en -apps. </w:t>
      </w:r>
      <w:r w:rsidRPr="00382AF9">
        <w:rPr>
          <w:b/>
          <w:color w:val="212121"/>
          <w:sz w:val="22"/>
        </w:rPr>
        <w:t>Ik ben ook trots op de rol van de EDPS</w:t>
      </w:r>
      <w:r w:rsidRPr="00382AF9">
        <w:rPr>
          <w:color w:val="212121"/>
          <w:sz w:val="22"/>
        </w:rPr>
        <w:t xml:space="preserve"> bij het opzetten van de databanken van Eurojust over oorlogsmisdaden. </w:t>
      </w:r>
    </w:p>
    <w:p w:rsidR="004710C7" w:rsidRPr="00382AF9" w:rsidRDefault="004710C7" w:rsidP="004710C7">
      <w:pPr>
        <w:pStyle w:val="Default"/>
        <w:rPr>
          <w:color w:val="212121"/>
          <w:sz w:val="16"/>
          <w:szCs w:val="16"/>
        </w:rPr>
      </w:pPr>
    </w:p>
    <w:p w:rsidR="004710C7" w:rsidRPr="00382AF9" w:rsidRDefault="004710C7" w:rsidP="004710C7">
      <w:pPr>
        <w:pStyle w:val="Default"/>
        <w:jc w:val="both"/>
        <w:rPr>
          <w:color w:val="212121"/>
          <w:sz w:val="22"/>
          <w:szCs w:val="22"/>
        </w:rPr>
      </w:pPr>
      <w:r w:rsidRPr="00382AF9">
        <w:rPr>
          <w:color w:val="212121"/>
          <w:sz w:val="22"/>
        </w:rPr>
        <w:t xml:space="preserve">De EDPS moet de onafhankelijkheid van een gegevensbeschermingsautoriteit volgens de hoogste normen handhaven en eerbiedigen, waardoor de instelling politiek neutraal wordt. Een dergelijke volledige onafhankelijkheid is de enige manier om te waarborgen dat de geest van de artikelen 7 en 8 van het Handvest van de grondrechten wordt gehandhaafd op een manier die strookt met de Europese waarden en overtuigingen. Maar tegelijkertijd erken ik de noodzaak om flexibel te zijn – niet met betrekking tot de grondrechten zelf, maar met betrekking tot de wijze waarop deze in de regelgeving en het beleid van de Unie worden toegepast. </w:t>
      </w:r>
    </w:p>
    <w:p w:rsidR="004710C7" w:rsidRPr="00382AF9" w:rsidRDefault="004710C7" w:rsidP="004710C7">
      <w:pPr>
        <w:pStyle w:val="Default"/>
        <w:jc w:val="both"/>
        <w:rPr>
          <w:color w:val="212121"/>
          <w:sz w:val="16"/>
          <w:szCs w:val="16"/>
        </w:rPr>
      </w:pPr>
    </w:p>
    <w:p w:rsidR="004710C7" w:rsidRPr="00382AF9" w:rsidRDefault="004710C7" w:rsidP="004710C7">
      <w:pPr>
        <w:pStyle w:val="Default"/>
        <w:jc w:val="both"/>
        <w:rPr>
          <w:color w:val="212121"/>
          <w:sz w:val="22"/>
          <w:szCs w:val="22"/>
        </w:rPr>
      </w:pPr>
      <w:r w:rsidRPr="00382AF9">
        <w:rPr>
          <w:color w:val="212121"/>
          <w:sz w:val="22"/>
        </w:rPr>
        <w:t xml:space="preserve">Hoewel ik altijd benadruk dat de EDPS geen politiek orgaan is, mogen we onze geopolitieke realiteit niet veronachtzamen en moeten we begrijpen hoe we kunnen </w:t>
      </w:r>
      <w:r w:rsidRPr="00382AF9">
        <w:rPr>
          <w:b/>
          <w:color w:val="212121"/>
          <w:sz w:val="22"/>
        </w:rPr>
        <w:t>samenwerken met gelijkgestemde democratische landen</w:t>
      </w:r>
      <w:r w:rsidRPr="00382AF9">
        <w:rPr>
          <w:color w:val="212121"/>
          <w:sz w:val="22"/>
        </w:rPr>
        <w:t xml:space="preserve"> en hoe we wereldwijd met succes gezamenlijke ervaringen kunnen uitwisselen, bijvoorbeeld in het kader van de OESO en de G7, waar uit gezamenlijke verklaringen blijkt welke toezeggingen Europa bereid is te doen. </w:t>
      </w:r>
    </w:p>
    <w:p w:rsidR="004710C7" w:rsidRPr="00382AF9" w:rsidRDefault="004710C7" w:rsidP="004710C7">
      <w:pPr>
        <w:pStyle w:val="Default"/>
        <w:rPr>
          <w:color w:val="212121"/>
          <w:sz w:val="16"/>
          <w:szCs w:val="16"/>
        </w:rPr>
      </w:pPr>
    </w:p>
    <w:p w:rsidR="004710C7" w:rsidRPr="00382AF9" w:rsidRDefault="004710C7" w:rsidP="004710C7">
      <w:pPr>
        <w:pStyle w:val="Default"/>
        <w:jc w:val="both"/>
        <w:rPr>
          <w:color w:val="212121"/>
          <w:sz w:val="22"/>
          <w:szCs w:val="22"/>
        </w:rPr>
      </w:pPr>
      <w:r w:rsidRPr="00382AF9">
        <w:rPr>
          <w:b/>
          <w:color w:val="212121"/>
          <w:sz w:val="22"/>
        </w:rPr>
        <w:t>Het Europees bestuur dat we opzetten moet slim en innovatief zijn</w:t>
      </w:r>
      <w:r w:rsidRPr="00382AF9">
        <w:rPr>
          <w:color w:val="212121"/>
          <w:sz w:val="22"/>
        </w:rPr>
        <w:t xml:space="preserve">. Het moet zich kunnen aanpassen aan nieuwe technologieën en bedrijfsmodellen om zo gegevensbescherming slimmer en moderner te maken. Hetzelfde geldt voor de EDPS, die zelf ook slim moet zijn en ten volle gebruik moet maken van de nieuwste technologieën, waaronder artificiële intelligentie. Ik ben van plan te luisteren naar tal van belanghebbenden uit het bedrijfsleven, het maatschappelijk middenveld en de academische wereld en hen de kans te geven hun inzichten met betrekking tot goede en slechte praktijken op het gebied van het gebruik van persoonsgegevens te delen, door een progressieve en dynamische managementcultuur tot stand te brengen en door de talenten van het personeel dat voor de autoriteit werkt naar waarde te schatten en te koesteren. Ik ben mij ervan bewust dat de medewerkers van de EDPS een van de meest waardevolle schatten zijn waarover ik beschik, en daarom wil ik graag luisteren naar interne stemmen binnen de instelling. In onze laatste tussentijdse strategie-evaluatie hebben we echt een poging gedaan om aan te tonen dat ik – samen met de EDPS – geef om wat er bij zijn personeel leeft. </w:t>
      </w:r>
    </w:p>
    <w:p w:rsidR="004710C7" w:rsidRPr="00382AF9" w:rsidRDefault="004710C7" w:rsidP="004710C7">
      <w:pPr>
        <w:pStyle w:val="Default"/>
        <w:jc w:val="both"/>
        <w:rPr>
          <w:color w:val="212121"/>
          <w:sz w:val="16"/>
          <w:szCs w:val="16"/>
        </w:rPr>
      </w:pPr>
    </w:p>
    <w:p w:rsidR="004710C7" w:rsidRPr="00382AF9" w:rsidRDefault="004710C7" w:rsidP="004710C7">
      <w:pPr>
        <w:jc w:val="both"/>
        <w:rPr>
          <w:sz w:val="22"/>
          <w:szCs w:val="22"/>
        </w:rPr>
      </w:pPr>
      <w:r w:rsidRPr="00382AF9">
        <w:rPr>
          <w:color w:val="212121"/>
          <w:sz w:val="22"/>
        </w:rPr>
        <w:t>De EDPS heeft op grond van Verordening (EU) 2018/1725 vergaande bevoegdheden om naleving af te dwingen en EU-organen voor te lichten over en aan te sporen tot verantwoordelijke werkwijzen op het gebied van gegevensbescherming, waarbij verantwoordingsplicht voorop staat. Ik zal als EDPS deze bevoegdheden maximaal, onbevreesd en onpartijdig uitoefenen, maar mij er in de eerste plaats voor inzetten dat de burgers worden beschermd, omdat dat is waarom de EDPS in het leven is geroepen.</w:t>
      </w:r>
    </w:p>
    <w:p w:rsidR="004710C7" w:rsidRPr="00382AF9" w:rsidRDefault="004710C7" w:rsidP="004710C7">
      <w:pPr>
        <w:rPr>
          <w:sz w:val="22"/>
          <w:szCs w:val="22"/>
        </w:rPr>
      </w:pPr>
    </w:p>
    <w:p w:rsidR="004710C7" w:rsidRPr="00382AF9" w:rsidRDefault="004710C7" w:rsidP="004710C7">
      <w:pPr>
        <w:rPr>
          <w:b/>
          <w:sz w:val="22"/>
          <w:szCs w:val="22"/>
        </w:rPr>
      </w:pPr>
      <w:r w:rsidRPr="00382AF9">
        <w:rPr>
          <w:b/>
          <w:sz w:val="22"/>
        </w:rPr>
        <w:t>3. Wat is uw visie op de toekomst van de autoriteit waarvan u als EDPS aan het hoofd zult staan, welke uitdagingen ziet u en hoe wilt u deze aanpakken, en wat zijn uw prioriteiten voor deze onafhankelijke autoriteit?</w:t>
      </w:r>
    </w:p>
    <w:p w:rsidR="004710C7" w:rsidRPr="00382AF9" w:rsidRDefault="004710C7" w:rsidP="004710C7">
      <w:pPr>
        <w:rPr>
          <w:sz w:val="22"/>
          <w:szCs w:val="22"/>
        </w:rPr>
      </w:pPr>
    </w:p>
    <w:p w:rsidR="004710C7" w:rsidRPr="00382AF9" w:rsidRDefault="004710C7" w:rsidP="004710C7">
      <w:pPr>
        <w:pStyle w:val="Default"/>
        <w:jc w:val="both"/>
        <w:rPr>
          <w:color w:val="212121"/>
          <w:sz w:val="22"/>
          <w:szCs w:val="22"/>
        </w:rPr>
      </w:pPr>
      <w:r w:rsidRPr="00382AF9">
        <w:rPr>
          <w:color w:val="212121"/>
          <w:sz w:val="22"/>
        </w:rPr>
        <w:t xml:space="preserve">Mijn visie op de toekomst van de EDPS is dat </w:t>
      </w:r>
      <w:r w:rsidRPr="00382AF9">
        <w:rPr>
          <w:b/>
          <w:color w:val="212121"/>
          <w:sz w:val="22"/>
        </w:rPr>
        <w:t>de EDPS een flexibele en proactieve autoriteit</w:t>
      </w:r>
      <w:r w:rsidRPr="00382AF9">
        <w:rPr>
          <w:color w:val="212121"/>
          <w:sz w:val="22"/>
        </w:rPr>
        <w:t xml:space="preserve"> moet zijn. </w:t>
      </w:r>
    </w:p>
    <w:p w:rsidR="004710C7" w:rsidRPr="00382AF9" w:rsidRDefault="004710C7" w:rsidP="004710C7">
      <w:pPr>
        <w:pStyle w:val="Default"/>
        <w:jc w:val="both"/>
        <w:rPr>
          <w:sz w:val="16"/>
          <w:szCs w:val="16"/>
        </w:rPr>
      </w:pPr>
    </w:p>
    <w:p w:rsidR="004710C7" w:rsidRPr="00382AF9" w:rsidRDefault="004710C7" w:rsidP="004710C7">
      <w:pPr>
        <w:pStyle w:val="Default"/>
        <w:jc w:val="both"/>
        <w:rPr>
          <w:color w:val="212121"/>
          <w:sz w:val="22"/>
          <w:szCs w:val="22"/>
        </w:rPr>
      </w:pPr>
      <w:r w:rsidRPr="00382AF9">
        <w:rPr>
          <w:color w:val="212121"/>
          <w:sz w:val="22"/>
        </w:rPr>
        <w:t xml:space="preserve">Ik ben niet van plan op korte termijn “één Europese digitale autoriteit” op te richten. Uiteenlopende verwachtingen ten aanzien van bevoegde autoriteiten hebben ertoe geleid dat de Europese wetgevers een aantal verordeningen hebben opgesteld met elk hun eigen governancemodellen en een complexe matrix van interacties. Dat is net een van de uitdagingen waarop de EDPS in zijn wetgevingsadviezen heeft geanticipeerd en daarbij het voortouw neemt om aan te dringen op coherentie. </w:t>
      </w:r>
    </w:p>
    <w:p w:rsidR="004710C7" w:rsidRPr="00382AF9" w:rsidRDefault="004710C7" w:rsidP="004710C7">
      <w:pPr>
        <w:pStyle w:val="Default"/>
        <w:jc w:val="both"/>
        <w:rPr>
          <w:color w:val="212121"/>
          <w:sz w:val="22"/>
          <w:szCs w:val="22"/>
        </w:rPr>
      </w:pPr>
    </w:p>
    <w:p w:rsidR="004710C7" w:rsidRPr="00382AF9" w:rsidRDefault="004710C7" w:rsidP="004710C7">
      <w:pPr>
        <w:pStyle w:val="Default"/>
        <w:jc w:val="both"/>
        <w:rPr>
          <w:color w:val="212121"/>
          <w:sz w:val="22"/>
          <w:szCs w:val="22"/>
        </w:rPr>
      </w:pPr>
      <w:r w:rsidRPr="00382AF9">
        <w:rPr>
          <w:color w:val="212121"/>
          <w:sz w:val="22"/>
        </w:rPr>
        <w:t xml:space="preserve">Daarnaast moet de EDPS ook rekening houden met de vele rollen die hem door de wetgever zijn toebedeeld, nl. tegelijkertijd de taak vervullen van: </w:t>
      </w:r>
    </w:p>
    <w:p w:rsidR="004710C7" w:rsidRPr="00382AF9" w:rsidRDefault="004710C7" w:rsidP="004710C7">
      <w:pPr>
        <w:pStyle w:val="Default"/>
        <w:jc w:val="both"/>
        <w:rPr>
          <w:color w:val="212121"/>
          <w:sz w:val="16"/>
          <w:szCs w:val="16"/>
        </w:rPr>
      </w:pPr>
    </w:p>
    <w:p w:rsidR="004710C7" w:rsidRPr="00382AF9" w:rsidRDefault="004710C7" w:rsidP="004710C7">
      <w:pPr>
        <w:pStyle w:val="Default"/>
        <w:spacing w:after="23"/>
        <w:jc w:val="both"/>
        <w:rPr>
          <w:color w:val="212121"/>
          <w:sz w:val="22"/>
          <w:szCs w:val="22"/>
        </w:rPr>
      </w:pPr>
      <w:r w:rsidRPr="00382AF9">
        <w:rPr>
          <w:color w:val="212121"/>
          <w:sz w:val="22"/>
        </w:rPr>
        <w:t xml:space="preserve">1) toezichthouder (de enige echt onafhankelijke toezichthouder voor de instellingen, organen en agentschappen van de EU), </w:t>
      </w:r>
    </w:p>
    <w:p w:rsidR="004710C7" w:rsidRPr="00382AF9" w:rsidRDefault="004710C7" w:rsidP="004710C7">
      <w:pPr>
        <w:pStyle w:val="Default"/>
        <w:spacing w:after="23"/>
        <w:jc w:val="both"/>
        <w:rPr>
          <w:color w:val="212121"/>
          <w:sz w:val="22"/>
          <w:szCs w:val="22"/>
        </w:rPr>
      </w:pPr>
      <w:r w:rsidRPr="00382AF9">
        <w:rPr>
          <w:color w:val="212121"/>
          <w:sz w:val="22"/>
        </w:rPr>
        <w:t xml:space="preserve">2) adviseur (in het wetgevingsproces), </w:t>
      </w:r>
    </w:p>
    <w:p w:rsidR="004710C7" w:rsidRPr="00382AF9" w:rsidRDefault="004710C7" w:rsidP="004710C7">
      <w:pPr>
        <w:pStyle w:val="Default"/>
        <w:spacing w:after="23"/>
        <w:jc w:val="both"/>
        <w:rPr>
          <w:color w:val="212121"/>
          <w:sz w:val="22"/>
          <w:szCs w:val="22"/>
        </w:rPr>
      </w:pPr>
      <w:r w:rsidRPr="00382AF9">
        <w:rPr>
          <w:color w:val="212121"/>
          <w:sz w:val="22"/>
        </w:rPr>
        <w:t xml:space="preserve">3) dienstverlener (als aanbieder van het EDPB-secretariaat), en zelfs </w:t>
      </w:r>
    </w:p>
    <w:p w:rsidR="004710C7" w:rsidRPr="00382AF9" w:rsidRDefault="004710C7" w:rsidP="004710C7">
      <w:pPr>
        <w:pStyle w:val="Default"/>
        <w:jc w:val="both"/>
        <w:rPr>
          <w:color w:val="212121"/>
          <w:sz w:val="22"/>
          <w:szCs w:val="22"/>
        </w:rPr>
      </w:pPr>
      <w:r w:rsidRPr="00382AF9">
        <w:rPr>
          <w:color w:val="212121"/>
          <w:sz w:val="22"/>
        </w:rPr>
        <w:t xml:space="preserve">4) markttoezichtautoriteit (als bedoeld in de AI-verordening). </w:t>
      </w:r>
    </w:p>
    <w:p w:rsidR="004710C7" w:rsidRPr="00382AF9" w:rsidRDefault="004710C7" w:rsidP="004710C7">
      <w:pPr>
        <w:pStyle w:val="Default"/>
        <w:jc w:val="both"/>
        <w:rPr>
          <w:color w:val="212121"/>
          <w:sz w:val="16"/>
          <w:szCs w:val="16"/>
        </w:rPr>
      </w:pPr>
    </w:p>
    <w:p w:rsidR="004710C7" w:rsidRPr="00382AF9" w:rsidRDefault="004710C7" w:rsidP="004710C7">
      <w:pPr>
        <w:pStyle w:val="Default"/>
        <w:jc w:val="both"/>
        <w:rPr>
          <w:color w:val="212121"/>
          <w:sz w:val="22"/>
          <w:szCs w:val="22"/>
        </w:rPr>
      </w:pPr>
      <w:r w:rsidRPr="00382AF9">
        <w:rPr>
          <w:b/>
          <w:color w:val="212121"/>
          <w:sz w:val="22"/>
        </w:rPr>
        <w:t>De EDPS bevindt zich in een unieke positie</w:t>
      </w:r>
      <w:r w:rsidRPr="00382AF9">
        <w:rPr>
          <w:color w:val="212121"/>
          <w:sz w:val="22"/>
        </w:rPr>
        <w:t xml:space="preserve"> om informatiestromen te waarborgen en een knooppunt te zijn voor ideeën en de uitvoering ervan in het onlangs ontwikkelde, sterk uitgebreide regelgevingskader. Zo zie ik dus de rol van de EDPS: zijn kernactiviteiten combineren met deelname aan het Europees Comité voor gegevensbescherming, het Europees Comité voor gegevensinnovatie, de Raad voor artificiële intelligentie, de interinstitutionele raad voor cyberbeveiliging en de Groep op hoog niveau inzake digitale markten. Ik ben van plan de rol van de EDPS aan te vullen met het onlangs aangekondigde digitale clearinghuis 2.0, waarin regelgevers aan één tafel worden samengebracht. Dit behoort onlosmakelijk tot mijn proactieve visie voor de autoriteit, omdat ik inzie dat Europa verenigd moet zijn op een moment waarop Europa wordt geviseerd en aangevallen wegens het vermeende gebrek aan innovatie. Ik ben er simpelweg maar vast van overtuigd dat innovatie en grondrechten hand in hand kunnen gaan. </w:t>
      </w:r>
    </w:p>
    <w:p w:rsidR="004710C7" w:rsidRPr="00382AF9" w:rsidRDefault="004710C7" w:rsidP="004710C7">
      <w:pPr>
        <w:pStyle w:val="Default"/>
        <w:jc w:val="both"/>
        <w:rPr>
          <w:color w:val="212121"/>
          <w:sz w:val="16"/>
          <w:szCs w:val="16"/>
        </w:rPr>
      </w:pPr>
    </w:p>
    <w:p w:rsidR="004710C7" w:rsidRPr="00382AF9" w:rsidRDefault="004710C7" w:rsidP="004710C7">
      <w:pPr>
        <w:pStyle w:val="Default"/>
        <w:jc w:val="both"/>
        <w:rPr>
          <w:color w:val="212121"/>
          <w:sz w:val="22"/>
          <w:szCs w:val="22"/>
        </w:rPr>
      </w:pPr>
      <w:r w:rsidRPr="00382AF9">
        <w:rPr>
          <w:color w:val="212121"/>
          <w:sz w:val="22"/>
        </w:rPr>
        <w:t xml:space="preserve">Verder ben ik niet bang te zeggen dat ik </w:t>
      </w:r>
      <w:r w:rsidRPr="00382AF9">
        <w:rPr>
          <w:b/>
          <w:color w:val="212121"/>
          <w:sz w:val="22"/>
        </w:rPr>
        <w:t>prioriteit zal verlenen aan het debat over artificiële intelligentie</w:t>
      </w:r>
      <w:r w:rsidRPr="00382AF9">
        <w:rPr>
          <w:color w:val="212121"/>
          <w:sz w:val="22"/>
        </w:rPr>
        <w:t xml:space="preserve">. Ik ben ervan overtuigd dat de EU-instellingen in de nabije toekomst richtsnoeren nodig hebben over hoe Europa een leidende rol kan spelen bij het waarborgen van de veilige uitrol van AI in tal van sectoren. Daar is de EDPS mee bezig voor onderwerpen die hij heeft gekozen voor zijn “TechSonar”-prognose voor 2025, waaronder retrieval-augmented generation (RAG), AI op apparaten, machine unlearning, multimodale AI, schaalbaar toezicht en neurosymbolische AI. </w:t>
      </w:r>
    </w:p>
    <w:p w:rsidR="004710C7" w:rsidRPr="00382AF9" w:rsidRDefault="004710C7" w:rsidP="004710C7">
      <w:pPr>
        <w:pStyle w:val="Default"/>
        <w:jc w:val="both"/>
        <w:rPr>
          <w:color w:val="212121"/>
          <w:sz w:val="16"/>
          <w:szCs w:val="16"/>
        </w:rPr>
      </w:pPr>
    </w:p>
    <w:p w:rsidR="004710C7" w:rsidRPr="00382AF9" w:rsidRDefault="004710C7" w:rsidP="004710C7">
      <w:pPr>
        <w:jc w:val="both"/>
        <w:rPr>
          <w:sz w:val="22"/>
          <w:szCs w:val="22"/>
        </w:rPr>
      </w:pPr>
      <w:r w:rsidRPr="00382AF9">
        <w:rPr>
          <w:color w:val="212121"/>
          <w:sz w:val="22"/>
        </w:rPr>
        <w:t xml:space="preserve">De praktische standpunten van de EDPS zullen gebaseerd zijn op de verwezenlijkingen van mijn voorgangers en op de verwezenlijkingen van mijn eerste mandaat. In dit opzicht </w:t>
      </w:r>
      <w:r w:rsidRPr="00382AF9">
        <w:rPr>
          <w:b/>
          <w:color w:val="212121"/>
          <w:sz w:val="22"/>
        </w:rPr>
        <w:t>stel ik enige continuïteit voor, maar we mogen zeker niet op onze lauweren rusten</w:t>
      </w:r>
      <w:r w:rsidRPr="00382AF9">
        <w:rPr>
          <w:color w:val="212121"/>
          <w:sz w:val="22"/>
        </w:rPr>
        <w:t xml:space="preserve">. Ik ben mij bewust van de speciale rol die de EDPS heeft binnen het EDPB, omdat de EDPS niet alleen lid is van dit comité maar ook instaat voor het secretariaat ervan en er onder meer voor moet zorgen dat de AVG de komende vijf jaar daadwerkelijk tot resultaten leidt. </w:t>
      </w:r>
      <w:r w:rsidRPr="00382AF9">
        <w:rPr>
          <w:color w:val="212121"/>
        </w:rPr>
        <w:t>Ik zal niet alleen de voorzitter van het EDPB ondersteunen met de allerbeste ambtenaren en administratieve voorzieningen, maar er ook alles aan doen om het EDPB in staat te stellen om te zorgen voor een consistente en krachtige tenuitvoerlegging van de AVG in de hele EU.</w:t>
      </w:r>
    </w:p>
    <w:p w:rsidR="00006052" w:rsidRPr="00382AF9" w:rsidRDefault="00006052"/>
    <w:sectPr w:rsidR="00006052" w:rsidRPr="00382AF9" w:rsidSect="00382AF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134" w:right="1418" w:bottom="1418" w:left="1418" w:header="113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EF" w:rsidRPr="00382AF9" w:rsidRDefault="004F35EF">
      <w:r w:rsidRPr="00382AF9">
        <w:separator/>
      </w:r>
    </w:p>
  </w:endnote>
  <w:endnote w:type="continuationSeparator" w:id="0">
    <w:p w:rsidR="004F35EF" w:rsidRPr="00382AF9" w:rsidRDefault="004F35EF">
      <w:r w:rsidRPr="00382A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9" w:rsidRPr="00382AF9" w:rsidRDefault="00382AF9" w:rsidP="00382AF9">
    <w:pPr>
      <w:pStyle w:val="EPFooter"/>
    </w:pPr>
    <w:r w:rsidRPr="00382AF9">
      <w:t>PE</w:t>
    </w:r>
    <w:r w:rsidRPr="00382AF9">
      <w:rPr>
        <w:rStyle w:val="HideTWBExt"/>
      </w:rPr>
      <w:t>&lt;NoPE&gt;</w:t>
    </w:r>
    <w:r w:rsidRPr="00382AF9">
      <w:t>766.743</w:t>
    </w:r>
    <w:r w:rsidRPr="00382AF9">
      <w:rPr>
        <w:rStyle w:val="HideTWBExt"/>
      </w:rPr>
      <w:t>&lt;/NoPE&gt;</w:t>
    </w:r>
    <w:r w:rsidRPr="00382AF9">
      <w:tab/>
    </w:r>
    <w:r w:rsidRPr="00382AF9">
      <w:fldChar w:fldCharType="begin"/>
    </w:r>
    <w:r w:rsidRPr="00382AF9">
      <w:instrText xml:space="preserve"> PAGE  \* MERGEFORMAT </w:instrText>
    </w:r>
    <w:r w:rsidRPr="00382AF9">
      <w:fldChar w:fldCharType="separate"/>
    </w:r>
    <w:r w:rsidR="007D2F95">
      <w:rPr>
        <w:noProof/>
      </w:rPr>
      <w:t>1</w:t>
    </w:r>
    <w:r w:rsidRPr="00382AF9">
      <w:fldChar w:fldCharType="end"/>
    </w:r>
    <w:r w:rsidRPr="00382AF9">
      <w:t>/</w:t>
    </w:r>
    <w:fldSimple w:instr=" NUMPAGES  \* MERGEFORMAT ">
      <w:r w:rsidR="007D2F95">
        <w:rPr>
          <w:noProof/>
        </w:rPr>
        <w:t>1</w:t>
      </w:r>
    </w:fldSimple>
    <w:r w:rsidRPr="00382AF9">
      <w:tab/>
    </w:r>
    <w:r w:rsidRPr="00382AF9">
      <w:rPr>
        <w:rStyle w:val="HideTWBExt"/>
      </w:rPr>
      <w:t>&lt;PathFdR&gt;</w:t>
    </w:r>
    <w:r w:rsidRPr="00382AF9">
      <w:t>NT\1311203NL.docx</w:t>
    </w:r>
    <w:r w:rsidRPr="00382AF9">
      <w:rPr>
        <w:rStyle w:val="HideTWBExt"/>
      </w:rPr>
      <w:t>&lt;/PathFdR&gt;</w:t>
    </w:r>
  </w:p>
  <w:p w:rsidR="00D95527" w:rsidRPr="00382AF9" w:rsidRDefault="00382AF9" w:rsidP="00382AF9">
    <w:pPr>
      <w:pStyle w:val="EPFooter2"/>
    </w:pPr>
    <w:r w:rsidRPr="00382AF9">
      <w: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9" w:rsidRPr="00382AF9" w:rsidRDefault="00382AF9" w:rsidP="00382AF9">
    <w:pPr>
      <w:pStyle w:val="EPFooter"/>
    </w:pPr>
    <w:r w:rsidRPr="00382AF9">
      <w:rPr>
        <w:rStyle w:val="HideTWBExt"/>
      </w:rPr>
      <w:t>&lt;PathFdR&gt;</w:t>
    </w:r>
    <w:r w:rsidRPr="00382AF9">
      <w:t>NT\1311203NL.docx</w:t>
    </w:r>
    <w:r w:rsidRPr="00382AF9">
      <w:rPr>
        <w:rStyle w:val="HideTWBExt"/>
      </w:rPr>
      <w:t>&lt;/PathFdR&gt;</w:t>
    </w:r>
    <w:r w:rsidRPr="00382AF9">
      <w:tab/>
    </w:r>
    <w:r w:rsidRPr="00382AF9">
      <w:fldChar w:fldCharType="begin"/>
    </w:r>
    <w:r w:rsidRPr="00382AF9">
      <w:instrText xml:space="preserve"> PAGE  \* MERGEFORMAT </w:instrText>
    </w:r>
    <w:r w:rsidRPr="00382AF9">
      <w:fldChar w:fldCharType="separate"/>
    </w:r>
    <w:r w:rsidR="007D2F95">
      <w:rPr>
        <w:noProof/>
      </w:rPr>
      <w:t>1</w:t>
    </w:r>
    <w:r w:rsidRPr="00382AF9">
      <w:fldChar w:fldCharType="end"/>
    </w:r>
    <w:r w:rsidRPr="00382AF9">
      <w:t>/</w:t>
    </w:r>
    <w:fldSimple w:instr=" NUMPAGES  \* MERGEFORMAT ">
      <w:r w:rsidR="007D2F95">
        <w:rPr>
          <w:noProof/>
        </w:rPr>
        <w:t>1</w:t>
      </w:r>
    </w:fldSimple>
    <w:r w:rsidRPr="00382AF9">
      <w:tab/>
      <w:t>PE</w:t>
    </w:r>
    <w:r w:rsidRPr="00382AF9">
      <w:rPr>
        <w:rStyle w:val="HideTWBExt"/>
      </w:rPr>
      <w:t>&lt;NoPE&gt;</w:t>
    </w:r>
    <w:r w:rsidRPr="00382AF9">
      <w:t>766.743</w:t>
    </w:r>
    <w:r w:rsidRPr="00382AF9">
      <w:rPr>
        <w:rStyle w:val="HideTWBExt"/>
      </w:rPr>
      <w:t>&lt;/NoPE&gt;</w:t>
    </w:r>
  </w:p>
  <w:p w:rsidR="00D95527" w:rsidRPr="00382AF9" w:rsidRDefault="00382AF9" w:rsidP="00382AF9">
    <w:pPr>
      <w:pStyle w:val="EPFooter2"/>
    </w:pPr>
    <w:r w:rsidRPr="00382AF9">
      <w:tab/>
    </w:r>
    <w:r w:rsidRPr="00382AF9">
      <w:tab/>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F9" w:rsidRPr="00382AF9" w:rsidRDefault="00382AF9" w:rsidP="00382AF9">
    <w:pPr>
      <w:pStyle w:val="EPFooter"/>
    </w:pPr>
    <w:r w:rsidRPr="00382AF9">
      <w:rPr>
        <w:rStyle w:val="HideTWBExt"/>
      </w:rPr>
      <w:t>&lt;PathFdR&gt;</w:t>
    </w:r>
    <w:r w:rsidRPr="00382AF9">
      <w:t>NT\1311203NL.docx</w:t>
    </w:r>
    <w:r w:rsidRPr="00382AF9">
      <w:rPr>
        <w:rStyle w:val="HideTWBExt"/>
      </w:rPr>
      <w:t>&lt;/PathFdR&gt;</w:t>
    </w:r>
    <w:r w:rsidRPr="00382AF9">
      <w:tab/>
    </w:r>
    <w:r w:rsidRPr="00382AF9">
      <w:tab/>
      <w:t>PE</w:t>
    </w:r>
    <w:r w:rsidRPr="00382AF9">
      <w:rPr>
        <w:rStyle w:val="HideTWBExt"/>
      </w:rPr>
      <w:t>&lt;NoPE&gt;</w:t>
    </w:r>
    <w:r w:rsidRPr="00382AF9">
      <w:t>766.743</w:t>
    </w:r>
    <w:r w:rsidRPr="00382AF9">
      <w:rPr>
        <w:rStyle w:val="HideTWBExt"/>
      </w:rPr>
      <w:t>&lt;/NoPE&gt;</w:t>
    </w:r>
  </w:p>
  <w:p w:rsidR="00E93ED6" w:rsidRPr="00382AF9" w:rsidRDefault="00382AF9" w:rsidP="00382AF9">
    <w:pPr>
      <w:pStyle w:val="EPFooter2"/>
    </w:pPr>
    <w:r w:rsidRPr="00382AF9">
      <w:t>NL</w:t>
    </w:r>
    <w:r w:rsidRPr="00382AF9">
      <w:tab/>
    </w:r>
    <w:r w:rsidRPr="00382AF9">
      <w:tab/>
      <w:t>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EF" w:rsidRPr="00382AF9" w:rsidRDefault="004F35EF">
      <w:r w:rsidRPr="00382AF9">
        <w:separator/>
      </w:r>
    </w:p>
  </w:footnote>
  <w:footnote w:type="continuationSeparator" w:id="0">
    <w:p w:rsidR="004F35EF" w:rsidRPr="00382AF9" w:rsidRDefault="004F35EF">
      <w:r w:rsidRPr="00382A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95" w:rsidRDefault="007D2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95" w:rsidRDefault="007D2F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F95" w:rsidRDefault="007D2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rDocTypeID" w:val="NONE"/>
    <w:docVar w:name="strSubDir" w:val="1311"/>
    <w:docVar w:name="TXTLANGUE" w:val="EN"/>
    <w:docVar w:name="TXTLANGUEMIN" w:val="en"/>
    <w:docVar w:name="TXTNRPE" w:val="766.743"/>
    <w:docVar w:name="TXTPEorAP" w:val="PE"/>
    <w:docVar w:name="TXTROUTE" w:val="NT\1311203EN.docx"/>
  </w:docVars>
  <w:rsids>
    <w:rsidRoot w:val="004F35EF"/>
    <w:rsid w:val="00006052"/>
    <w:rsid w:val="00036199"/>
    <w:rsid w:val="000B3765"/>
    <w:rsid w:val="001C553B"/>
    <w:rsid w:val="001F0314"/>
    <w:rsid w:val="002C30FA"/>
    <w:rsid w:val="00306F80"/>
    <w:rsid w:val="00351DF4"/>
    <w:rsid w:val="00382AF9"/>
    <w:rsid w:val="003A70FA"/>
    <w:rsid w:val="004710C7"/>
    <w:rsid w:val="004F35EF"/>
    <w:rsid w:val="005719D6"/>
    <w:rsid w:val="005D7B22"/>
    <w:rsid w:val="00655845"/>
    <w:rsid w:val="00664292"/>
    <w:rsid w:val="00763C99"/>
    <w:rsid w:val="00773D44"/>
    <w:rsid w:val="007D2F95"/>
    <w:rsid w:val="009324B9"/>
    <w:rsid w:val="009E76B7"/>
    <w:rsid w:val="00A60152"/>
    <w:rsid w:val="00BF40B7"/>
    <w:rsid w:val="00C0762D"/>
    <w:rsid w:val="00D00EBD"/>
    <w:rsid w:val="00D1454C"/>
    <w:rsid w:val="00D33ACA"/>
    <w:rsid w:val="00D95527"/>
    <w:rsid w:val="00DA76D7"/>
    <w:rsid w:val="00DC1887"/>
    <w:rsid w:val="00E314AE"/>
    <w:rsid w:val="00E93ED6"/>
    <w:rsid w:val="00FE3EFE"/>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B0B6"/>
  <w15:chartTrackingRefBased/>
  <w15:docId w15:val="{1923D1EE-8865-4E25-8269-09F9E57A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B22"/>
    <w:rPr>
      <w:sz w:val="24"/>
    </w:rPr>
  </w:style>
  <w:style w:type="paragraph" w:styleId="Heading1">
    <w:name w:val="heading 1"/>
    <w:basedOn w:val="Normal"/>
    <w:next w:val="Normal"/>
    <w:link w:val="Heading1Char"/>
    <w:semiHidden/>
    <w:qFormat/>
    <w:rsid w:val="002C30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Footer2">
    <w:name w:val="EPFooter2"/>
    <w:basedOn w:val="Normal"/>
    <w:next w:val="Normal"/>
    <w:rsid w:val="00006052"/>
    <w:pPr>
      <w:tabs>
        <w:tab w:val="center" w:pos="4535"/>
        <w:tab w:val="right" w:pos="9921"/>
      </w:tabs>
      <w:ind w:left="-850" w:right="-850"/>
    </w:pPr>
    <w:rPr>
      <w:rFonts w:ascii="Arial" w:hAnsi="Arial" w:cs="Arial"/>
      <w:b/>
      <w:sz w:val="48"/>
    </w:rPr>
  </w:style>
  <w:style w:type="character" w:customStyle="1" w:styleId="HideTWBExt">
    <w:name w:val="HideTWBExt"/>
    <w:rsid w:val="00655845"/>
    <w:rPr>
      <w:rFonts w:ascii="Arial" w:hAnsi="Arial"/>
      <w:noProof/>
      <w:vanish/>
      <w:color w:val="000080"/>
      <w:sz w:val="20"/>
    </w:rPr>
  </w:style>
  <w:style w:type="character" w:customStyle="1" w:styleId="HideTWBInt">
    <w:name w:val="HideTWBInt"/>
    <w:rsid w:val="00655845"/>
    <w:rPr>
      <w:rFonts w:ascii="Arial" w:hAnsi="Arial" w:cs="Arial"/>
      <w:vanish/>
      <w:color w:val="808080"/>
      <w:sz w:val="20"/>
    </w:rPr>
  </w:style>
  <w:style w:type="paragraph" w:customStyle="1" w:styleId="EPFooter">
    <w:name w:val="EPFooter"/>
    <w:basedOn w:val="Normal"/>
    <w:rsid w:val="00D95527"/>
    <w:pPr>
      <w:tabs>
        <w:tab w:val="center" w:pos="4535"/>
        <w:tab w:val="right" w:pos="9071"/>
      </w:tabs>
      <w:spacing w:before="240" w:after="240"/>
    </w:pPr>
    <w:rPr>
      <w:color w:val="010000"/>
      <w:sz w:val="22"/>
    </w:rPr>
  </w:style>
  <w:style w:type="character" w:customStyle="1" w:styleId="Heading1Char">
    <w:name w:val="Heading 1 Char"/>
    <w:basedOn w:val="DefaultParagraphFont"/>
    <w:link w:val="Heading1"/>
    <w:semiHidden/>
    <w:rsid w:val="00BF40B7"/>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2C30FA"/>
    <w:pPr>
      <w:spacing w:after="240"/>
    </w:pPr>
  </w:style>
  <w:style w:type="paragraph" w:customStyle="1" w:styleId="Default">
    <w:name w:val="Default"/>
    <w:rsid w:val="004710C7"/>
    <w:pPr>
      <w:autoSpaceDE w:val="0"/>
      <w:autoSpaceDN w:val="0"/>
      <w:adjustRightInd w:val="0"/>
    </w:pPr>
    <w:rPr>
      <w:color w:val="000000"/>
      <w:sz w:val="24"/>
      <w:szCs w:val="24"/>
    </w:rPr>
  </w:style>
  <w:style w:type="paragraph" w:styleId="Footer">
    <w:name w:val="footer"/>
    <w:basedOn w:val="Normal"/>
    <w:link w:val="FooterChar"/>
    <w:rsid w:val="003A70FA"/>
    <w:pPr>
      <w:tabs>
        <w:tab w:val="center" w:pos="4513"/>
        <w:tab w:val="right" w:pos="9026"/>
      </w:tabs>
    </w:pPr>
  </w:style>
  <w:style w:type="character" w:customStyle="1" w:styleId="FooterChar">
    <w:name w:val="Footer Char"/>
    <w:basedOn w:val="DefaultParagraphFont"/>
    <w:link w:val="Footer"/>
    <w:rsid w:val="003A70FA"/>
    <w:rPr>
      <w:sz w:val="24"/>
    </w:rPr>
  </w:style>
  <w:style w:type="paragraph" w:styleId="Header">
    <w:name w:val="header"/>
    <w:basedOn w:val="Normal"/>
    <w:link w:val="HeaderChar"/>
    <w:rsid w:val="007D2F95"/>
    <w:pPr>
      <w:tabs>
        <w:tab w:val="center" w:pos="4513"/>
        <w:tab w:val="right" w:pos="9026"/>
      </w:tabs>
    </w:pPr>
  </w:style>
  <w:style w:type="character" w:customStyle="1" w:styleId="HeaderChar">
    <w:name w:val="Header Char"/>
    <w:basedOn w:val="DefaultParagraphFont"/>
    <w:link w:val="Header"/>
    <w:rsid w:val="007D2F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cuyer\AppData\Local\Temp\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1</Pages>
  <Words>2187</Words>
  <Characters>11872</Characters>
  <Application>Microsoft Office Word</Application>
  <DocSecurity>0</DocSecurity>
  <Lines>195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LECUYER Katarzyna</dc:creator>
  <cp:keywords/>
  <dc:description/>
  <cp:lastModifiedBy>GERMAIN Caroline</cp:lastModifiedBy>
  <cp:revision>2</cp:revision>
  <dcterms:created xsi:type="dcterms:W3CDTF">2025-01-10T10:50:00Z</dcterms:created>
  <dcterms:modified xsi:type="dcterms:W3CDTF">2025-01-10T10:50:00Z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NL</vt:lpwstr>
  </property>
  <property fmtid="{D5CDD505-2E9C-101B-9397-08002B2CF9AE}" pid="3" name="Created with">
    <vt:lpwstr>10.0.0 Build [20241115]</vt:lpwstr>
  </property>
  <property fmtid="{D5CDD505-2E9C-101B-9397-08002B2CF9AE}" pid="4" name="LastEdited with">
    <vt:lpwstr>10.0.0 Build [20241202]</vt:lpwstr>
  </property>
  <property fmtid="{D5CDD505-2E9C-101B-9397-08002B2CF9AE}" pid="5" name="&lt;FdR&gt;">
    <vt:lpwstr>1311203</vt:lpwstr>
  </property>
  <property fmtid="{D5CDD505-2E9C-101B-9397-08002B2CF9AE}" pid="6" name="&lt;Type&gt;">
    <vt:lpwstr>NT</vt:lpwstr>
  </property>
  <property fmtid="{D5CDD505-2E9C-101B-9397-08002B2CF9AE}" pid="7" name="&lt;ModelCod&gt;">
    <vt:lpwstr>NONE</vt:lpwstr>
  </property>
  <property fmtid="{D5CDD505-2E9C-101B-9397-08002B2CF9AE}" pid="8" name="&lt;ModelTra&gt;">
    <vt:lpwstr>NONE</vt:lpwstr>
  </property>
  <property fmtid="{D5CDD505-2E9C-101B-9397-08002B2CF9AE}" pid="9" name="&lt;Model&gt;">
    <vt:lpwstr>NONE</vt:lpwstr>
  </property>
  <property fmtid="{D5CDD505-2E9C-101B-9397-08002B2CF9AE}" pid="10" name="FooterPath">
    <vt:lpwstr>NT\1311203NL.docx</vt:lpwstr>
  </property>
  <property fmtid="{D5CDD505-2E9C-101B-9397-08002B2CF9AE}" pid="11" name="PE number">
    <vt:lpwstr>766.743</vt:lpwstr>
  </property>
  <property fmtid="{D5CDD505-2E9C-101B-9397-08002B2CF9AE}" pid="12" name="SendToEpades">
    <vt:lpwstr>OK - 2024/12/12 17:55</vt:lpwstr>
  </property>
  <property fmtid="{D5CDD505-2E9C-101B-9397-08002B2CF9AE}" pid="13" name="SDLStudio">
    <vt:lpwstr/>
  </property>
  <property fmtid="{D5CDD505-2E9C-101B-9397-08002B2CF9AE}" pid="14" name="Bookout">
    <vt:lpwstr>OK - 2025/01/10 11:50</vt:lpwstr>
  </property>
</Properties>
</file>