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9C4" w:rsidRPr="00906AF1" w:rsidRDefault="000729C4" w:rsidP="000729C4">
      <w:pPr>
        <w:rPr>
          <w:sz w:val="2"/>
          <w:szCs w:val="2"/>
        </w:rPr>
      </w:pPr>
    </w:p>
    <w:tbl>
      <w:tblPr>
        <w:tblW w:w="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60" w:type="dxa"/>
          <w:right w:w="60" w:type="dxa"/>
        </w:tblCellMar>
        <w:tblLook w:val="04A0" w:firstRow="1" w:lastRow="0" w:firstColumn="1" w:lastColumn="0" w:noHBand="0" w:noVBand="1"/>
      </w:tblPr>
      <w:tblGrid>
        <w:gridCol w:w="5987"/>
        <w:gridCol w:w="3084"/>
      </w:tblGrid>
      <w:tr w:rsidR="000729C4" w:rsidRPr="00906AF1" w:rsidTr="00BC55E5">
        <w:trPr>
          <w:jc w:val="center"/>
        </w:trPr>
        <w:tc>
          <w:tcPr>
            <w:tcW w:w="5987" w:type="dxa"/>
            <w:tcBorders>
              <w:top w:val="nil"/>
              <w:left w:val="nil"/>
              <w:bottom w:val="nil"/>
              <w:right w:val="nil"/>
            </w:tcBorders>
            <w:shd w:val="clear" w:color="auto" w:fill="FFFFFF"/>
            <w:tcMar>
              <w:top w:w="60" w:type="dxa"/>
              <w:left w:w="60" w:type="dxa"/>
              <w:bottom w:w="60" w:type="dxa"/>
              <w:right w:w="60" w:type="dxa"/>
            </w:tcMar>
            <w:vAlign w:val="bottom"/>
            <w:hideMark/>
          </w:tcPr>
          <w:p w:rsidR="000729C4" w:rsidRPr="00906AF1" w:rsidRDefault="000729C4" w:rsidP="00BC55E5">
            <w:pPr>
              <w:spacing w:after="160"/>
              <w:rPr>
                <w:rFonts w:ascii="Arial Narrow" w:hAnsi="Arial Narrow" w:cs="Arial Narrow"/>
                <w:sz w:val="32"/>
                <w:szCs w:val="32"/>
              </w:rPr>
            </w:pPr>
            <w:r w:rsidRPr="00906AF1">
              <w:rPr>
                <w:rFonts w:ascii="Arial Narrow" w:hAnsi="Arial Narrow"/>
                <w:b/>
                <w:sz w:val="32"/>
              </w:rPr>
              <w:t>Europos Parlamentas</w:t>
            </w:r>
          </w:p>
          <w:p w:rsidR="000729C4" w:rsidRPr="00906AF1" w:rsidRDefault="000729C4" w:rsidP="00BC55E5">
            <w:pPr>
              <w:rPr>
                <w:rFonts w:ascii="Arial" w:hAnsi="Arial" w:cs="Arial"/>
                <w:sz w:val="20"/>
              </w:rPr>
            </w:pPr>
            <w:r w:rsidRPr="00906AF1">
              <w:rPr>
                <w:rFonts w:ascii="Arial" w:hAnsi="Arial"/>
                <w:sz w:val="20"/>
              </w:rPr>
              <w:t>2024-2029</w:t>
            </w:r>
          </w:p>
        </w:tc>
        <w:tc>
          <w:tcPr>
            <w:tcW w:w="3084" w:type="dxa"/>
            <w:tcBorders>
              <w:top w:val="nil"/>
              <w:left w:val="nil"/>
              <w:bottom w:val="nil"/>
              <w:right w:val="nil"/>
            </w:tcBorders>
            <w:shd w:val="clear" w:color="auto" w:fill="FFFFFF"/>
            <w:tcMar>
              <w:top w:w="60" w:type="dxa"/>
              <w:left w:w="60" w:type="dxa"/>
              <w:bottom w:w="60" w:type="dxa"/>
              <w:right w:w="60" w:type="dxa"/>
            </w:tcMar>
            <w:vAlign w:val="bottom"/>
            <w:hideMark/>
          </w:tcPr>
          <w:p w:rsidR="000729C4" w:rsidRPr="00906AF1" w:rsidRDefault="000729C4" w:rsidP="00BC55E5">
            <w:pPr>
              <w:spacing w:line="320" w:lineRule="atLeast"/>
              <w:jc w:val="right"/>
              <w:rPr>
                <w:szCs w:val="24"/>
              </w:rPr>
            </w:pPr>
            <w:r w:rsidRPr="00906AF1">
              <w:rPr>
                <w:noProof/>
              </w:rPr>
              <w:drawing>
                <wp:inline distT="0" distB="0" distL="0" distR="0" wp14:anchorId="11F90A11" wp14:editId="1A03FA61">
                  <wp:extent cx="1119505" cy="61468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19505" cy="614680"/>
                          </a:xfrm>
                          <a:prstGeom prst="rect">
                            <a:avLst/>
                          </a:prstGeom>
                          <a:noFill/>
                          <a:ln>
                            <a:noFill/>
                          </a:ln>
                        </pic:spPr>
                      </pic:pic>
                    </a:graphicData>
                  </a:graphic>
                </wp:inline>
              </w:drawing>
            </w:r>
          </w:p>
        </w:tc>
      </w:tr>
      <w:tr w:rsidR="000729C4" w:rsidRPr="00906AF1" w:rsidTr="00BC55E5">
        <w:trPr>
          <w:jc w:val="center"/>
        </w:trPr>
        <w:tc>
          <w:tcPr>
            <w:tcW w:w="9071" w:type="dxa"/>
            <w:gridSpan w:val="2"/>
            <w:tcBorders>
              <w:top w:val="nil"/>
              <w:left w:val="nil"/>
              <w:bottom w:val="single" w:sz="4" w:space="0" w:color="000000"/>
              <w:right w:val="nil"/>
            </w:tcBorders>
            <w:shd w:val="clear" w:color="auto" w:fill="FFFFFF"/>
            <w:tcMar>
              <w:top w:w="60" w:type="dxa"/>
              <w:left w:w="60" w:type="dxa"/>
              <w:bottom w:w="60" w:type="dxa"/>
              <w:right w:w="60" w:type="dxa"/>
            </w:tcMar>
          </w:tcPr>
          <w:p w:rsidR="000729C4" w:rsidRPr="00906AF1" w:rsidRDefault="000729C4" w:rsidP="00BC55E5"/>
        </w:tc>
      </w:tr>
    </w:tbl>
    <w:p w:rsidR="000729C4" w:rsidRPr="00906AF1" w:rsidRDefault="000729C4" w:rsidP="000729C4">
      <w:pPr>
        <w:rPr>
          <w:rFonts w:ascii="Arial" w:hAnsi="Arial" w:cs="Arial"/>
          <w:sz w:val="20"/>
        </w:rPr>
      </w:pPr>
    </w:p>
    <w:p w:rsidR="000729C4" w:rsidRPr="00906AF1" w:rsidRDefault="000729C4" w:rsidP="000729C4">
      <w:pPr>
        <w:spacing w:after="120"/>
        <w:jc w:val="center"/>
        <w:rPr>
          <w:rFonts w:ascii="Arial" w:hAnsi="Arial" w:cs="Arial"/>
          <w:sz w:val="22"/>
          <w:szCs w:val="22"/>
        </w:rPr>
      </w:pPr>
      <w:r w:rsidRPr="00906AF1">
        <w:rPr>
          <w:rFonts w:ascii="Arial" w:hAnsi="Arial"/>
          <w:i/>
          <w:sz w:val="22"/>
        </w:rPr>
        <w:t>Piliečių laisvių, teisingumo ir vidaus reikalų komitetas</w:t>
      </w:r>
    </w:p>
    <w:p w:rsidR="000729C4" w:rsidRPr="00906AF1" w:rsidRDefault="000729C4" w:rsidP="000729C4">
      <w:pPr>
        <w:rPr>
          <w:rFonts w:ascii="Arial" w:hAnsi="Arial" w:cs="Arial"/>
          <w:sz w:val="22"/>
          <w:szCs w:val="22"/>
        </w:rPr>
      </w:pPr>
    </w:p>
    <w:p w:rsidR="000729C4" w:rsidRPr="00906AF1" w:rsidRDefault="000729C4" w:rsidP="000729C4">
      <w:pPr>
        <w:spacing w:before="240" w:after="240" w:line="320" w:lineRule="atLeast"/>
        <w:jc w:val="center"/>
        <w:rPr>
          <w:rFonts w:ascii="Arial" w:hAnsi="Arial" w:cs="Arial"/>
          <w:szCs w:val="24"/>
        </w:rPr>
      </w:pPr>
      <w:r w:rsidRPr="00906AF1">
        <w:rPr>
          <w:noProof/>
        </w:rPr>
        <mc:AlternateContent>
          <mc:Choice Requires="wps">
            <w:drawing>
              <wp:anchor distT="0" distB="0" distL="114300" distR="114300" simplePos="0" relativeHeight="251659264" behindDoc="0" locked="0" layoutInCell="0" allowOverlap="1" wp14:anchorId="25A92AAA" wp14:editId="65D683E9">
                <wp:simplePos x="0" y="0"/>
                <wp:positionH relativeFrom="page">
                  <wp:posOffset>889000</wp:posOffset>
                </wp:positionH>
                <wp:positionV relativeFrom="paragraph">
                  <wp:posOffset>-152400</wp:posOffset>
                </wp:positionV>
                <wp:extent cx="576580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2E2135"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pt,-12pt" to="52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mu/HQIAADY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" o:allowincell="f">
                <w10:wrap anchorx="page"/>
              </v:line>
            </w:pict>
          </mc:Fallback>
        </mc:AlternateContent>
      </w:r>
    </w:p>
    <w:p w:rsidR="000729C4" w:rsidRPr="00906AF1" w:rsidRDefault="000729C4" w:rsidP="000729C4">
      <w:pPr>
        <w:jc w:val="center"/>
        <w:rPr>
          <w:b/>
        </w:rPr>
      </w:pPr>
      <w:r w:rsidRPr="00906AF1">
        <w:rPr>
          <w:b/>
        </w:rPr>
        <w:t>Europos duomenų apsaugos priežiūros pareigūno skyrimas 2024–2029 m. kadencijai</w:t>
      </w:r>
    </w:p>
    <w:p w:rsidR="000729C4" w:rsidRPr="00906AF1" w:rsidRDefault="000729C4" w:rsidP="000729C4">
      <w:pPr>
        <w:jc w:val="center"/>
        <w:rPr>
          <w:b/>
        </w:rPr>
      </w:pPr>
      <w:r w:rsidRPr="00906AF1">
        <w:rPr>
          <w:b/>
        </w:rPr>
        <w:t>Kandidatų klausymas 2025 m. sausio 16 d. 9.00–10.30 val.</w:t>
      </w:r>
    </w:p>
    <w:p w:rsidR="000729C4" w:rsidRPr="00906AF1" w:rsidRDefault="000729C4" w:rsidP="000729C4">
      <w:pPr>
        <w:jc w:val="center"/>
        <w:rPr>
          <w:b/>
        </w:rPr>
      </w:pPr>
      <w:r w:rsidRPr="00906AF1">
        <w:rPr>
          <w:b/>
        </w:rPr>
        <w:t>Europos Parlamente</w:t>
      </w:r>
    </w:p>
    <w:p w:rsidR="000729C4" w:rsidRPr="00906AF1" w:rsidRDefault="000729C4" w:rsidP="000729C4">
      <w:pPr>
        <w:jc w:val="center"/>
        <w:rPr>
          <w:b/>
        </w:rPr>
      </w:pPr>
      <w:r w:rsidRPr="00906AF1">
        <w:rPr>
          <w:b/>
        </w:rPr>
        <w:t>Briuselis</w:t>
      </w:r>
      <w:bookmarkStart w:id="0" w:name="_GoBack"/>
      <w:bookmarkEnd w:id="0"/>
    </w:p>
    <w:p w:rsidR="000729C4" w:rsidRPr="00906AF1" w:rsidRDefault="000729C4" w:rsidP="000729C4"/>
    <w:p w:rsidR="000729C4" w:rsidRPr="00906AF1" w:rsidRDefault="000729C4" w:rsidP="000729C4"/>
    <w:p w:rsidR="000729C4" w:rsidRPr="00906AF1" w:rsidRDefault="000729C4" w:rsidP="000729C4">
      <w:pPr>
        <w:jc w:val="center"/>
      </w:pPr>
      <w:r w:rsidRPr="00906AF1">
        <w:t>Kandidato François PELLEGRINI atsakymai</w:t>
      </w:r>
    </w:p>
    <w:p w:rsidR="000729C4" w:rsidRPr="00906AF1" w:rsidRDefault="000729C4" w:rsidP="000729C4">
      <w:pPr>
        <w:rPr>
          <w:sz w:val="22"/>
          <w:szCs w:val="22"/>
        </w:rPr>
      </w:pPr>
    </w:p>
    <w:p w:rsidR="000729C4" w:rsidRPr="00906AF1" w:rsidRDefault="000729C4" w:rsidP="000729C4">
      <w:pPr>
        <w:rPr>
          <w:sz w:val="22"/>
          <w:szCs w:val="22"/>
        </w:rPr>
      </w:pPr>
    </w:p>
    <w:p w:rsidR="000729C4" w:rsidRPr="00906AF1" w:rsidRDefault="000729C4" w:rsidP="000729C4">
      <w:pPr>
        <w:rPr>
          <w:b/>
          <w:sz w:val="22"/>
          <w:szCs w:val="22"/>
        </w:rPr>
      </w:pPr>
      <w:r w:rsidRPr="00906AF1">
        <w:rPr>
          <w:b/>
          <w:sz w:val="22"/>
        </w:rPr>
        <w:t>1. Prašom nurodyti priežastis, kodėl pateikėte paraišką šioms pareigoms užimti ir kodėl manote, kad esate tinkamas (-a) šioms pareigoms.</w:t>
      </w:r>
    </w:p>
    <w:p w:rsidR="000729C4" w:rsidRPr="00906AF1" w:rsidRDefault="000729C4" w:rsidP="000729C4">
      <w:pPr>
        <w:pStyle w:val="Default"/>
        <w:rPr>
          <w:sz w:val="22"/>
          <w:szCs w:val="22"/>
        </w:rPr>
      </w:pPr>
    </w:p>
    <w:p w:rsidR="000729C4" w:rsidRPr="00906AF1" w:rsidRDefault="000729C4" w:rsidP="000729C4">
      <w:pPr>
        <w:pStyle w:val="BodyText"/>
        <w:rPr>
          <w:rFonts w:ascii="Times New Roman" w:hAnsi="Times New Roman" w:cs="Times New Roman"/>
          <w:sz w:val="22"/>
          <w:szCs w:val="22"/>
        </w:rPr>
      </w:pPr>
      <w:r w:rsidRPr="00906AF1">
        <w:rPr>
          <w:rFonts w:ascii="Times New Roman" w:hAnsi="Times New Roman"/>
          <w:sz w:val="22"/>
        </w:rPr>
        <w:t xml:space="preserve">Duomenų apsaugos srityje pradėjau dirbti 2014 m. vasario mėn., kai buvau paskirtas į Nacionalinės informatikos ir laisvių komisijos (pranc. CNIL) kolegiją. Vykdydamas įvairias užduotis CNIL turėjau galimybę bendradarbiauti </w:t>
      </w:r>
      <w:r w:rsidRPr="00906AF1">
        <w:rPr>
          <w:rFonts w:ascii="Times New Roman" w:hAnsi="Times New Roman"/>
          <w:b/>
          <w:bCs/>
          <w:sz w:val="22"/>
        </w:rPr>
        <w:t>kuriant bendrą Europos erdvę</w:t>
      </w:r>
      <w:r w:rsidRPr="00906AF1">
        <w:rPr>
          <w:rFonts w:ascii="Times New Roman" w:hAnsi="Times New Roman"/>
          <w:sz w:val="22"/>
        </w:rPr>
        <w:t xml:space="preserve">, apimančią </w:t>
      </w:r>
      <w:r w:rsidRPr="00906AF1">
        <w:rPr>
          <w:rFonts w:ascii="Times New Roman" w:hAnsi="Times New Roman"/>
          <w:b/>
          <w:bCs/>
          <w:sz w:val="22"/>
        </w:rPr>
        <w:t>inovacijas, ekonominį vystymąsi</w:t>
      </w:r>
      <w:r w:rsidRPr="00906AF1">
        <w:rPr>
          <w:rFonts w:ascii="Times New Roman" w:hAnsi="Times New Roman"/>
          <w:sz w:val="22"/>
        </w:rPr>
        <w:t xml:space="preserve"> ir teisių bei laisvių, kuriomis grindžiama Europos Sąjunga, </w:t>
      </w:r>
      <w:r w:rsidRPr="00906AF1">
        <w:rPr>
          <w:rFonts w:ascii="Times New Roman" w:hAnsi="Times New Roman"/>
          <w:b/>
          <w:bCs/>
          <w:sz w:val="22"/>
        </w:rPr>
        <w:t>apsaugą</w:t>
      </w:r>
      <w:r w:rsidRPr="00906AF1">
        <w:rPr>
          <w:rFonts w:ascii="Times New Roman" w:hAnsi="Times New Roman"/>
          <w:sz w:val="22"/>
        </w:rPr>
        <w:t>. Vykdydamas šias įvairias užduotis</w:t>
      </w:r>
      <w:r w:rsidRPr="00906AF1">
        <w:rPr>
          <w:rFonts w:ascii="Times New Roman" w:hAnsi="Times New Roman"/>
          <w:b/>
          <w:bCs/>
          <w:sz w:val="22"/>
        </w:rPr>
        <w:t xml:space="preserve"> nuolat bendravau su EDAPP</w:t>
      </w:r>
      <w:r w:rsidRPr="00906AF1">
        <w:rPr>
          <w:rFonts w:ascii="Times New Roman" w:hAnsi="Times New Roman"/>
          <w:sz w:val="22"/>
        </w:rPr>
        <w:t xml:space="preserve">, teisėkūros institucijomis ir kai kuriomis ES institucijomis (visų pirma Europolu) labai </w:t>
      </w:r>
      <w:r w:rsidRPr="00906AF1">
        <w:rPr>
          <w:rFonts w:ascii="Times New Roman" w:hAnsi="Times New Roman"/>
          <w:b/>
          <w:bCs/>
          <w:sz w:val="22"/>
        </w:rPr>
        <w:t>aukšto lygio daugiakultūrėje aplinkoje</w:t>
      </w:r>
      <w:r w:rsidRPr="00906AF1">
        <w:rPr>
          <w:rFonts w:ascii="Times New Roman" w:hAnsi="Times New Roman"/>
          <w:sz w:val="22"/>
        </w:rPr>
        <w:t xml:space="preserve">. 2024 m. vasario mėn. pasibaigus antrajai ir paskutinei kadencijai CNIL, norėjau tęsti šį įkvepiantį </w:t>
      </w:r>
      <w:r w:rsidRPr="00906AF1">
        <w:rPr>
          <w:rFonts w:ascii="Times New Roman" w:hAnsi="Times New Roman"/>
          <w:b/>
          <w:bCs/>
          <w:sz w:val="22"/>
        </w:rPr>
        <w:t>intelektinį ir žmogiškąjį nuotykį</w:t>
      </w:r>
      <w:r w:rsidRPr="00906AF1">
        <w:rPr>
          <w:rFonts w:ascii="Times New Roman" w:hAnsi="Times New Roman"/>
          <w:sz w:val="22"/>
        </w:rPr>
        <w:t>.</w:t>
      </w:r>
    </w:p>
    <w:p w:rsidR="000729C4" w:rsidRPr="00906AF1" w:rsidRDefault="000729C4" w:rsidP="000729C4">
      <w:pPr>
        <w:pStyle w:val="BodyText"/>
        <w:rPr>
          <w:rFonts w:ascii="Times New Roman" w:hAnsi="Times New Roman" w:cs="Times New Roman"/>
          <w:sz w:val="22"/>
          <w:szCs w:val="22"/>
        </w:rPr>
      </w:pPr>
      <w:r w:rsidRPr="00906AF1">
        <w:rPr>
          <w:rFonts w:ascii="Times New Roman" w:hAnsi="Times New Roman"/>
          <w:sz w:val="22"/>
        </w:rPr>
        <w:t xml:space="preserve">Nusprendžiau kandidatuoti į EDAPP pareigas ir iš esmės pakeisti savo gyvenimą, nes jaučiu, kad turiu </w:t>
      </w:r>
      <w:r w:rsidRPr="00906AF1">
        <w:rPr>
          <w:rFonts w:ascii="Times New Roman" w:hAnsi="Times New Roman"/>
          <w:b/>
          <w:bCs/>
          <w:sz w:val="22"/>
        </w:rPr>
        <w:t>visų šiam darbui reikalingų įgūdžių, gebėjimų ir paskatų</w:t>
      </w:r>
      <w:r w:rsidRPr="00906AF1">
        <w:rPr>
          <w:rFonts w:ascii="Times New Roman" w:hAnsi="Times New Roman"/>
          <w:sz w:val="22"/>
        </w:rPr>
        <w:t xml:space="preserve">. Tai, kad dirbdamas CNIL buvau atsakingas už dvi sritis – internetinės reklamos ir kibernetinio saugumo sektorius, leido man spręsti įvairiausius </w:t>
      </w:r>
      <w:r w:rsidRPr="00906AF1">
        <w:rPr>
          <w:rFonts w:ascii="Times New Roman" w:hAnsi="Times New Roman"/>
          <w:b/>
          <w:bCs/>
          <w:sz w:val="22"/>
        </w:rPr>
        <w:t>teisinius, techninius ir ekonominius klausimus</w:t>
      </w:r>
      <w:r w:rsidRPr="00906AF1">
        <w:rPr>
          <w:rFonts w:ascii="Times New Roman" w:hAnsi="Times New Roman"/>
          <w:sz w:val="22"/>
        </w:rPr>
        <w:t xml:space="preserve">, susijusius su duomenų apsauga. Bendravau su visos Prancūzijos reklamos pasaulio dalyviais, kurių požiūris kartais toli gražu neatitikdavo mūsų nuomonės. Eidamas komisijos nario pranešėjo pareigas, </w:t>
      </w:r>
      <w:r w:rsidRPr="00906AF1">
        <w:rPr>
          <w:rFonts w:ascii="Times New Roman" w:hAnsi="Times New Roman"/>
          <w:b/>
          <w:bCs/>
          <w:sz w:val="22"/>
        </w:rPr>
        <w:t>ištyriau</w:t>
      </w:r>
      <w:r w:rsidRPr="00906AF1">
        <w:rPr>
          <w:rFonts w:ascii="Times New Roman" w:hAnsi="Times New Roman"/>
          <w:sz w:val="22"/>
        </w:rPr>
        <w:t xml:space="preserve"> keletą bylų, visų pirma susijusių su „technologijų milžinėmis“, ir šias bylas pristačiau CNIL </w:t>
      </w:r>
      <w:r w:rsidRPr="00906AF1">
        <w:rPr>
          <w:rFonts w:ascii="Times New Roman" w:hAnsi="Times New Roman"/>
          <w:b/>
          <w:bCs/>
          <w:sz w:val="22"/>
        </w:rPr>
        <w:t>sankcijų kolegijai</w:t>
      </w:r>
      <w:r w:rsidRPr="00906AF1">
        <w:rPr>
          <w:rFonts w:ascii="Times New Roman" w:hAnsi="Times New Roman"/>
          <w:sz w:val="22"/>
        </w:rPr>
        <w:t xml:space="preserve">, dalyvaujant atsakovams ir jų advokatams. Atstovaudamas CNIL Europos duomenų apsaugos valdyboje (EDAV), turėjau galimybę užmegzti ryšius su kolegomis ir taip padėti </w:t>
      </w:r>
      <w:r w:rsidRPr="00906AF1">
        <w:rPr>
          <w:rFonts w:ascii="Times New Roman" w:hAnsi="Times New Roman"/>
          <w:b/>
          <w:bCs/>
          <w:sz w:val="22"/>
        </w:rPr>
        <w:t>pasiekti institucijų susitarimus</w:t>
      </w:r>
      <w:r w:rsidRPr="00906AF1">
        <w:rPr>
          <w:rFonts w:ascii="Times New Roman" w:hAnsi="Times New Roman"/>
          <w:sz w:val="22"/>
        </w:rPr>
        <w:t xml:space="preserve">. Daugelį jų vis dar pažįstu, esu užmezgęs </w:t>
      </w:r>
      <w:r w:rsidRPr="00906AF1">
        <w:rPr>
          <w:rFonts w:ascii="Times New Roman" w:hAnsi="Times New Roman"/>
          <w:b/>
          <w:bCs/>
          <w:sz w:val="22"/>
        </w:rPr>
        <w:t>pasitikėjimo ryšius</w:t>
      </w:r>
      <w:r w:rsidRPr="00906AF1">
        <w:rPr>
          <w:rFonts w:ascii="Times New Roman" w:hAnsi="Times New Roman"/>
          <w:sz w:val="22"/>
        </w:rPr>
        <w:t xml:space="preserve">. Būdamas atsakingas už </w:t>
      </w:r>
      <w:r w:rsidRPr="00906AF1">
        <w:rPr>
          <w:rFonts w:ascii="Times New Roman" w:hAnsi="Times New Roman"/>
          <w:b/>
          <w:bCs/>
          <w:sz w:val="22"/>
        </w:rPr>
        <w:t>Europos teisėsaugos bylas</w:t>
      </w:r>
      <w:r w:rsidRPr="00906AF1">
        <w:rPr>
          <w:rFonts w:ascii="Times New Roman" w:hAnsi="Times New Roman"/>
          <w:sz w:val="22"/>
        </w:rPr>
        <w:t xml:space="preserve"> CNIL, dalyvavau koordinuotai prižiūrint dideles ES bylas, pvz., Europolo. Kalbant apie pastarąsias, penkerius metus buvau išrinktas </w:t>
      </w:r>
      <w:r w:rsidRPr="00906AF1">
        <w:rPr>
          <w:rFonts w:ascii="Times New Roman" w:hAnsi="Times New Roman"/>
          <w:b/>
          <w:bCs/>
          <w:sz w:val="22"/>
        </w:rPr>
        <w:t>Europolo bendradarbiavimo valdybos pirmininku</w:t>
      </w:r>
      <w:r w:rsidRPr="00906AF1">
        <w:rPr>
          <w:rFonts w:ascii="Times New Roman" w:hAnsi="Times New Roman"/>
          <w:sz w:val="22"/>
        </w:rPr>
        <w:t xml:space="preserve">; šias pareigas ėjau nuo valdybos įsteigimo iki jos integravimo į EDAV koordinuotos priežiūros komitetą. Šios pareigos suteikė man galimybę </w:t>
      </w:r>
      <w:r w:rsidRPr="00906AF1">
        <w:rPr>
          <w:rFonts w:ascii="Times New Roman" w:hAnsi="Times New Roman"/>
          <w:b/>
          <w:bCs/>
          <w:sz w:val="22"/>
        </w:rPr>
        <w:t>glaudžiai bendradarbiauti su EDAPP</w:t>
      </w:r>
      <w:r w:rsidRPr="00906AF1">
        <w:rPr>
          <w:rFonts w:ascii="Times New Roman" w:hAnsi="Times New Roman"/>
          <w:sz w:val="22"/>
        </w:rPr>
        <w:t>, jam atliekant Europolo bylų priežiūros funkciją, taip pat su Jungtinės parlamentinės kontrolės grupės (JPKG) nariais.</w:t>
      </w:r>
    </w:p>
    <w:p w:rsidR="000729C4" w:rsidRPr="00906AF1" w:rsidRDefault="000729C4" w:rsidP="000729C4">
      <w:pPr>
        <w:pStyle w:val="BodyText"/>
        <w:rPr>
          <w:rFonts w:ascii="Times New Roman" w:hAnsi="Times New Roman" w:cs="Times New Roman"/>
          <w:sz w:val="22"/>
          <w:szCs w:val="22"/>
        </w:rPr>
      </w:pPr>
      <w:r w:rsidRPr="00906AF1">
        <w:rPr>
          <w:rFonts w:ascii="Times New Roman" w:hAnsi="Times New Roman"/>
          <w:sz w:val="22"/>
        </w:rPr>
        <w:t xml:space="preserve">Tarptautiniu mastu dalyvavau 2019 m. Vašingtone vykusioje </w:t>
      </w:r>
      <w:r w:rsidRPr="00906AF1">
        <w:rPr>
          <w:rFonts w:ascii="Times New Roman" w:hAnsi="Times New Roman"/>
          <w:b/>
          <w:bCs/>
          <w:sz w:val="22"/>
        </w:rPr>
        <w:t>privatumo skydo peržiūroje</w:t>
      </w:r>
      <w:r w:rsidRPr="00906AF1">
        <w:rPr>
          <w:rFonts w:ascii="Times New Roman" w:hAnsi="Times New Roman"/>
          <w:sz w:val="22"/>
        </w:rPr>
        <w:t xml:space="preserve"> dalyvavusių Europos institucijų delegacijoje. Kaip individualus ekspertas Tarptautinės frankofonijos organizacijos vardu taip pat surengiau daug Vakarų ir Centrinės Afrikos vyriausybėms ir parlamentams skirtų </w:t>
      </w:r>
      <w:r w:rsidRPr="00906AF1">
        <w:rPr>
          <w:rFonts w:ascii="Times New Roman" w:hAnsi="Times New Roman"/>
          <w:b/>
          <w:bCs/>
          <w:sz w:val="22"/>
        </w:rPr>
        <w:t>konsultacinių misijų skaitmeninėje ir plėtros srityse</w:t>
      </w:r>
      <w:r w:rsidRPr="00906AF1">
        <w:rPr>
          <w:rFonts w:ascii="Times New Roman" w:hAnsi="Times New Roman"/>
          <w:sz w:val="22"/>
        </w:rPr>
        <w:t xml:space="preserve">. Kalbant apie </w:t>
      </w:r>
      <w:r w:rsidRPr="00906AF1">
        <w:rPr>
          <w:rFonts w:ascii="Times New Roman" w:hAnsi="Times New Roman"/>
          <w:b/>
          <w:bCs/>
          <w:sz w:val="22"/>
        </w:rPr>
        <w:t>valdymą</w:t>
      </w:r>
      <w:r w:rsidRPr="00906AF1">
        <w:rPr>
          <w:rFonts w:ascii="Times New Roman" w:hAnsi="Times New Roman"/>
          <w:sz w:val="22"/>
        </w:rPr>
        <w:t xml:space="preserve">, mano patirtis yra įvairi – </w:t>
      </w:r>
      <w:r w:rsidRPr="00906AF1">
        <w:rPr>
          <w:rFonts w:ascii="Times New Roman" w:hAnsi="Times New Roman"/>
          <w:sz w:val="22"/>
        </w:rPr>
        <w:lastRenderedPageBreak/>
        <w:t xml:space="preserve">nuo išsamios individualios priežiūros (doktorantūros studentai ir nedidelė inžinierių komanda) iki vadovavimo didelėms komandoms CNIL (kartu prižiūrint dešimties asmenų tarptautinių reikalų departamento veiklą ir bendraujant su Ekonomikos reikalų departamentu) ir Bordo universitete (vadovaujant informacinių technologijų departamentui, kuriame dirba </w:t>
      </w:r>
      <w:r w:rsidRPr="00906AF1">
        <w:rPr>
          <w:rFonts w:ascii="Times New Roman" w:hAnsi="Times New Roman"/>
          <w:b/>
          <w:bCs/>
          <w:sz w:val="22"/>
        </w:rPr>
        <w:t>daugiau kaip 90 darbuotojų</w:t>
      </w:r>
      <w:r w:rsidRPr="00906AF1">
        <w:rPr>
          <w:rFonts w:ascii="Times New Roman" w:hAnsi="Times New Roman"/>
          <w:sz w:val="22"/>
        </w:rPr>
        <w:t>).</w:t>
      </w:r>
    </w:p>
    <w:p w:rsidR="000729C4" w:rsidRPr="00906AF1" w:rsidRDefault="000729C4" w:rsidP="000729C4">
      <w:pPr>
        <w:pStyle w:val="BodyText"/>
        <w:rPr>
          <w:rFonts w:ascii="Times New Roman" w:hAnsi="Times New Roman" w:cs="Times New Roman"/>
          <w:sz w:val="22"/>
          <w:szCs w:val="22"/>
        </w:rPr>
      </w:pPr>
      <w:r w:rsidRPr="00906AF1">
        <w:rPr>
          <w:rFonts w:ascii="Times New Roman" w:hAnsi="Times New Roman"/>
          <w:sz w:val="22"/>
        </w:rPr>
        <w:t xml:space="preserve">Esu dalyvavęs įvairiuose mokymuose, kuriuose įgijau </w:t>
      </w:r>
      <w:r w:rsidRPr="00906AF1">
        <w:rPr>
          <w:rFonts w:ascii="Times New Roman" w:hAnsi="Times New Roman"/>
          <w:b/>
          <w:bCs/>
          <w:sz w:val="22"/>
        </w:rPr>
        <w:t>puikių mokymo ir žiniasklaidos srities įgūdžių</w:t>
      </w:r>
      <w:r w:rsidRPr="00906AF1">
        <w:rPr>
          <w:rFonts w:ascii="Times New Roman" w:hAnsi="Times New Roman"/>
          <w:sz w:val="22"/>
        </w:rPr>
        <w:t xml:space="preserve">. Esu parengęs mokymo modulių, dalyvavęs keliuose dokumentiniuose filmuose, trejus metus Bordo vietos televizijoje buvau savaitinės trumpos laidos apie skaitmeninį pasaulį vedėjas. Dalyvavau propagavimo kampanijose Europos lygmeniu ir esu susipažinęs su visa jų specifika. Mano patirtis rodo mano </w:t>
      </w:r>
      <w:r w:rsidRPr="00906AF1">
        <w:rPr>
          <w:rFonts w:ascii="Times New Roman" w:hAnsi="Times New Roman"/>
          <w:b/>
          <w:bCs/>
          <w:sz w:val="22"/>
        </w:rPr>
        <w:t>savarankiškumą ir ryžtą</w:t>
      </w:r>
      <w:r w:rsidRPr="00906AF1">
        <w:rPr>
          <w:rFonts w:ascii="Times New Roman" w:hAnsi="Times New Roman"/>
          <w:sz w:val="22"/>
        </w:rPr>
        <w:t xml:space="preserve"> vykdyti savo veiklą.</w:t>
      </w:r>
    </w:p>
    <w:p w:rsidR="000729C4" w:rsidRPr="00906AF1" w:rsidRDefault="000729C4" w:rsidP="000729C4">
      <w:pPr>
        <w:pStyle w:val="BodyText"/>
        <w:rPr>
          <w:rFonts w:ascii="Times New Roman" w:hAnsi="Times New Roman" w:cs="Times New Roman"/>
          <w:sz w:val="22"/>
          <w:szCs w:val="22"/>
        </w:rPr>
      </w:pPr>
      <w:r w:rsidRPr="00906AF1">
        <w:rPr>
          <w:rFonts w:ascii="Times New Roman" w:hAnsi="Times New Roman"/>
          <w:sz w:val="22"/>
        </w:rPr>
        <w:t xml:space="preserve">Kiekvienoje savo veikloje vadovaujuosi principu </w:t>
      </w:r>
      <w:r w:rsidRPr="00906AF1">
        <w:rPr>
          <w:rFonts w:ascii="Times New Roman" w:hAnsi="Times New Roman"/>
          <w:b/>
          <w:bCs/>
          <w:sz w:val="22"/>
        </w:rPr>
        <w:t>„Galvok globaliai – veik lokaliai“</w:t>
      </w:r>
      <w:r w:rsidRPr="00906AF1">
        <w:rPr>
          <w:rFonts w:ascii="Times New Roman" w:hAnsi="Times New Roman"/>
          <w:sz w:val="22"/>
        </w:rPr>
        <w:t xml:space="preserve">: išanalizavęs susijusius dalyvius, jų veiklos būdus ir tarpusavio ryšius, parengiu </w:t>
      </w:r>
      <w:r w:rsidRPr="00906AF1">
        <w:rPr>
          <w:rFonts w:ascii="Times New Roman" w:hAnsi="Times New Roman"/>
          <w:b/>
          <w:bCs/>
          <w:sz w:val="22"/>
        </w:rPr>
        <w:t>veiksmų planus</w:t>
      </w:r>
      <w:r w:rsidRPr="00906AF1">
        <w:rPr>
          <w:rFonts w:ascii="Times New Roman" w:hAnsi="Times New Roman"/>
          <w:sz w:val="22"/>
        </w:rPr>
        <w:t xml:space="preserve">, kuriais siekiama kuo geriau pasinaudoti </w:t>
      </w:r>
      <w:r w:rsidRPr="00906AF1">
        <w:rPr>
          <w:rFonts w:ascii="Times New Roman" w:hAnsi="Times New Roman"/>
          <w:b/>
          <w:bCs/>
          <w:sz w:val="22"/>
        </w:rPr>
        <w:t>tinklaveika</w:t>
      </w:r>
      <w:r w:rsidRPr="00906AF1">
        <w:rPr>
          <w:rFonts w:ascii="Times New Roman" w:hAnsi="Times New Roman"/>
          <w:sz w:val="22"/>
        </w:rPr>
        <w:t xml:space="preserve"> su nustatytais suinteresuotaisiais subjektais, siekiant </w:t>
      </w:r>
      <w:r w:rsidRPr="00906AF1">
        <w:rPr>
          <w:rFonts w:ascii="Times New Roman" w:hAnsi="Times New Roman"/>
          <w:b/>
          <w:bCs/>
          <w:sz w:val="22"/>
        </w:rPr>
        <w:t>sutelkti išteklius</w:t>
      </w:r>
      <w:r w:rsidRPr="00906AF1">
        <w:rPr>
          <w:rFonts w:ascii="Times New Roman" w:hAnsi="Times New Roman"/>
          <w:sz w:val="22"/>
        </w:rPr>
        <w:t xml:space="preserve"> ir pastangas pagal </w:t>
      </w:r>
      <w:r w:rsidRPr="00906AF1">
        <w:rPr>
          <w:rFonts w:ascii="Times New Roman" w:hAnsi="Times New Roman"/>
          <w:b/>
          <w:bCs/>
          <w:sz w:val="22"/>
        </w:rPr>
        <w:t>bendradarbiavimo strategijas</w:t>
      </w:r>
      <w:r w:rsidRPr="00906AF1">
        <w:rPr>
          <w:rFonts w:ascii="Times New Roman" w:hAnsi="Times New Roman"/>
          <w:sz w:val="22"/>
        </w:rPr>
        <w:t>, pritaikytas kiekvienam sprendimų priėmimo lygiui.</w:t>
      </w:r>
    </w:p>
    <w:p w:rsidR="000729C4" w:rsidRPr="00906AF1" w:rsidRDefault="000729C4" w:rsidP="000729C4">
      <w:pPr>
        <w:pStyle w:val="BodyText"/>
        <w:rPr>
          <w:rFonts w:ascii="Times New Roman" w:hAnsi="Times New Roman" w:cs="Times New Roman"/>
          <w:sz w:val="22"/>
          <w:szCs w:val="22"/>
        </w:rPr>
      </w:pPr>
      <w:r w:rsidRPr="00906AF1">
        <w:rPr>
          <w:rFonts w:ascii="Times New Roman" w:hAnsi="Times New Roman"/>
          <w:sz w:val="22"/>
        </w:rPr>
        <w:t xml:space="preserve">Turiu visus šioms pareigoms reikalingus įgūdžius: </w:t>
      </w:r>
      <w:r w:rsidRPr="00906AF1">
        <w:rPr>
          <w:rFonts w:ascii="Times New Roman" w:hAnsi="Times New Roman"/>
          <w:b/>
          <w:bCs/>
          <w:sz w:val="22"/>
        </w:rPr>
        <w:t>išsamias žinias apie duomenų apsaugą</w:t>
      </w:r>
      <w:r w:rsidRPr="00906AF1">
        <w:rPr>
          <w:rFonts w:ascii="Times New Roman" w:hAnsi="Times New Roman"/>
          <w:sz w:val="22"/>
        </w:rPr>
        <w:t xml:space="preserve"> ir </w:t>
      </w:r>
      <w:r w:rsidRPr="00906AF1">
        <w:rPr>
          <w:rFonts w:ascii="Times New Roman" w:hAnsi="Times New Roman"/>
          <w:b/>
          <w:bCs/>
          <w:sz w:val="22"/>
        </w:rPr>
        <w:t>Europos Sąjungos institucijų</w:t>
      </w:r>
      <w:r w:rsidRPr="00906AF1">
        <w:rPr>
          <w:rFonts w:ascii="Times New Roman" w:hAnsi="Times New Roman"/>
          <w:sz w:val="22"/>
        </w:rPr>
        <w:t xml:space="preserve"> (įskaitant EDAPP) </w:t>
      </w:r>
      <w:r w:rsidRPr="00906AF1">
        <w:rPr>
          <w:rFonts w:ascii="Times New Roman" w:hAnsi="Times New Roman"/>
          <w:b/>
          <w:bCs/>
          <w:sz w:val="22"/>
        </w:rPr>
        <w:t>darbą</w:t>
      </w:r>
      <w:r w:rsidRPr="00906AF1">
        <w:rPr>
          <w:rFonts w:ascii="Times New Roman" w:hAnsi="Times New Roman"/>
          <w:sz w:val="22"/>
        </w:rPr>
        <w:t xml:space="preserve">, mano projektams įgyvendinti reikalingus administracinio </w:t>
      </w:r>
      <w:r w:rsidRPr="00906AF1">
        <w:rPr>
          <w:rFonts w:ascii="Times New Roman" w:hAnsi="Times New Roman"/>
          <w:b/>
          <w:bCs/>
          <w:sz w:val="22"/>
        </w:rPr>
        <w:t>organizavimo įgūdžius</w:t>
      </w:r>
      <w:r w:rsidRPr="00906AF1">
        <w:rPr>
          <w:rFonts w:ascii="Times New Roman" w:hAnsi="Times New Roman"/>
          <w:sz w:val="22"/>
        </w:rPr>
        <w:t xml:space="preserve">, </w:t>
      </w:r>
      <w:r w:rsidRPr="00906AF1">
        <w:rPr>
          <w:rFonts w:ascii="Times New Roman" w:hAnsi="Times New Roman"/>
          <w:b/>
          <w:bCs/>
          <w:sz w:val="22"/>
        </w:rPr>
        <w:t>mokslines, technines ir teisines žinias</w:t>
      </w:r>
      <w:r w:rsidRPr="00906AF1">
        <w:rPr>
          <w:rFonts w:ascii="Times New Roman" w:hAnsi="Times New Roman"/>
          <w:sz w:val="22"/>
        </w:rPr>
        <w:t>, padedančias suprasti naujų technologijų veikimą ir iššūkius (</w:t>
      </w:r>
      <w:r w:rsidRPr="00906AF1">
        <w:rPr>
          <w:rFonts w:ascii="Times New Roman" w:hAnsi="Times New Roman"/>
          <w:b/>
          <w:bCs/>
          <w:sz w:val="22"/>
        </w:rPr>
        <w:t>dirbtinis intelektas</w:t>
      </w:r>
      <w:r w:rsidRPr="00906AF1">
        <w:rPr>
          <w:rFonts w:ascii="Times New Roman" w:hAnsi="Times New Roman"/>
          <w:sz w:val="22"/>
        </w:rPr>
        <w:t xml:space="preserve">, </w:t>
      </w:r>
      <w:r w:rsidRPr="00906AF1">
        <w:rPr>
          <w:rFonts w:ascii="Times New Roman" w:hAnsi="Times New Roman"/>
          <w:b/>
          <w:bCs/>
          <w:sz w:val="22"/>
        </w:rPr>
        <w:t>kibernetinis saugumas</w:t>
      </w:r>
      <w:r w:rsidRPr="00906AF1">
        <w:rPr>
          <w:rFonts w:ascii="Times New Roman" w:hAnsi="Times New Roman"/>
          <w:sz w:val="22"/>
        </w:rPr>
        <w:t xml:space="preserve"> ir t. t.), </w:t>
      </w:r>
      <w:r w:rsidRPr="00906AF1">
        <w:rPr>
          <w:rFonts w:ascii="Times New Roman" w:hAnsi="Times New Roman"/>
          <w:b/>
          <w:bCs/>
          <w:sz w:val="22"/>
        </w:rPr>
        <w:t>verslumo patirtį</w:t>
      </w:r>
      <w:r w:rsidRPr="00906AF1">
        <w:rPr>
          <w:rFonts w:ascii="Times New Roman" w:hAnsi="Times New Roman"/>
          <w:sz w:val="22"/>
        </w:rPr>
        <w:t xml:space="preserve"> ir </w:t>
      </w:r>
      <w:r w:rsidRPr="00906AF1">
        <w:rPr>
          <w:rFonts w:ascii="Times New Roman" w:hAnsi="Times New Roman"/>
          <w:b/>
          <w:bCs/>
          <w:sz w:val="22"/>
        </w:rPr>
        <w:t>žiniasklaidos įgūdžius</w:t>
      </w:r>
      <w:r w:rsidRPr="00906AF1">
        <w:rPr>
          <w:rFonts w:ascii="Times New Roman" w:hAnsi="Times New Roman"/>
          <w:sz w:val="22"/>
        </w:rPr>
        <w:t>, skirtus savo pareigoms propaguoti ir savo idėjoms skleisti.</w:t>
      </w:r>
    </w:p>
    <w:p w:rsidR="000729C4" w:rsidRPr="00906AF1" w:rsidRDefault="000729C4" w:rsidP="000729C4">
      <w:pPr>
        <w:rPr>
          <w:sz w:val="22"/>
          <w:szCs w:val="22"/>
        </w:rPr>
      </w:pPr>
      <w:r w:rsidRPr="00906AF1">
        <w:rPr>
          <w:sz w:val="22"/>
        </w:rPr>
        <w:t>Kadangi esu Europos Sąjungos projekto mylėtojas, mėgstu iššūkius ir esu pasišventęs pagrindinių teisių ir laisvių išsaugojimui, užduotys, kurias galėjau vykdyti CNIL Europos lygmeniu, man buvo ypatinga patirtis, todėl norėčiau ją tęsti.</w:t>
      </w:r>
    </w:p>
    <w:p w:rsidR="000729C4" w:rsidRPr="00906AF1" w:rsidRDefault="000729C4" w:rsidP="000729C4">
      <w:pPr>
        <w:rPr>
          <w:sz w:val="22"/>
          <w:szCs w:val="22"/>
        </w:rPr>
      </w:pPr>
    </w:p>
    <w:p w:rsidR="000729C4" w:rsidRPr="00906AF1" w:rsidRDefault="000729C4" w:rsidP="000729C4">
      <w:pPr>
        <w:rPr>
          <w:b/>
          <w:sz w:val="22"/>
          <w:szCs w:val="22"/>
        </w:rPr>
      </w:pPr>
      <w:r w:rsidRPr="00906AF1">
        <w:rPr>
          <w:b/>
          <w:sz w:val="22"/>
        </w:rPr>
        <w:t>2. Kaip ketinate atlikti Europos duomenų apsaugos priežiūros pareigūnui teisiškai priskirtą vaidmenį?</w:t>
      </w:r>
    </w:p>
    <w:p w:rsidR="000729C4" w:rsidRPr="00906AF1" w:rsidRDefault="000729C4" w:rsidP="000729C4">
      <w:pPr>
        <w:rPr>
          <w:sz w:val="22"/>
          <w:szCs w:val="22"/>
        </w:rPr>
      </w:pPr>
    </w:p>
    <w:p w:rsidR="000729C4" w:rsidRPr="00906AF1" w:rsidRDefault="000729C4" w:rsidP="000729C4">
      <w:pPr>
        <w:pStyle w:val="BodyText"/>
        <w:rPr>
          <w:rFonts w:ascii="Times New Roman" w:hAnsi="Times New Roman" w:cs="Times New Roman"/>
          <w:sz w:val="22"/>
          <w:szCs w:val="22"/>
        </w:rPr>
      </w:pPr>
      <w:r w:rsidRPr="00906AF1">
        <w:rPr>
          <w:rFonts w:ascii="Times New Roman" w:hAnsi="Times New Roman"/>
          <w:sz w:val="22"/>
        </w:rPr>
        <w:t xml:space="preserve">EDAPP yra ypatinga institucija: ji neturi kai kurių nacionalinių valdžios institucijų kompetencijų, tačiau atlieka </w:t>
      </w:r>
      <w:r w:rsidRPr="00906AF1">
        <w:rPr>
          <w:rFonts w:ascii="Times New Roman" w:hAnsi="Times New Roman"/>
          <w:b/>
          <w:bCs/>
          <w:sz w:val="22"/>
        </w:rPr>
        <w:t>išskirtinį vaidmenį konsultuodama Europos teisės aktų leidėjus</w:t>
      </w:r>
      <w:r w:rsidRPr="00906AF1">
        <w:rPr>
          <w:rFonts w:ascii="Times New Roman" w:hAnsi="Times New Roman"/>
          <w:sz w:val="22"/>
        </w:rPr>
        <w:t xml:space="preserve"> kuo arčiau ES teisėkūros proceso. Tai suteikia jai </w:t>
      </w:r>
      <w:r w:rsidRPr="00906AF1">
        <w:rPr>
          <w:rFonts w:ascii="Times New Roman" w:hAnsi="Times New Roman"/>
          <w:b/>
          <w:bCs/>
          <w:sz w:val="22"/>
        </w:rPr>
        <w:t>ypatingą atsakomybę</w:t>
      </w:r>
      <w:r w:rsidRPr="00906AF1">
        <w:rPr>
          <w:rFonts w:ascii="Times New Roman" w:hAnsi="Times New Roman"/>
          <w:sz w:val="22"/>
        </w:rPr>
        <w:t>, kartais kartu su EDAV, padėti užtikrinti daugelio dokumentų, kuriuose sprendžiami skaitmeniniai klausimai, nuoseklumą.</w:t>
      </w:r>
    </w:p>
    <w:p w:rsidR="000729C4" w:rsidRPr="00906AF1" w:rsidRDefault="000729C4" w:rsidP="000729C4">
      <w:pPr>
        <w:pStyle w:val="BodyText"/>
        <w:rPr>
          <w:rFonts w:ascii="Times New Roman" w:hAnsi="Times New Roman" w:cs="Times New Roman"/>
          <w:sz w:val="22"/>
          <w:szCs w:val="22"/>
        </w:rPr>
      </w:pPr>
      <w:r w:rsidRPr="00906AF1">
        <w:rPr>
          <w:rFonts w:ascii="Times New Roman" w:hAnsi="Times New Roman"/>
          <w:sz w:val="22"/>
        </w:rPr>
        <w:t xml:space="preserve">Vykdant didelių Europos bylų priežiūrą, reikia palaikyti </w:t>
      </w:r>
      <w:r w:rsidRPr="00906AF1">
        <w:rPr>
          <w:rFonts w:ascii="Times New Roman" w:hAnsi="Times New Roman"/>
          <w:b/>
          <w:bCs/>
          <w:sz w:val="22"/>
        </w:rPr>
        <w:t>pasitikėjimu grindžiamus santykius</w:t>
      </w:r>
      <w:r w:rsidRPr="00906AF1">
        <w:rPr>
          <w:rFonts w:ascii="Times New Roman" w:hAnsi="Times New Roman"/>
          <w:sz w:val="22"/>
        </w:rPr>
        <w:t xml:space="preserve"> su jas valdančiomis agentūromis, nacionalinėmis reguliavimo institucijomis ir visuomene. EDAPP vykdys šią priežiūros užduotį nuosekliai įtraukdamas naujus elementus, pavyzdžiui, laisvės, saugumo ir teisingumo erdvės sujungimo sistemą ir algoritminio profiliavimo pasienio sistemose (ETIAS, VIS) priežiūrą. Jis taip pat visapusiškai atliks savo, kaip ES institucijų sukurtų ar diegiamų </w:t>
      </w:r>
      <w:r w:rsidRPr="00906AF1">
        <w:rPr>
          <w:rFonts w:ascii="Times New Roman" w:hAnsi="Times New Roman"/>
          <w:b/>
          <w:bCs/>
          <w:sz w:val="22"/>
        </w:rPr>
        <w:t>dirbtinio intelekto prietaisų atitikties</w:t>
      </w:r>
      <w:r w:rsidRPr="00906AF1">
        <w:rPr>
          <w:rFonts w:ascii="Times New Roman" w:hAnsi="Times New Roman"/>
          <w:sz w:val="22"/>
        </w:rPr>
        <w:t xml:space="preserve"> priežiūros institucijos, vaidmenį. Šiai kompetencijai įgyvendinti reikės organizacinių pakeitimų ir specialių procedūrų, kad būtų </w:t>
      </w:r>
      <w:r w:rsidRPr="00906AF1">
        <w:rPr>
          <w:rFonts w:ascii="Times New Roman" w:hAnsi="Times New Roman"/>
          <w:b/>
          <w:bCs/>
          <w:sz w:val="22"/>
        </w:rPr>
        <w:t>užtikrintas</w:t>
      </w:r>
      <w:r w:rsidRPr="00906AF1">
        <w:rPr>
          <w:rFonts w:ascii="Times New Roman" w:hAnsi="Times New Roman"/>
          <w:sz w:val="22"/>
        </w:rPr>
        <w:t xml:space="preserve"> šios funkcijos </w:t>
      </w:r>
      <w:r w:rsidRPr="00906AF1">
        <w:rPr>
          <w:rFonts w:ascii="Times New Roman" w:hAnsi="Times New Roman"/>
          <w:b/>
          <w:bCs/>
          <w:sz w:val="22"/>
        </w:rPr>
        <w:t>nepriklausomumas</w:t>
      </w:r>
      <w:r w:rsidRPr="00906AF1">
        <w:rPr>
          <w:rFonts w:ascii="Times New Roman" w:hAnsi="Times New Roman"/>
          <w:sz w:val="22"/>
        </w:rPr>
        <w:t xml:space="preserve"> nuo duomenų reguliavimo institucijos funkcijos, kartu neprarandant prieigos prie jos jau turimų įgūdžių ir išteklių.</w:t>
      </w:r>
    </w:p>
    <w:p w:rsidR="000729C4" w:rsidRPr="00906AF1" w:rsidRDefault="000729C4" w:rsidP="000729C4">
      <w:pPr>
        <w:pStyle w:val="BodyText"/>
        <w:rPr>
          <w:rFonts w:ascii="Times New Roman" w:hAnsi="Times New Roman" w:cs="Times New Roman"/>
          <w:sz w:val="22"/>
          <w:szCs w:val="22"/>
        </w:rPr>
      </w:pPr>
      <w:r w:rsidRPr="00906AF1">
        <w:rPr>
          <w:rFonts w:ascii="Times New Roman" w:hAnsi="Times New Roman"/>
          <w:sz w:val="22"/>
        </w:rPr>
        <w:t xml:space="preserve">Artėjant trečiajam EDAPP dešimtmečiui, noriu prisidėti prie </w:t>
      </w:r>
      <w:r w:rsidRPr="00906AF1">
        <w:rPr>
          <w:rFonts w:ascii="Times New Roman" w:hAnsi="Times New Roman"/>
          <w:b/>
          <w:bCs/>
          <w:sz w:val="22"/>
        </w:rPr>
        <w:t>Europos duomenų apsaugos modelio</w:t>
      </w:r>
      <w:r w:rsidRPr="00906AF1">
        <w:rPr>
          <w:rFonts w:ascii="Times New Roman" w:hAnsi="Times New Roman"/>
          <w:sz w:val="22"/>
        </w:rPr>
        <w:t xml:space="preserve"> kūrimo ir, bendradarbiaudamas su teisėkūros institucijomis, nacionalinėmis duomenų apsaugos institucijomis ir visais suinteresuotaisiais subjektais (įskaitant ekonomikos reguliavimo institucijas), laikyti EDAPP </w:t>
      </w:r>
      <w:r w:rsidRPr="00906AF1">
        <w:rPr>
          <w:rFonts w:ascii="Times New Roman" w:hAnsi="Times New Roman"/>
          <w:b/>
          <w:bCs/>
          <w:sz w:val="22"/>
        </w:rPr>
        <w:t>orientyru</w:t>
      </w:r>
      <w:r w:rsidRPr="00906AF1">
        <w:rPr>
          <w:rFonts w:ascii="Times New Roman" w:hAnsi="Times New Roman"/>
          <w:sz w:val="22"/>
        </w:rPr>
        <w:t xml:space="preserve"> įgyvendinant Europos </w:t>
      </w:r>
      <w:r w:rsidRPr="00906AF1">
        <w:rPr>
          <w:rFonts w:ascii="Times New Roman" w:hAnsi="Times New Roman"/>
          <w:b/>
          <w:bCs/>
          <w:sz w:val="22"/>
        </w:rPr>
        <w:t>skaitmeninį dokumentų rinkinį</w:t>
      </w:r>
      <w:r w:rsidRPr="00906AF1">
        <w:rPr>
          <w:rFonts w:ascii="Times New Roman" w:hAnsi="Times New Roman"/>
          <w:sz w:val="22"/>
        </w:rPr>
        <w:t xml:space="preserve">. Mūsų modelis taip pat turi būti propaguojamas </w:t>
      </w:r>
      <w:r w:rsidRPr="00906AF1">
        <w:rPr>
          <w:rFonts w:ascii="Times New Roman" w:hAnsi="Times New Roman"/>
          <w:b/>
          <w:bCs/>
          <w:sz w:val="22"/>
        </w:rPr>
        <w:t>pasauliniu mastu</w:t>
      </w:r>
      <w:r w:rsidRPr="00906AF1">
        <w:rPr>
          <w:rFonts w:ascii="Times New Roman" w:hAnsi="Times New Roman"/>
          <w:sz w:val="22"/>
        </w:rPr>
        <w:t xml:space="preserve">, atsižvelgiant į konkuruojančius modelius, kurie dažnai yra mažiau apsaugoti. Bendradarbiaudami su Sąjungos institucijomis ir kitomis duomenų apsaugos institucijomis, turime apibrėžti </w:t>
      </w:r>
      <w:r w:rsidRPr="00906AF1">
        <w:rPr>
          <w:rFonts w:ascii="Times New Roman" w:hAnsi="Times New Roman"/>
          <w:b/>
          <w:bCs/>
          <w:sz w:val="22"/>
        </w:rPr>
        <w:t>įtakos strategijas</w:t>
      </w:r>
      <w:r w:rsidRPr="00906AF1">
        <w:rPr>
          <w:rFonts w:ascii="Times New Roman" w:hAnsi="Times New Roman"/>
          <w:sz w:val="22"/>
        </w:rPr>
        <w:t xml:space="preserve">, kurios leistų mums </w:t>
      </w:r>
      <w:r w:rsidRPr="00906AF1">
        <w:rPr>
          <w:rFonts w:ascii="Times New Roman" w:hAnsi="Times New Roman"/>
          <w:b/>
          <w:bCs/>
          <w:sz w:val="22"/>
        </w:rPr>
        <w:t>koordinuotai kalbėti tarptautiniuose forumuose</w:t>
      </w:r>
      <w:r w:rsidRPr="00906AF1">
        <w:rPr>
          <w:rFonts w:ascii="Times New Roman" w:hAnsi="Times New Roman"/>
          <w:sz w:val="22"/>
        </w:rPr>
        <w:t xml:space="preserve">, pavyzdžiui, G7 ir Pasaulinėje privatumo asamblėjoje, </w:t>
      </w:r>
      <w:r w:rsidRPr="00906AF1">
        <w:rPr>
          <w:rFonts w:ascii="Times New Roman" w:hAnsi="Times New Roman"/>
          <w:b/>
          <w:bCs/>
          <w:sz w:val="22"/>
        </w:rPr>
        <w:t>glaudžiai bendradarbiaujant</w:t>
      </w:r>
      <w:r w:rsidRPr="00906AF1">
        <w:rPr>
          <w:rFonts w:ascii="Times New Roman" w:hAnsi="Times New Roman"/>
          <w:sz w:val="22"/>
        </w:rPr>
        <w:t xml:space="preserve"> su Komisija. Būtina aktyviau keistis geriausios praktikos pavyzdžiais su </w:t>
      </w:r>
      <w:r w:rsidRPr="00906AF1">
        <w:rPr>
          <w:rFonts w:ascii="Times New Roman" w:hAnsi="Times New Roman"/>
          <w:b/>
          <w:bCs/>
          <w:sz w:val="22"/>
        </w:rPr>
        <w:t>atitinkamomis šalimis</w:t>
      </w:r>
      <w:r w:rsidRPr="00906AF1">
        <w:rPr>
          <w:rFonts w:ascii="Times New Roman" w:hAnsi="Times New Roman"/>
          <w:sz w:val="22"/>
        </w:rPr>
        <w:t>.</w:t>
      </w:r>
    </w:p>
    <w:p w:rsidR="000729C4" w:rsidRPr="00906AF1" w:rsidRDefault="000729C4" w:rsidP="000729C4">
      <w:pPr>
        <w:pStyle w:val="BodyText"/>
        <w:rPr>
          <w:rFonts w:ascii="Times New Roman" w:hAnsi="Times New Roman" w:cs="Times New Roman"/>
          <w:sz w:val="22"/>
          <w:szCs w:val="22"/>
        </w:rPr>
      </w:pPr>
      <w:r w:rsidRPr="00906AF1">
        <w:rPr>
          <w:rFonts w:ascii="Times New Roman" w:hAnsi="Times New Roman"/>
          <w:sz w:val="22"/>
        </w:rPr>
        <w:lastRenderedPageBreak/>
        <w:t xml:space="preserve">Tuo metu, kai įsigalioja keli skaitmeninio dokumentų rinkinio dokumentai, reikia užtikrinti </w:t>
      </w:r>
      <w:r w:rsidRPr="00906AF1">
        <w:rPr>
          <w:rFonts w:ascii="Times New Roman" w:hAnsi="Times New Roman"/>
          <w:b/>
          <w:bCs/>
          <w:sz w:val="22"/>
        </w:rPr>
        <w:t>teisinį tikrumą suinteresuotiesiems subjektams ir investuotojams</w:t>
      </w:r>
      <w:r w:rsidRPr="00906AF1">
        <w:rPr>
          <w:rFonts w:ascii="Times New Roman" w:hAnsi="Times New Roman"/>
          <w:sz w:val="22"/>
        </w:rPr>
        <w:t xml:space="preserve">. Todėl manau, kad BDAR neturėtų būti atnaujintas. Procedūriniame reglamente pateikiami paaiškinimai, kuriuos reikia įgyvendinti ir prireikus papildyti. EDAPP yra reguliuotojas, o ne teisėkūros institucija, tačiau jis atliks visapusišką vaidmenį vykdant </w:t>
      </w:r>
      <w:r w:rsidRPr="00906AF1">
        <w:rPr>
          <w:rFonts w:ascii="Times New Roman" w:hAnsi="Times New Roman"/>
          <w:b/>
          <w:bCs/>
          <w:sz w:val="22"/>
        </w:rPr>
        <w:t>supaprastinimo procesą</w:t>
      </w:r>
      <w:r w:rsidRPr="00906AF1">
        <w:rPr>
          <w:rFonts w:ascii="Times New Roman" w:hAnsi="Times New Roman"/>
          <w:sz w:val="22"/>
        </w:rPr>
        <w:t>, kuris minimas Draghi pranešime, nustatant sritis, kuriose pageidautini patobulinimai.</w:t>
      </w:r>
    </w:p>
    <w:p w:rsidR="000729C4" w:rsidRPr="00906AF1" w:rsidRDefault="000729C4" w:rsidP="000729C4">
      <w:pPr>
        <w:pStyle w:val="BodyText"/>
        <w:rPr>
          <w:rFonts w:ascii="Times New Roman" w:hAnsi="Times New Roman" w:cs="Times New Roman"/>
          <w:sz w:val="22"/>
          <w:szCs w:val="22"/>
        </w:rPr>
      </w:pPr>
      <w:r w:rsidRPr="00906AF1">
        <w:rPr>
          <w:rFonts w:ascii="Times New Roman" w:hAnsi="Times New Roman"/>
          <w:sz w:val="22"/>
        </w:rPr>
        <w:t xml:space="preserve">Siekiant teisinio tikrumo reikia skatinti sektorių reguliavimo institucijų bendradarbiavimą ir apibrėžti </w:t>
      </w:r>
      <w:r w:rsidRPr="00906AF1">
        <w:rPr>
          <w:rFonts w:ascii="Times New Roman" w:hAnsi="Times New Roman"/>
          <w:b/>
          <w:bCs/>
          <w:sz w:val="22"/>
        </w:rPr>
        <w:t>reguliavimo strategijas</w:t>
      </w:r>
      <w:r w:rsidRPr="00906AF1">
        <w:rPr>
          <w:rFonts w:ascii="Times New Roman" w:hAnsi="Times New Roman"/>
          <w:sz w:val="22"/>
        </w:rPr>
        <w:t xml:space="preserve">, kad būtų skatinama </w:t>
      </w:r>
      <w:r w:rsidRPr="00906AF1">
        <w:rPr>
          <w:rFonts w:ascii="Times New Roman" w:hAnsi="Times New Roman"/>
          <w:b/>
          <w:bCs/>
          <w:sz w:val="22"/>
        </w:rPr>
        <w:t>bendra vizija</w:t>
      </w:r>
      <w:r w:rsidRPr="00906AF1">
        <w:rPr>
          <w:rFonts w:ascii="Times New Roman" w:hAnsi="Times New Roman"/>
          <w:sz w:val="22"/>
        </w:rPr>
        <w:t xml:space="preserve"> ir sprendžiami suinteresuotųjų subjektų konfliktai. EDAPP, kaip </w:t>
      </w:r>
      <w:r w:rsidRPr="00906AF1">
        <w:rPr>
          <w:rFonts w:ascii="Times New Roman" w:hAnsi="Times New Roman"/>
          <w:i/>
          <w:iCs/>
          <w:sz w:val="22"/>
        </w:rPr>
        <w:t>ex officio</w:t>
      </w:r>
      <w:r w:rsidRPr="00906AF1">
        <w:rPr>
          <w:rFonts w:ascii="Times New Roman" w:hAnsi="Times New Roman"/>
          <w:sz w:val="22"/>
        </w:rPr>
        <w:t xml:space="preserve"> narys, atsakingas už priemones, naudojamas skaitmeniniams tekstams valdyti, (Duomenų valdymo akte numatyta Europos duomenų inovacijų valdyba, Skaitmeninių rinkų akte numatyta aukšto lygio darbo grupė ir kt.) bus pagrindinis šio proceso dalyvis. Visų pirma, norėčiau išplėsti 2014 m. sukurtą koordinavimo skaitmeninėje srityje (angl. </w:t>
      </w:r>
      <w:r w:rsidRPr="00906AF1">
        <w:rPr>
          <w:rFonts w:ascii="Times New Roman" w:hAnsi="Times New Roman"/>
          <w:i/>
          <w:iCs/>
          <w:sz w:val="22"/>
        </w:rPr>
        <w:t>digital clearing house</w:t>
      </w:r>
      <w:r w:rsidRPr="00906AF1">
        <w:rPr>
          <w:rFonts w:ascii="Times New Roman" w:hAnsi="Times New Roman"/>
          <w:sz w:val="22"/>
        </w:rPr>
        <w:t>) mechanizmą, kuris iš pradžių buvo skirtas vartotojų apsaugai, kad jis apimtų visus „skaitmeninio dokumentų rinkinio“ dokumentus.</w:t>
      </w:r>
      <w:r w:rsidR="00506277">
        <w:rPr>
          <w:rFonts w:ascii="Times New Roman" w:hAnsi="Times New Roman"/>
          <w:sz w:val="22"/>
        </w:rPr>
        <w:t xml:space="preserve"> </w:t>
      </w:r>
      <w:r w:rsidRPr="00906AF1">
        <w:rPr>
          <w:rFonts w:ascii="Times New Roman" w:hAnsi="Times New Roman"/>
          <w:sz w:val="22"/>
        </w:rPr>
        <w:t xml:space="preserve">Dirbtinis intelektas bus pirmoji šio </w:t>
      </w:r>
      <w:r w:rsidRPr="00906AF1">
        <w:rPr>
          <w:rFonts w:ascii="Times New Roman" w:hAnsi="Times New Roman"/>
          <w:b/>
          <w:bCs/>
          <w:sz w:val="22"/>
        </w:rPr>
        <w:t>sujungto reglamentavimo</w:t>
      </w:r>
      <w:r w:rsidRPr="00906AF1">
        <w:rPr>
          <w:rFonts w:ascii="Times New Roman" w:hAnsi="Times New Roman"/>
          <w:sz w:val="22"/>
        </w:rPr>
        <w:t xml:space="preserve"> eksperimento sritis.</w:t>
      </w:r>
    </w:p>
    <w:p w:rsidR="000729C4" w:rsidRPr="00906AF1" w:rsidRDefault="000729C4" w:rsidP="000729C4">
      <w:pPr>
        <w:pStyle w:val="BodyText"/>
        <w:rPr>
          <w:rFonts w:ascii="Times New Roman" w:hAnsi="Times New Roman" w:cs="Times New Roman"/>
          <w:sz w:val="22"/>
          <w:szCs w:val="22"/>
        </w:rPr>
      </w:pPr>
      <w:r w:rsidRPr="00906AF1">
        <w:rPr>
          <w:rFonts w:ascii="Times New Roman" w:hAnsi="Times New Roman"/>
          <w:sz w:val="22"/>
        </w:rPr>
        <w:t xml:space="preserve">Šiuo metu Europos Sąjungos valstybės narės yra didelio masto informacinių išpuolių, kurie kelia grėsmę mūsų demokratinių valstybių veikimui, taikiniai. Noriu padėti parodyti, kad BDAR gali būti priemonė </w:t>
      </w:r>
      <w:r w:rsidRPr="00906AF1">
        <w:rPr>
          <w:rFonts w:ascii="Times New Roman" w:hAnsi="Times New Roman"/>
          <w:b/>
          <w:bCs/>
          <w:sz w:val="22"/>
        </w:rPr>
        <w:t>bendram saugumui ES didinti</w:t>
      </w:r>
      <w:r w:rsidRPr="00906AF1">
        <w:rPr>
          <w:rFonts w:ascii="Times New Roman" w:hAnsi="Times New Roman"/>
          <w:sz w:val="22"/>
        </w:rPr>
        <w:t xml:space="preserve">, atsižvelgiant į Skaitmeninio teisingumo akto tikslus, kaip ir kitos skaitmeninio dokumentų rinkinio priemonės. Atsižvelgiant į didelio masto nusikalstamumo grėsmes, siekiant išlaikyti saugumo erdvę, kurioje </w:t>
      </w:r>
      <w:r w:rsidRPr="00906AF1">
        <w:rPr>
          <w:rFonts w:ascii="Times New Roman" w:hAnsi="Times New Roman"/>
          <w:b/>
          <w:bCs/>
          <w:sz w:val="22"/>
        </w:rPr>
        <w:t>saugomos</w:t>
      </w:r>
      <w:r w:rsidRPr="00906AF1">
        <w:rPr>
          <w:rFonts w:ascii="Times New Roman" w:hAnsi="Times New Roman"/>
          <w:sz w:val="22"/>
        </w:rPr>
        <w:t xml:space="preserve"> ES gyventojų </w:t>
      </w:r>
      <w:r w:rsidRPr="00906AF1">
        <w:rPr>
          <w:rFonts w:ascii="Times New Roman" w:hAnsi="Times New Roman"/>
          <w:b/>
          <w:bCs/>
          <w:sz w:val="22"/>
        </w:rPr>
        <w:t>pagrindinės teisės ir laisvės</w:t>
      </w:r>
      <w:r w:rsidRPr="00906AF1">
        <w:rPr>
          <w:rFonts w:ascii="Times New Roman" w:hAnsi="Times New Roman"/>
          <w:sz w:val="22"/>
        </w:rPr>
        <w:t>, reikia kiekvienu konkrečiu atveju išsamiai ištirti numatytų priemonių veiksmingumą ir proporcingumą tiek teisiniu, tiek techniniu požiūriu. EDAPP aktyviai dalyvaus diskusijose šioje srityje.</w:t>
      </w:r>
    </w:p>
    <w:p w:rsidR="000729C4" w:rsidRPr="00906AF1" w:rsidRDefault="000729C4" w:rsidP="000729C4">
      <w:pPr>
        <w:pStyle w:val="BodyText"/>
        <w:rPr>
          <w:rFonts w:ascii="Times New Roman" w:hAnsi="Times New Roman" w:cs="Times New Roman"/>
          <w:sz w:val="22"/>
          <w:szCs w:val="22"/>
        </w:rPr>
      </w:pPr>
      <w:r w:rsidRPr="00906AF1">
        <w:rPr>
          <w:rFonts w:ascii="Times New Roman" w:hAnsi="Times New Roman"/>
          <w:sz w:val="22"/>
        </w:rPr>
        <w:t xml:space="preserve">Atsižvelgiant į griežtas biudžeto sąlygas, duomenų apsaugos institucijų darbas turi būti vykdomas kuo labiau </w:t>
      </w:r>
      <w:r w:rsidRPr="00906AF1">
        <w:rPr>
          <w:rFonts w:ascii="Times New Roman" w:hAnsi="Times New Roman"/>
          <w:b/>
          <w:bCs/>
          <w:sz w:val="22"/>
        </w:rPr>
        <w:t>sutelkiant</w:t>
      </w:r>
      <w:r w:rsidRPr="00906AF1">
        <w:rPr>
          <w:rFonts w:ascii="Times New Roman" w:hAnsi="Times New Roman"/>
          <w:sz w:val="22"/>
        </w:rPr>
        <w:t xml:space="preserve"> jų gebėjimus. Todėl noriu remti</w:t>
      </w:r>
      <w:r w:rsidRPr="00906AF1">
        <w:rPr>
          <w:rFonts w:ascii="Times New Roman" w:hAnsi="Times New Roman"/>
          <w:b/>
          <w:bCs/>
          <w:sz w:val="22"/>
        </w:rPr>
        <w:t xml:space="preserve"> jungtinių darbo grupių</w:t>
      </w:r>
      <w:r w:rsidRPr="00906AF1">
        <w:rPr>
          <w:rFonts w:ascii="Times New Roman" w:hAnsi="Times New Roman"/>
          <w:sz w:val="22"/>
        </w:rPr>
        <w:t xml:space="preserve"> veiklą srityse, kuriose tai reikalinga, </w:t>
      </w:r>
      <w:r w:rsidRPr="00906AF1">
        <w:rPr>
          <w:rFonts w:ascii="Times New Roman" w:hAnsi="Times New Roman"/>
          <w:b/>
          <w:bCs/>
          <w:sz w:val="22"/>
        </w:rPr>
        <w:t>kartu su EDAV</w:t>
      </w:r>
      <w:r w:rsidRPr="00906AF1">
        <w:rPr>
          <w:rFonts w:ascii="Times New Roman" w:hAnsi="Times New Roman"/>
          <w:sz w:val="22"/>
        </w:rPr>
        <w:t xml:space="preserve">, nes tai būtų naudinga visiems ir prisidėtų prie </w:t>
      </w:r>
      <w:r w:rsidRPr="00906AF1">
        <w:rPr>
          <w:rFonts w:ascii="Times New Roman" w:hAnsi="Times New Roman"/>
          <w:b/>
          <w:bCs/>
          <w:sz w:val="22"/>
        </w:rPr>
        <w:t>nuoseklaus skaitmeninio dokumentų rinkinio taikymo</w:t>
      </w:r>
      <w:r w:rsidRPr="00906AF1">
        <w:rPr>
          <w:rFonts w:ascii="Times New Roman" w:hAnsi="Times New Roman"/>
          <w:sz w:val="22"/>
        </w:rPr>
        <w:t>. EDAPP toliau rems Tarptautinę duomenų apsaugos ir technologijų darbo grupę (Berlyno grupę) ir plėtos tvirtas partnerystes su akademiniu pasauliu ir pilietinės visuomenės bendruomenėmis.</w:t>
      </w:r>
    </w:p>
    <w:p w:rsidR="000729C4" w:rsidRPr="00906AF1" w:rsidRDefault="000729C4" w:rsidP="000729C4">
      <w:pPr>
        <w:jc w:val="both"/>
        <w:rPr>
          <w:sz w:val="22"/>
          <w:szCs w:val="22"/>
        </w:rPr>
      </w:pPr>
      <w:r w:rsidRPr="00906AF1">
        <w:rPr>
          <w:sz w:val="22"/>
        </w:rPr>
        <w:t xml:space="preserve">Manau, kad </w:t>
      </w:r>
      <w:r w:rsidRPr="00906AF1">
        <w:rPr>
          <w:b/>
          <w:bCs/>
          <w:sz w:val="22"/>
        </w:rPr>
        <w:t>duomenų apsauga gali paskatinti inovacijas</w:t>
      </w:r>
      <w:r w:rsidRPr="00906AF1">
        <w:rPr>
          <w:sz w:val="22"/>
        </w:rPr>
        <w:t xml:space="preserve">. Minėtos akademinės partnerystės, taip pat aktyvus EDP dalyvavimas renginiuose, kuriais propaguojamos </w:t>
      </w:r>
      <w:r w:rsidRPr="00906AF1">
        <w:rPr>
          <w:b/>
          <w:bCs/>
          <w:sz w:val="22"/>
        </w:rPr>
        <w:t>privatumui palankios technologijos</w:t>
      </w:r>
      <w:r w:rsidRPr="00906AF1">
        <w:rPr>
          <w:sz w:val="22"/>
        </w:rPr>
        <w:t>, padės atkreipti dėmesį į geriausias technologijas ir praktiką.</w:t>
      </w:r>
    </w:p>
    <w:p w:rsidR="000729C4" w:rsidRPr="00906AF1" w:rsidRDefault="000729C4" w:rsidP="000729C4">
      <w:pPr>
        <w:rPr>
          <w:sz w:val="22"/>
          <w:szCs w:val="22"/>
        </w:rPr>
      </w:pPr>
    </w:p>
    <w:p w:rsidR="000729C4" w:rsidRPr="00906AF1" w:rsidRDefault="000729C4" w:rsidP="000729C4">
      <w:pPr>
        <w:rPr>
          <w:b/>
          <w:sz w:val="22"/>
          <w:szCs w:val="22"/>
        </w:rPr>
      </w:pPr>
      <w:r w:rsidRPr="00906AF1">
        <w:rPr>
          <w:b/>
          <w:sz w:val="22"/>
        </w:rPr>
        <w:t>3. Prašom apibūdinti, kokią ateities viziją esate numatęs institucijai, kuriai vadovautumėte kaip Europos duomenų apsaugos priežiūros pareigūnas, įskaitant galimus iššūkius, kuriuos numatote, ir Jūsų šiai nepriklausomai institucijai keliamus prioritetus?</w:t>
      </w:r>
    </w:p>
    <w:p w:rsidR="000729C4" w:rsidRPr="00906AF1" w:rsidRDefault="000729C4" w:rsidP="000729C4">
      <w:pPr>
        <w:rPr>
          <w:sz w:val="22"/>
          <w:szCs w:val="22"/>
        </w:rPr>
      </w:pPr>
    </w:p>
    <w:p w:rsidR="000729C4" w:rsidRPr="00906AF1" w:rsidRDefault="000729C4" w:rsidP="000729C4">
      <w:pPr>
        <w:pStyle w:val="BodyText"/>
        <w:rPr>
          <w:rFonts w:ascii="Times New Roman" w:hAnsi="Times New Roman" w:cs="Times New Roman"/>
          <w:sz w:val="22"/>
          <w:szCs w:val="22"/>
        </w:rPr>
      </w:pPr>
      <w:r w:rsidRPr="00906AF1">
        <w:rPr>
          <w:rFonts w:ascii="Times New Roman" w:hAnsi="Times New Roman"/>
          <w:sz w:val="22"/>
        </w:rPr>
        <w:t xml:space="preserve">Skaitmeninių technologijų pažanga ir jų naudojimas visoje žmogaus veikloje kelia </w:t>
      </w:r>
      <w:r w:rsidRPr="00906AF1">
        <w:rPr>
          <w:rFonts w:ascii="Times New Roman" w:hAnsi="Times New Roman"/>
          <w:b/>
          <w:bCs/>
          <w:sz w:val="22"/>
        </w:rPr>
        <w:t>precedento neturinčių visuomeninių uždavinių</w:t>
      </w:r>
      <w:r w:rsidRPr="00906AF1">
        <w:rPr>
          <w:rFonts w:ascii="Times New Roman" w:hAnsi="Times New Roman"/>
          <w:sz w:val="22"/>
        </w:rPr>
        <w:t xml:space="preserve">. Didėjantis jų, kaip žmonių tarpusavio komunikacijos tarpininkų, vaidmuo gali kelti grėsmę žmonių bendruomenių veikimui ir demokratijai, nes informacijos pasirinkimas priklauso nuo platformos savininko valios. Mūsų smegenys patiria bombardavimą informacija, todėl mūsų protas ja </w:t>
      </w:r>
      <w:r w:rsidRPr="00906AF1">
        <w:rPr>
          <w:rFonts w:ascii="Times New Roman" w:hAnsi="Times New Roman"/>
          <w:b/>
          <w:bCs/>
          <w:sz w:val="22"/>
        </w:rPr>
        <w:t>persisotina</w:t>
      </w:r>
      <w:r w:rsidRPr="00906AF1">
        <w:rPr>
          <w:rFonts w:ascii="Times New Roman" w:hAnsi="Times New Roman"/>
          <w:sz w:val="22"/>
        </w:rPr>
        <w:t xml:space="preserve"> ir tai gali pakenkti mūsų </w:t>
      </w:r>
      <w:r w:rsidRPr="00906AF1">
        <w:rPr>
          <w:rFonts w:ascii="Times New Roman" w:hAnsi="Times New Roman"/>
          <w:b/>
          <w:bCs/>
          <w:sz w:val="22"/>
        </w:rPr>
        <w:t>argumentavimo savarankiškumui</w:t>
      </w:r>
      <w:r w:rsidRPr="00906AF1">
        <w:rPr>
          <w:rFonts w:ascii="Times New Roman" w:hAnsi="Times New Roman"/>
          <w:sz w:val="22"/>
        </w:rPr>
        <w:t>. Susidūrus su tokiais iššūkiais, nebeįmanoma veikti tik reaktyviai, net jei tai vyktų greitai; turime būti</w:t>
      </w:r>
      <w:r w:rsidRPr="00906AF1">
        <w:rPr>
          <w:rFonts w:ascii="Times New Roman" w:hAnsi="Times New Roman"/>
          <w:b/>
          <w:bCs/>
          <w:sz w:val="22"/>
        </w:rPr>
        <w:t xml:space="preserve"> iniciatyvūs</w:t>
      </w:r>
      <w:r w:rsidRPr="00906AF1">
        <w:rPr>
          <w:rFonts w:ascii="Times New Roman" w:hAnsi="Times New Roman"/>
          <w:sz w:val="22"/>
        </w:rPr>
        <w:t xml:space="preserve"> ir kiek įmanoma </w:t>
      </w:r>
      <w:r w:rsidRPr="00906AF1">
        <w:rPr>
          <w:rFonts w:ascii="Times New Roman" w:hAnsi="Times New Roman"/>
          <w:b/>
          <w:bCs/>
          <w:sz w:val="22"/>
        </w:rPr>
        <w:t>numatyti</w:t>
      </w:r>
      <w:r w:rsidRPr="00906AF1">
        <w:rPr>
          <w:rFonts w:ascii="Times New Roman" w:hAnsi="Times New Roman"/>
          <w:sz w:val="22"/>
        </w:rPr>
        <w:t xml:space="preserve"> technines ir naudojimo tendencijas, kurias dažnai sunku nuspėti.</w:t>
      </w:r>
    </w:p>
    <w:p w:rsidR="000729C4" w:rsidRPr="00906AF1" w:rsidRDefault="000729C4" w:rsidP="000729C4">
      <w:pPr>
        <w:pStyle w:val="BodyText"/>
        <w:rPr>
          <w:rFonts w:ascii="Times New Roman" w:hAnsi="Times New Roman" w:cs="Times New Roman"/>
          <w:sz w:val="22"/>
          <w:szCs w:val="22"/>
        </w:rPr>
      </w:pPr>
      <w:r w:rsidRPr="00906AF1">
        <w:rPr>
          <w:rFonts w:ascii="Times New Roman" w:hAnsi="Times New Roman"/>
          <w:sz w:val="22"/>
        </w:rPr>
        <w:t xml:space="preserve">Europos skaitmeninis dokumentų rinkinys yra </w:t>
      </w:r>
      <w:r w:rsidRPr="00906AF1">
        <w:rPr>
          <w:rFonts w:ascii="Times New Roman" w:hAnsi="Times New Roman"/>
          <w:b/>
          <w:bCs/>
          <w:sz w:val="22"/>
        </w:rPr>
        <w:t>unikalus teisinis atsakas</w:t>
      </w:r>
      <w:r w:rsidRPr="00906AF1">
        <w:rPr>
          <w:rFonts w:ascii="Times New Roman" w:hAnsi="Times New Roman"/>
          <w:sz w:val="22"/>
        </w:rPr>
        <w:t xml:space="preserve"> į daugelį klausimų: </w:t>
      </w:r>
      <w:r w:rsidRPr="00906AF1">
        <w:rPr>
          <w:rFonts w:ascii="Times New Roman" w:hAnsi="Times New Roman"/>
          <w:b/>
          <w:bCs/>
          <w:sz w:val="22"/>
        </w:rPr>
        <w:t>pagrindinės teisės ir laisvės</w:t>
      </w:r>
      <w:r w:rsidRPr="00906AF1">
        <w:rPr>
          <w:rFonts w:ascii="Times New Roman" w:hAnsi="Times New Roman"/>
          <w:sz w:val="22"/>
        </w:rPr>
        <w:t xml:space="preserve">, </w:t>
      </w:r>
      <w:r w:rsidRPr="00906AF1">
        <w:rPr>
          <w:rFonts w:ascii="Times New Roman" w:hAnsi="Times New Roman"/>
          <w:b/>
          <w:bCs/>
          <w:sz w:val="22"/>
        </w:rPr>
        <w:t>vartotojų apsauga</w:t>
      </w:r>
      <w:r w:rsidRPr="00906AF1">
        <w:rPr>
          <w:rFonts w:ascii="Times New Roman" w:hAnsi="Times New Roman"/>
          <w:sz w:val="22"/>
        </w:rPr>
        <w:t xml:space="preserve">, rinkos reguliavimas siekiant užtikrinti </w:t>
      </w:r>
      <w:r w:rsidRPr="00906AF1">
        <w:rPr>
          <w:rFonts w:ascii="Times New Roman" w:hAnsi="Times New Roman"/>
          <w:b/>
          <w:bCs/>
          <w:sz w:val="22"/>
        </w:rPr>
        <w:t>sąžiningą konkurenciją</w:t>
      </w:r>
      <w:r w:rsidRPr="00906AF1">
        <w:rPr>
          <w:rFonts w:ascii="Times New Roman" w:hAnsi="Times New Roman"/>
          <w:sz w:val="22"/>
        </w:rPr>
        <w:t xml:space="preserve"> ir </w:t>
      </w:r>
      <w:r w:rsidRPr="00906AF1">
        <w:rPr>
          <w:rFonts w:ascii="Times New Roman" w:hAnsi="Times New Roman"/>
          <w:b/>
          <w:bCs/>
          <w:sz w:val="22"/>
        </w:rPr>
        <w:t>skaitmeninis bei pramoninis suverenumas</w:t>
      </w:r>
      <w:r w:rsidRPr="00906AF1">
        <w:rPr>
          <w:rFonts w:ascii="Times New Roman" w:hAnsi="Times New Roman"/>
          <w:sz w:val="22"/>
        </w:rPr>
        <w:t xml:space="preserve">. Atsižvelgiant į visus šiuos klausimus, laikantis </w:t>
      </w:r>
      <w:r w:rsidRPr="00906AF1">
        <w:rPr>
          <w:rFonts w:ascii="Times New Roman" w:hAnsi="Times New Roman"/>
          <w:b/>
          <w:bCs/>
          <w:sz w:val="22"/>
        </w:rPr>
        <w:t>holistinės vizijos</w:t>
      </w:r>
      <w:r w:rsidRPr="00906AF1">
        <w:rPr>
          <w:rFonts w:ascii="Times New Roman" w:hAnsi="Times New Roman"/>
          <w:sz w:val="22"/>
        </w:rPr>
        <w:t xml:space="preserve">, reikia </w:t>
      </w:r>
      <w:r w:rsidRPr="00906AF1">
        <w:rPr>
          <w:rFonts w:ascii="Times New Roman" w:hAnsi="Times New Roman"/>
          <w:b/>
          <w:bCs/>
          <w:sz w:val="22"/>
        </w:rPr>
        <w:t>suderinti visus reguliavimo institucijų veiksmus</w:t>
      </w:r>
      <w:r w:rsidRPr="00906AF1">
        <w:rPr>
          <w:rFonts w:ascii="Times New Roman" w:hAnsi="Times New Roman"/>
          <w:sz w:val="22"/>
        </w:rPr>
        <w:t>, o tai bus sudėtinga įgyvendinti per trumpą laiką. EDAPP, atsižvelgdamas į savo užimamą padėtį ir turimus išteklius, turi aktyviai dalyvauti šiame procese.</w:t>
      </w:r>
    </w:p>
    <w:p w:rsidR="000729C4" w:rsidRPr="00906AF1" w:rsidRDefault="000729C4" w:rsidP="000729C4">
      <w:pPr>
        <w:pStyle w:val="BodyText"/>
        <w:rPr>
          <w:rFonts w:ascii="Times New Roman" w:hAnsi="Times New Roman" w:cs="Times New Roman"/>
          <w:sz w:val="22"/>
          <w:szCs w:val="22"/>
        </w:rPr>
      </w:pPr>
      <w:r w:rsidRPr="00906AF1">
        <w:rPr>
          <w:rFonts w:ascii="Times New Roman" w:hAnsi="Times New Roman"/>
          <w:sz w:val="22"/>
        </w:rPr>
        <w:lastRenderedPageBreak/>
        <w:t xml:space="preserve">Veiksmingas tarpreguliavimas reiškia, kad kompetentingos institucijos </w:t>
      </w:r>
      <w:r w:rsidRPr="00906AF1">
        <w:rPr>
          <w:rFonts w:ascii="Times New Roman" w:hAnsi="Times New Roman"/>
          <w:b/>
          <w:bCs/>
          <w:sz w:val="22"/>
        </w:rPr>
        <w:t>gali keistis duomenimis apie nagrinėjamas bylas</w:t>
      </w:r>
      <w:r w:rsidRPr="00906AF1">
        <w:rPr>
          <w:rFonts w:ascii="Times New Roman" w:hAnsi="Times New Roman"/>
          <w:sz w:val="22"/>
        </w:rPr>
        <w:t xml:space="preserve">. Tokie mainai, nurodyti 2023 m. ES Teisingumo Teismo sprendime „Meta Platform“, turi būti teisėti. Tačiau šiuo metu tam </w:t>
      </w:r>
      <w:r w:rsidRPr="00906AF1">
        <w:rPr>
          <w:rFonts w:ascii="Times New Roman" w:hAnsi="Times New Roman"/>
          <w:b/>
          <w:bCs/>
          <w:sz w:val="22"/>
        </w:rPr>
        <w:t>nėra teisinio pagrindo</w:t>
      </w:r>
      <w:r w:rsidRPr="00906AF1">
        <w:rPr>
          <w:rFonts w:ascii="Times New Roman" w:hAnsi="Times New Roman"/>
          <w:sz w:val="22"/>
        </w:rPr>
        <w:t xml:space="preserve">. Atrodo, kad būtina speciali teisėkūros priemonė, leidžianti pasirinktinai nepaisyti </w:t>
      </w:r>
      <w:r w:rsidRPr="00906AF1">
        <w:rPr>
          <w:rFonts w:ascii="Times New Roman" w:hAnsi="Times New Roman"/>
          <w:b/>
          <w:bCs/>
          <w:sz w:val="22"/>
        </w:rPr>
        <w:t>profesinės paslapties</w:t>
      </w:r>
      <w:r w:rsidRPr="00906AF1">
        <w:rPr>
          <w:rFonts w:ascii="Times New Roman" w:hAnsi="Times New Roman"/>
          <w:sz w:val="22"/>
        </w:rPr>
        <w:t xml:space="preserve"> (ne tik duomenų apsaugos srityje), o EDAPP, bendradarbiaudamas su Komisija, aktyviai prisidės prie šio kolektyvinio darbo.</w:t>
      </w:r>
    </w:p>
    <w:p w:rsidR="000729C4" w:rsidRPr="00906AF1" w:rsidRDefault="000729C4" w:rsidP="000729C4">
      <w:pPr>
        <w:pStyle w:val="BodyText"/>
        <w:rPr>
          <w:rFonts w:ascii="Times New Roman" w:hAnsi="Times New Roman" w:cs="Times New Roman"/>
          <w:sz w:val="22"/>
          <w:szCs w:val="22"/>
        </w:rPr>
      </w:pPr>
      <w:r w:rsidRPr="00906AF1">
        <w:rPr>
          <w:rFonts w:ascii="Times New Roman" w:hAnsi="Times New Roman"/>
          <w:sz w:val="22"/>
        </w:rPr>
        <w:t xml:space="preserve">Mūsų hipersusietoje aplinkoje EDAPP </w:t>
      </w:r>
      <w:r w:rsidRPr="00906AF1">
        <w:rPr>
          <w:rFonts w:ascii="Times New Roman" w:hAnsi="Times New Roman"/>
          <w:b/>
          <w:bCs/>
          <w:sz w:val="22"/>
        </w:rPr>
        <w:t>dalyvavimas žiniasklaidoje</w:t>
      </w:r>
      <w:r w:rsidRPr="00906AF1">
        <w:rPr>
          <w:rFonts w:ascii="Times New Roman" w:hAnsi="Times New Roman"/>
          <w:sz w:val="22"/>
        </w:rPr>
        <w:t xml:space="preserve"> yra labai svarbus siekiant skleisti pranešimus, pritaikytus skirtingoms tikslinėms auditorijoms, įskaitant jos reguliavimo ekosistemą ir plačiąją visuomenę. Labai svarbu pasirinkti vektorius. Bus toliau rengiami </w:t>
      </w:r>
      <w:r w:rsidRPr="00906AF1">
        <w:rPr>
          <w:rFonts w:ascii="Times New Roman" w:hAnsi="Times New Roman"/>
          <w:b/>
          <w:bCs/>
          <w:sz w:val="22"/>
        </w:rPr>
        <w:t>informaciniai dokumentai</w:t>
      </w:r>
      <w:r w:rsidRPr="00906AF1">
        <w:rPr>
          <w:rFonts w:ascii="Times New Roman" w:hAnsi="Times New Roman"/>
          <w:sz w:val="22"/>
        </w:rPr>
        <w:t xml:space="preserve">, siekiant informuoti duomenų valdytojus ir duomenų subjektus, kad būtų </w:t>
      </w:r>
      <w:r w:rsidRPr="00906AF1">
        <w:rPr>
          <w:rFonts w:ascii="Times New Roman" w:hAnsi="Times New Roman"/>
          <w:b/>
          <w:bCs/>
          <w:sz w:val="22"/>
        </w:rPr>
        <w:t>sudarytos palankesnės sąlygos teisėsaugai</w:t>
      </w:r>
      <w:r w:rsidRPr="00906AF1">
        <w:rPr>
          <w:rFonts w:ascii="Times New Roman" w:hAnsi="Times New Roman"/>
          <w:sz w:val="22"/>
        </w:rPr>
        <w:t>.</w:t>
      </w:r>
    </w:p>
    <w:p w:rsidR="000729C4" w:rsidRPr="00906AF1" w:rsidRDefault="000729C4" w:rsidP="000729C4">
      <w:pPr>
        <w:pStyle w:val="BodyText"/>
        <w:rPr>
          <w:rFonts w:ascii="Times New Roman" w:hAnsi="Times New Roman" w:cs="Times New Roman"/>
          <w:sz w:val="22"/>
          <w:szCs w:val="22"/>
        </w:rPr>
      </w:pPr>
      <w:r w:rsidRPr="00906AF1">
        <w:rPr>
          <w:rFonts w:ascii="Times New Roman" w:hAnsi="Times New Roman"/>
          <w:sz w:val="22"/>
        </w:rPr>
        <w:t xml:space="preserve">Tuo metu, kai už ES ribų pritraukiami geriausi skaitmeninės srities ekspertai, turime sukurti pakankamai </w:t>
      </w:r>
      <w:r w:rsidRPr="00906AF1">
        <w:rPr>
          <w:rFonts w:ascii="Times New Roman" w:hAnsi="Times New Roman"/>
          <w:b/>
          <w:bCs/>
          <w:sz w:val="22"/>
        </w:rPr>
        <w:t>patrauklias sąlygas</w:t>
      </w:r>
      <w:r w:rsidRPr="00906AF1">
        <w:rPr>
          <w:rFonts w:ascii="Times New Roman" w:hAnsi="Times New Roman"/>
          <w:sz w:val="22"/>
        </w:rPr>
        <w:t xml:space="preserve"> ir tinkamą mūsų užduočių viešinimą, taip pat naudotis </w:t>
      </w:r>
      <w:r w:rsidRPr="00906AF1">
        <w:rPr>
          <w:rFonts w:ascii="Times New Roman" w:hAnsi="Times New Roman"/>
          <w:b/>
          <w:bCs/>
          <w:sz w:val="22"/>
        </w:rPr>
        <w:t>platesnių bendruomenių</w:t>
      </w:r>
      <w:r w:rsidRPr="00906AF1">
        <w:rPr>
          <w:rFonts w:ascii="Times New Roman" w:hAnsi="Times New Roman"/>
          <w:sz w:val="22"/>
        </w:rPr>
        <w:t>, pavyzdžiui,</w:t>
      </w:r>
      <w:r w:rsidRPr="00906AF1">
        <w:rPr>
          <w:rFonts w:ascii="Times New Roman" w:hAnsi="Times New Roman"/>
          <w:b/>
          <w:bCs/>
          <w:sz w:val="22"/>
        </w:rPr>
        <w:t xml:space="preserve"> akademinių ir programinės įrangos kūrėjų bendruomenių</w:t>
      </w:r>
      <w:r w:rsidRPr="00906AF1">
        <w:rPr>
          <w:rFonts w:ascii="Times New Roman" w:hAnsi="Times New Roman"/>
          <w:sz w:val="22"/>
        </w:rPr>
        <w:t xml:space="preserve">, kurios, tikėtina, prisidės savo patirtimi, ištekliais. Didėjantis IT sistemų ir programinės įrangos </w:t>
      </w:r>
      <w:r w:rsidRPr="00906AF1">
        <w:rPr>
          <w:rFonts w:ascii="Times New Roman" w:hAnsi="Times New Roman"/>
          <w:b/>
          <w:bCs/>
          <w:sz w:val="22"/>
        </w:rPr>
        <w:t>sudėtingumas bei neskaidrumas</w:t>
      </w:r>
      <w:r w:rsidRPr="00906AF1">
        <w:rPr>
          <w:rFonts w:ascii="Times New Roman" w:hAnsi="Times New Roman"/>
          <w:sz w:val="22"/>
        </w:rPr>
        <w:t xml:space="preserve"> ir vis dažnesnis </w:t>
      </w:r>
      <w:r w:rsidRPr="00906AF1">
        <w:rPr>
          <w:rFonts w:ascii="Times New Roman" w:hAnsi="Times New Roman"/>
          <w:b/>
          <w:bCs/>
          <w:sz w:val="22"/>
        </w:rPr>
        <w:t>debesija grindžiamų sistemų</w:t>
      </w:r>
      <w:r w:rsidRPr="00906AF1">
        <w:rPr>
          <w:rFonts w:ascii="Times New Roman" w:hAnsi="Times New Roman"/>
          <w:sz w:val="22"/>
        </w:rPr>
        <w:t xml:space="preserve">, esančių už Europos Sąjungos ribų, naudojimas gerokai apsunkina reguliavimo institucijų užduotį ir veiksmingą duomenų subjektų teisių apsaugą. Labai dažnai šios sistemos gali būti analizuojamos tik „juodosios dėžės“ pagrindu, tiriant informacijos srautus, kurie pailgina procedūras ir reikalauja specialių įgūdžių. Kaip jau minėjau, labai svarbu </w:t>
      </w:r>
      <w:r w:rsidRPr="00906AF1">
        <w:rPr>
          <w:rFonts w:ascii="Times New Roman" w:hAnsi="Times New Roman"/>
          <w:b/>
          <w:bCs/>
          <w:sz w:val="22"/>
        </w:rPr>
        <w:t>sutelkti įgūdžius</w:t>
      </w:r>
      <w:r w:rsidRPr="00906AF1">
        <w:rPr>
          <w:rFonts w:ascii="Times New Roman" w:hAnsi="Times New Roman"/>
          <w:sz w:val="22"/>
        </w:rPr>
        <w:t xml:space="preserve">, jei norime turėti pakankamai ekspertų, kurie </w:t>
      </w:r>
      <w:r w:rsidRPr="00906AF1">
        <w:rPr>
          <w:rFonts w:ascii="Times New Roman" w:hAnsi="Times New Roman"/>
          <w:b/>
          <w:bCs/>
          <w:sz w:val="22"/>
        </w:rPr>
        <w:t>spręstų visus skaitmeninius klausimus</w:t>
      </w:r>
      <w:r w:rsidRPr="00906AF1">
        <w:rPr>
          <w:rFonts w:ascii="Times New Roman" w:hAnsi="Times New Roman"/>
          <w:sz w:val="22"/>
        </w:rPr>
        <w:t>.</w:t>
      </w:r>
    </w:p>
    <w:p w:rsidR="00006052" w:rsidRPr="00906AF1" w:rsidRDefault="000729C4" w:rsidP="000729C4">
      <w:pPr>
        <w:pStyle w:val="BodyText"/>
        <w:rPr>
          <w:rFonts w:ascii="Times New Roman" w:hAnsi="Times New Roman" w:cs="Times New Roman"/>
          <w:sz w:val="22"/>
          <w:szCs w:val="22"/>
        </w:rPr>
      </w:pPr>
      <w:r w:rsidRPr="00906AF1">
        <w:rPr>
          <w:rFonts w:ascii="Times New Roman" w:hAnsi="Times New Roman"/>
          <w:sz w:val="22"/>
        </w:rPr>
        <w:t xml:space="preserve">Atsižvelgdamas į šiuos pavyzdžius, manau, kad EDAPP ateities vizija yra </w:t>
      </w:r>
      <w:r w:rsidRPr="00906AF1">
        <w:rPr>
          <w:rFonts w:ascii="Times New Roman" w:hAnsi="Times New Roman"/>
          <w:b/>
          <w:bCs/>
          <w:sz w:val="22"/>
        </w:rPr>
        <w:t>lanksti ir aktyvi reguliavimo institucija</w:t>
      </w:r>
      <w:r w:rsidRPr="00906AF1">
        <w:rPr>
          <w:rFonts w:ascii="Times New Roman" w:hAnsi="Times New Roman"/>
          <w:sz w:val="22"/>
        </w:rPr>
        <w:t>, turinti</w:t>
      </w:r>
      <w:r w:rsidRPr="00906AF1">
        <w:rPr>
          <w:rFonts w:ascii="Times New Roman" w:hAnsi="Times New Roman"/>
          <w:b/>
          <w:bCs/>
          <w:sz w:val="22"/>
        </w:rPr>
        <w:t xml:space="preserve"> pažangiausias teisines ir technines žinias</w:t>
      </w:r>
      <w:r w:rsidRPr="00906AF1">
        <w:rPr>
          <w:rFonts w:ascii="Times New Roman" w:hAnsi="Times New Roman"/>
          <w:sz w:val="22"/>
        </w:rPr>
        <w:t xml:space="preserve">, </w:t>
      </w:r>
      <w:r w:rsidRPr="00906AF1">
        <w:rPr>
          <w:rFonts w:ascii="Times New Roman" w:hAnsi="Times New Roman"/>
          <w:b/>
          <w:bCs/>
          <w:sz w:val="22"/>
        </w:rPr>
        <w:t xml:space="preserve">nuolat sąveikaujanti </w:t>
      </w:r>
      <w:r w:rsidRPr="00906AF1">
        <w:rPr>
          <w:rFonts w:ascii="Times New Roman" w:hAnsi="Times New Roman"/>
          <w:sz w:val="22"/>
        </w:rPr>
        <w:t xml:space="preserve">su savo ekosistema, kolegomis ir visuomene ir galinti teikti atitinkamas nuomones bei patarimus teisės aktų leidėjams ir ES institucijoms. Jau dirbau su daugeliu EDAPP darbuotojų ir supratau jų </w:t>
      </w:r>
      <w:r w:rsidRPr="00906AF1">
        <w:rPr>
          <w:rFonts w:ascii="Times New Roman" w:hAnsi="Times New Roman"/>
          <w:b/>
          <w:bCs/>
          <w:sz w:val="22"/>
        </w:rPr>
        <w:t>kompetenciją bei įsipareigojimą</w:t>
      </w:r>
      <w:r w:rsidRPr="00906AF1">
        <w:rPr>
          <w:rFonts w:ascii="Times New Roman" w:hAnsi="Times New Roman"/>
          <w:sz w:val="22"/>
        </w:rPr>
        <w:t>. Esu įsitikinęs, kad jų dėka galėsime ir toliau vykdyti įprastas užduotis, kurias EDAPP vykdo nuo pat jo įsteigimo, ir investuoti į naujus teisėkūros institucijų jam nustatytus tikslus.</w:t>
      </w:r>
    </w:p>
    <w:sectPr w:rsidR="00006052" w:rsidRPr="00906AF1" w:rsidSect="00906AF1">
      <w:headerReference w:type="even" r:id="rId7"/>
      <w:headerReference w:type="default" r:id="rId8"/>
      <w:footerReference w:type="even" r:id="rId9"/>
      <w:footerReference w:type="default" r:id="rId10"/>
      <w:headerReference w:type="first" r:id="rId11"/>
      <w:footerReference w:type="first" r:id="rId12"/>
      <w:footnotePr>
        <w:numRestart w:val="eachSect"/>
      </w:footnotePr>
      <w:pgSz w:w="11906" w:h="16838" w:code="9"/>
      <w:pgMar w:top="1134" w:right="1418" w:bottom="1418" w:left="1418" w:header="1134"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D2E" w:rsidRPr="00906AF1" w:rsidRDefault="003E3D2E">
      <w:r w:rsidRPr="00906AF1">
        <w:separator/>
      </w:r>
    </w:p>
  </w:endnote>
  <w:endnote w:type="continuationSeparator" w:id="0">
    <w:p w:rsidR="003E3D2E" w:rsidRPr="00906AF1" w:rsidRDefault="003E3D2E">
      <w:r w:rsidRPr="00906AF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okChampa">
    <w:altName w:val="Leelawadee UI"/>
    <w:charset w:val="00"/>
    <w:family w:val="swiss"/>
    <w:pitch w:val="variable"/>
    <w:sig w:usb0="03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Liberation Serif">
    <w:altName w:val="Liberation Serif"/>
    <w:panose1 w:val="00000000000000000000"/>
    <w:charset w:val="00"/>
    <w:family w:val="roman"/>
    <w:notTrueType/>
    <w:pitch w:val="default"/>
    <w:sig w:usb0="00000003" w:usb1="00000000" w:usb2="00000000" w:usb3="00000000" w:csb0="00000001" w:csb1="00000000"/>
  </w:font>
  <w:font w:name="Unifont">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AF1" w:rsidRPr="00906AF1" w:rsidRDefault="00906AF1" w:rsidP="00906AF1">
    <w:pPr>
      <w:pStyle w:val="EPFooter"/>
    </w:pPr>
    <w:r w:rsidRPr="00906AF1">
      <w:t>PE</w:t>
    </w:r>
    <w:r w:rsidRPr="00906AF1">
      <w:rPr>
        <w:rStyle w:val="HideTWBExt"/>
      </w:rPr>
      <w:t>&lt;NoPE&gt;</w:t>
    </w:r>
    <w:r w:rsidRPr="00906AF1">
      <w:t>766.741</w:t>
    </w:r>
    <w:r w:rsidRPr="00906AF1">
      <w:rPr>
        <w:rStyle w:val="HideTWBExt"/>
      </w:rPr>
      <w:t>&lt;/NoPE&gt;</w:t>
    </w:r>
    <w:r w:rsidRPr="00906AF1">
      <w:tab/>
    </w:r>
    <w:r w:rsidRPr="00906AF1">
      <w:fldChar w:fldCharType="begin"/>
    </w:r>
    <w:r w:rsidRPr="00906AF1">
      <w:instrText xml:space="preserve"> PAGE  \* MERGEFORMAT </w:instrText>
    </w:r>
    <w:r w:rsidRPr="00906AF1">
      <w:fldChar w:fldCharType="separate"/>
    </w:r>
    <w:r w:rsidR="00506277">
      <w:rPr>
        <w:noProof/>
      </w:rPr>
      <w:t>2</w:t>
    </w:r>
    <w:r w:rsidRPr="00906AF1">
      <w:fldChar w:fldCharType="end"/>
    </w:r>
    <w:r w:rsidRPr="00906AF1">
      <w:t>/</w:t>
    </w:r>
    <w:fldSimple w:instr=" NUMPAGES  \* MERGEFORMAT ">
      <w:r w:rsidR="00506277">
        <w:rPr>
          <w:noProof/>
        </w:rPr>
        <w:t>4</w:t>
      </w:r>
    </w:fldSimple>
    <w:r w:rsidRPr="00906AF1">
      <w:tab/>
    </w:r>
    <w:r w:rsidRPr="00906AF1">
      <w:rPr>
        <w:rStyle w:val="HideTWBExt"/>
      </w:rPr>
      <w:t>&lt;PathFdR&gt;</w:t>
    </w:r>
    <w:r w:rsidRPr="00906AF1">
      <w:t>NT\1311201LT.docx</w:t>
    </w:r>
    <w:r w:rsidRPr="00906AF1">
      <w:rPr>
        <w:rStyle w:val="HideTWBExt"/>
      </w:rPr>
      <w:t>&lt;/PathFdR&gt;</w:t>
    </w:r>
  </w:p>
  <w:p w:rsidR="00D95527" w:rsidRPr="00906AF1" w:rsidRDefault="00906AF1" w:rsidP="00906AF1">
    <w:pPr>
      <w:pStyle w:val="EPFooter2"/>
    </w:pPr>
    <w:r w:rsidRPr="00906AF1">
      <w:t>LT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AF1" w:rsidRPr="00906AF1" w:rsidRDefault="00906AF1" w:rsidP="00906AF1">
    <w:pPr>
      <w:pStyle w:val="EPFooter"/>
    </w:pPr>
    <w:r w:rsidRPr="00906AF1">
      <w:rPr>
        <w:rStyle w:val="HideTWBExt"/>
      </w:rPr>
      <w:t>&lt;PathFdR&gt;</w:t>
    </w:r>
    <w:r w:rsidRPr="00906AF1">
      <w:t>NT\1311201LT.docx</w:t>
    </w:r>
    <w:r w:rsidRPr="00906AF1">
      <w:rPr>
        <w:rStyle w:val="HideTWBExt"/>
      </w:rPr>
      <w:t>&lt;/PathFdR&gt;</w:t>
    </w:r>
    <w:r w:rsidRPr="00906AF1">
      <w:tab/>
    </w:r>
    <w:r w:rsidRPr="00906AF1">
      <w:fldChar w:fldCharType="begin"/>
    </w:r>
    <w:r w:rsidRPr="00906AF1">
      <w:instrText xml:space="preserve"> PAGE  \* MERGEFORMAT </w:instrText>
    </w:r>
    <w:r w:rsidRPr="00906AF1">
      <w:fldChar w:fldCharType="separate"/>
    </w:r>
    <w:r w:rsidR="00506277">
      <w:rPr>
        <w:noProof/>
      </w:rPr>
      <w:t>3</w:t>
    </w:r>
    <w:r w:rsidRPr="00906AF1">
      <w:fldChar w:fldCharType="end"/>
    </w:r>
    <w:r w:rsidRPr="00906AF1">
      <w:t>/</w:t>
    </w:r>
    <w:fldSimple w:instr=" NUMPAGES  \* MERGEFORMAT ">
      <w:r w:rsidR="00506277">
        <w:rPr>
          <w:noProof/>
        </w:rPr>
        <w:t>4</w:t>
      </w:r>
    </w:fldSimple>
    <w:r w:rsidRPr="00906AF1">
      <w:tab/>
      <w:t>PE</w:t>
    </w:r>
    <w:r w:rsidRPr="00906AF1">
      <w:rPr>
        <w:rStyle w:val="HideTWBExt"/>
      </w:rPr>
      <w:t>&lt;NoPE&gt;</w:t>
    </w:r>
    <w:r w:rsidRPr="00906AF1">
      <w:t>766.741</w:t>
    </w:r>
    <w:r w:rsidRPr="00906AF1">
      <w:rPr>
        <w:rStyle w:val="HideTWBExt"/>
      </w:rPr>
      <w:t>&lt;/NoPE&gt;</w:t>
    </w:r>
  </w:p>
  <w:p w:rsidR="00D95527" w:rsidRPr="00906AF1" w:rsidRDefault="00906AF1" w:rsidP="00906AF1">
    <w:pPr>
      <w:pStyle w:val="EPFooter2"/>
    </w:pPr>
    <w:r w:rsidRPr="00906AF1">
      <w:tab/>
    </w:r>
    <w:r w:rsidRPr="00906AF1">
      <w:tab/>
      <w:t>LT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AF1" w:rsidRPr="00906AF1" w:rsidRDefault="00906AF1" w:rsidP="00906AF1">
    <w:pPr>
      <w:pStyle w:val="EPFooter"/>
    </w:pPr>
    <w:r w:rsidRPr="00906AF1">
      <w:rPr>
        <w:rStyle w:val="HideTWBExt"/>
      </w:rPr>
      <w:t>&lt;PathFdR&gt;</w:t>
    </w:r>
    <w:r w:rsidRPr="00906AF1">
      <w:t>NT\1311201LT.docx</w:t>
    </w:r>
    <w:r w:rsidRPr="00906AF1">
      <w:rPr>
        <w:rStyle w:val="HideTWBExt"/>
      </w:rPr>
      <w:t>&lt;/PathFdR&gt;</w:t>
    </w:r>
    <w:r w:rsidRPr="00906AF1">
      <w:tab/>
    </w:r>
    <w:r w:rsidRPr="00906AF1">
      <w:tab/>
      <w:t>PE</w:t>
    </w:r>
    <w:r w:rsidRPr="00906AF1">
      <w:rPr>
        <w:rStyle w:val="HideTWBExt"/>
      </w:rPr>
      <w:t>&lt;NoPE&gt;</w:t>
    </w:r>
    <w:r w:rsidRPr="00906AF1">
      <w:t>766.741</w:t>
    </w:r>
    <w:r w:rsidRPr="00906AF1">
      <w:rPr>
        <w:rStyle w:val="HideTWBExt"/>
      </w:rPr>
      <w:t>&lt;/NoPE&gt;</w:t>
    </w:r>
  </w:p>
  <w:p w:rsidR="00E93ED6" w:rsidRPr="00906AF1" w:rsidRDefault="00906AF1" w:rsidP="00906AF1">
    <w:pPr>
      <w:pStyle w:val="EPFooter2"/>
    </w:pPr>
    <w:r w:rsidRPr="00906AF1">
      <w:t>LT</w:t>
    </w:r>
    <w:r w:rsidRPr="00906AF1">
      <w:tab/>
    </w:r>
    <w:r w:rsidRPr="00906AF1">
      <w:tab/>
      <w:t>LT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D2E" w:rsidRPr="00906AF1" w:rsidRDefault="003E3D2E">
      <w:r w:rsidRPr="00906AF1">
        <w:separator/>
      </w:r>
    </w:p>
  </w:footnote>
  <w:footnote w:type="continuationSeparator" w:id="0">
    <w:p w:rsidR="003E3D2E" w:rsidRPr="00906AF1" w:rsidRDefault="003E3D2E">
      <w:r w:rsidRPr="00906AF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EF1" w:rsidRDefault="00485E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EF1" w:rsidRDefault="00485E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EF1" w:rsidRDefault="00485E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trDocTypeID" w:val="NONE"/>
    <w:docVar w:name="strSubDir" w:val="1311"/>
    <w:docVar w:name="TXTLANGUE" w:val="EN"/>
    <w:docVar w:name="TXTLANGUEMIN" w:val="en"/>
    <w:docVar w:name="TXTNRPE" w:val="766.741"/>
    <w:docVar w:name="TXTPEorAP" w:val="PE"/>
    <w:docVar w:name="TXTROUTE" w:val="NT\1311201EN.docx"/>
  </w:docVars>
  <w:rsids>
    <w:rsidRoot w:val="003E3D2E"/>
    <w:rsid w:val="00006052"/>
    <w:rsid w:val="00036199"/>
    <w:rsid w:val="000729C4"/>
    <w:rsid w:val="000B3765"/>
    <w:rsid w:val="001C553B"/>
    <w:rsid w:val="001F0314"/>
    <w:rsid w:val="002C30FA"/>
    <w:rsid w:val="00306F80"/>
    <w:rsid w:val="00351DF4"/>
    <w:rsid w:val="003E3D2E"/>
    <w:rsid w:val="00485EF1"/>
    <w:rsid w:val="00506277"/>
    <w:rsid w:val="005719D6"/>
    <w:rsid w:val="005D7B22"/>
    <w:rsid w:val="0062265B"/>
    <w:rsid w:val="00655845"/>
    <w:rsid w:val="00664292"/>
    <w:rsid w:val="00763C99"/>
    <w:rsid w:val="00773D44"/>
    <w:rsid w:val="00906AF1"/>
    <w:rsid w:val="009324B9"/>
    <w:rsid w:val="009E76B7"/>
    <w:rsid w:val="00A60152"/>
    <w:rsid w:val="00AA023F"/>
    <w:rsid w:val="00BF40B7"/>
    <w:rsid w:val="00C0762D"/>
    <w:rsid w:val="00D00EBD"/>
    <w:rsid w:val="00D1454C"/>
    <w:rsid w:val="00D33ACA"/>
    <w:rsid w:val="00D95527"/>
    <w:rsid w:val="00DC1887"/>
    <w:rsid w:val="00E314AE"/>
    <w:rsid w:val="00E93ED6"/>
    <w:rsid w:val="00FE3EFE"/>
  </w:rsids>
  <m:mathPr>
    <m:mathFont m:val="Cambria Math"/>
    <m:brkBin m:val="before"/>
    <m:brkBinSub m:val="--"/>
    <m:smallFrac m:val="0"/>
    <m:dispDef/>
    <m:lMargin m:val="0"/>
    <m:rMargin m:val="0"/>
    <m:defJc m:val="centerGroup"/>
    <m:wrapIndent m:val="1440"/>
    <m:intLim m:val="subSup"/>
    <m:naryLim m:val="undOvr"/>
  </m:mathPr>
  <w:themeFontLang w:val="en-GB"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BD9F66"/>
  <w15:chartTrackingRefBased/>
  <w15:docId w15:val="{DD62ACB2-2423-4E14-908F-4F02690B2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7B22"/>
    <w:rPr>
      <w:sz w:val="24"/>
    </w:rPr>
  </w:style>
  <w:style w:type="paragraph" w:styleId="Heading1">
    <w:name w:val="heading 1"/>
    <w:basedOn w:val="Normal"/>
    <w:next w:val="Normal"/>
    <w:link w:val="Heading1Char"/>
    <w:semiHidden/>
    <w:qFormat/>
    <w:rsid w:val="002C30F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Footer2">
    <w:name w:val="EPFooter2"/>
    <w:basedOn w:val="Normal"/>
    <w:next w:val="Normal"/>
    <w:rsid w:val="00006052"/>
    <w:pPr>
      <w:tabs>
        <w:tab w:val="center" w:pos="4535"/>
        <w:tab w:val="right" w:pos="9921"/>
      </w:tabs>
      <w:ind w:left="-850" w:right="-850"/>
    </w:pPr>
    <w:rPr>
      <w:rFonts w:ascii="Arial" w:hAnsi="Arial" w:cs="Arial"/>
      <w:b/>
      <w:sz w:val="48"/>
    </w:rPr>
  </w:style>
  <w:style w:type="character" w:customStyle="1" w:styleId="HideTWBExt">
    <w:name w:val="HideTWBExt"/>
    <w:rsid w:val="00655845"/>
    <w:rPr>
      <w:rFonts w:ascii="Arial" w:hAnsi="Arial"/>
      <w:noProof/>
      <w:vanish/>
      <w:color w:val="000080"/>
      <w:sz w:val="20"/>
    </w:rPr>
  </w:style>
  <w:style w:type="character" w:customStyle="1" w:styleId="HideTWBInt">
    <w:name w:val="HideTWBInt"/>
    <w:rsid w:val="00655845"/>
    <w:rPr>
      <w:rFonts w:ascii="Arial" w:hAnsi="Arial" w:cs="Arial"/>
      <w:vanish/>
      <w:color w:val="808080"/>
      <w:sz w:val="20"/>
    </w:rPr>
  </w:style>
  <w:style w:type="paragraph" w:customStyle="1" w:styleId="EPFooter">
    <w:name w:val="EPFooter"/>
    <w:basedOn w:val="Normal"/>
    <w:rsid w:val="00D95527"/>
    <w:pPr>
      <w:tabs>
        <w:tab w:val="center" w:pos="4535"/>
        <w:tab w:val="right" w:pos="9071"/>
      </w:tabs>
      <w:spacing w:before="240" w:after="240"/>
    </w:pPr>
    <w:rPr>
      <w:color w:val="010000"/>
      <w:sz w:val="22"/>
    </w:rPr>
  </w:style>
  <w:style w:type="character" w:customStyle="1" w:styleId="Heading1Char">
    <w:name w:val="Heading 1 Char"/>
    <w:basedOn w:val="DefaultParagraphFont"/>
    <w:link w:val="Heading1"/>
    <w:semiHidden/>
    <w:rsid w:val="00BF40B7"/>
    <w:rPr>
      <w:rFonts w:asciiTheme="majorHAnsi" w:eastAsiaTheme="majorEastAsia" w:hAnsiTheme="majorHAnsi" w:cstheme="majorBidi"/>
      <w:color w:val="2E74B5" w:themeColor="accent1" w:themeShade="BF"/>
      <w:sz w:val="32"/>
      <w:szCs w:val="32"/>
    </w:rPr>
  </w:style>
  <w:style w:type="paragraph" w:styleId="TOCHeading">
    <w:name w:val="TOC Heading"/>
    <w:basedOn w:val="Normal"/>
    <w:next w:val="Normal"/>
    <w:uiPriority w:val="39"/>
    <w:semiHidden/>
    <w:unhideWhenUsed/>
    <w:qFormat/>
    <w:rsid w:val="002C30FA"/>
    <w:pPr>
      <w:spacing w:after="240"/>
    </w:pPr>
  </w:style>
  <w:style w:type="paragraph" w:customStyle="1" w:styleId="Default">
    <w:name w:val="Default"/>
    <w:rsid w:val="000729C4"/>
    <w:pPr>
      <w:autoSpaceDE w:val="0"/>
      <w:autoSpaceDN w:val="0"/>
      <w:adjustRightInd w:val="0"/>
    </w:pPr>
    <w:rPr>
      <w:rFonts w:ascii="Liberation Serif" w:hAnsi="Liberation Serif" w:cs="Liberation Serif"/>
      <w:color w:val="000000"/>
      <w:sz w:val="24"/>
      <w:szCs w:val="24"/>
    </w:rPr>
  </w:style>
  <w:style w:type="paragraph" w:styleId="BodyText">
    <w:name w:val="Body Text"/>
    <w:basedOn w:val="Normal"/>
    <w:link w:val="BodyTextChar"/>
    <w:unhideWhenUsed/>
    <w:rsid w:val="000729C4"/>
    <w:pPr>
      <w:suppressAutoHyphens/>
      <w:spacing w:after="115" w:line="252" w:lineRule="auto"/>
      <w:jc w:val="both"/>
    </w:pPr>
    <w:rPr>
      <w:rFonts w:ascii="Liberation Serif" w:eastAsia="Unifont" w:hAnsi="Liberation Serif" w:cs="Unifont"/>
      <w:kern w:val="2"/>
      <w:szCs w:val="24"/>
      <w:lang w:eastAsia="zh-CN" w:bidi="hi-IN"/>
    </w:rPr>
  </w:style>
  <w:style w:type="character" w:customStyle="1" w:styleId="BodyTextChar">
    <w:name w:val="Body Text Char"/>
    <w:basedOn w:val="DefaultParagraphFont"/>
    <w:link w:val="BodyText"/>
    <w:rsid w:val="000729C4"/>
    <w:rPr>
      <w:rFonts w:ascii="Liberation Serif" w:eastAsia="Unifont" w:hAnsi="Liberation Serif" w:cs="Unifont"/>
      <w:kern w:val="2"/>
      <w:sz w:val="24"/>
      <w:szCs w:val="24"/>
      <w:lang w:eastAsia="zh-CN" w:bidi="hi-IN"/>
    </w:rPr>
  </w:style>
  <w:style w:type="paragraph" w:styleId="Footer">
    <w:name w:val="footer"/>
    <w:basedOn w:val="Normal"/>
    <w:link w:val="FooterChar"/>
    <w:rsid w:val="0062265B"/>
    <w:pPr>
      <w:tabs>
        <w:tab w:val="center" w:pos="4513"/>
        <w:tab w:val="right" w:pos="9026"/>
      </w:tabs>
    </w:pPr>
  </w:style>
  <w:style w:type="character" w:customStyle="1" w:styleId="FooterChar">
    <w:name w:val="Footer Char"/>
    <w:basedOn w:val="DefaultParagraphFont"/>
    <w:link w:val="Footer"/>
    <w:rsid w:val="0062265B"/>
    <w:rPr>
      <w:sz w:val="24"/>
    </w:rPr>
  </w:style>
  <w:style w:type="paragraph" w:styleId="Header">
    <w:name w:val="header"/>
    <w:basedOn w:val="Normal"/>
    <w:link w:val="HeaderChar"/>
    <w:rsid w:val="00485EF1"/>
    <w:pPr>
      <w:tabs>
        <w:tab w:val="center" w:pos="4513"/>
        <w:tab w:val="right" w:pos="9026"/>
      </w:tabs>
    </w:pPr>
  </w:style>
  <w:style w:type="character" w:customStyle="1" w:styleId="HeaderChar">
    <w:name w:val="Header Char"/>
    <w:basedOn w:val="DefaultParagraphFont"/>
    <w:link w:val="Header"/>
    <w:rsid w:val="00485EF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ecuyer\AppData\Local\Temp\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Blank.dotx</Template>
  <TotalTime>0</TotalTime>
  <Pages>4</Pages>
  <Words>1650</Words>
  <Characters>12085</Characters>
  <Application>Microsoft Office Word</Application>
  <DocSecurity>0</DocSecurity>
  <Lines>172</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LECUYER Katarzyna</dc:creator>
  <cp:keywords/>
  <dc:description/>
  <cp:lastModifiedBy>MATHERS Margarita</cp:lastModifiedBy>
  <cp:revision>2</cp:revision>
  <dcterms:created xsi:type="dcterms:W3CDTF">2025-01-10T08:25:00Z</dcterms:created>
  <dcterms:modified xsi:type="dcterms:W3CDTF">2025-01-10T08:25:00Z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t;Extension&gt;">
    <vt:lpwstr>LT</vt:lpwstr>
  </property>
  <property fmtid="{D5CDD505-2E9C-101B-9397-08002B2CF9AE}" pid="3" name="Created with">
    <vt:lpwstr>10.0.0 Build [20241115]</vt:lpwstr>
  </property>
  <property fmtid="{D5CDD505-2E9C-101B-9397-08002B2CF9AE}" pid="4" name="LastEdited with">
    <vt:lpwstr>10.0.0 Build [20241202]</vt:lpwstr>
  </property>
  <property fmtid="{D5CDD505-2E9C-101B-9397-08002B2CF9AE}" pid="5" name="&lt;FdR&gt;">
    <vt:lpwstr>1311201</vt:lpwstr>
  </property>
  <property fmtid="{D5CDD505-2E9C-101B-9397-08002B2CF9AE}" pid="6" name="&lt;Type&gt;">
    <vt:lpwstr>NT</vt:lpwstr>
  </property>
  <property fmtid="{D5CDD505-2E9C-101B-9397-08002B2CF9AE}" pid="7" name="&lt;ModelCod&gt;">
    <vt:lpwstr>NONE</vt:lpwstr>
  </property>
  <property fmtid="{D5CDD505-2E9C-101B-9397-08002B2CF9AE}" pid="8" name="&lt;ModelTra&gt;">
    <vt:lpwstr>NONE</vt:lpwstr>
  </property>
  <property fmtid="{D5CDD505-2E9C-101B-9397-08002B2CF9AE}" pid="9" name="&lt;Model&gt;">
    <vt:lpwstr>NONE</vt:lpwstr>
  </property>
  <property fmtid="{D5CDD505-2E9C-101B-9397-08002B2CF9AE}" pid="10" name="FooterPath">
    <vt:lpwstr>NT\1311201LT.docx</vt:lpwstr>
  </property>
  <property fmtid="{D5CDD505-2E9C-101B-9397-08002B2CF9AE}" pid="11" name="PE number">
    <vt:lpwstr>766.741</vt:lpwstr>
  </property>
  <property fmtid="{D5CDD505-2E9C-101B-9397-08002B2CF9AE}" pid="12" name="SendToEpades">
    <vt:lpwstr>OK - 2024/12/12 18:17</vt:lpwstr>
  </property>
  <property fmtid="{D5CDD505-2E9C-101B-9397-08002B2CF9AE}" pid="13" name="SDLStudio">
    <vt:lpwstr/>
  </property>
  <property fmtid="{D5CDD505-2E9C-101B-9397-08002B2CF9AE}" pid="14" name="Bookout">
    <vt:lpwstr>OK - 2025/01/10 09:25</vt:lpwstr>
  </property>
</Properties>
</file>