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7F67CA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7F67CA" w:rsidRDefault="00674856" w:rsidP="00C85D0F">
            <w:pPr>
              <w:pStyle w:val="EPName"/>
            </w:pPr>
            <w:bookmarkStart w:id="0" w:name="_GoBack"/>
            <w:bookmarkEnd w:id="0"/>
            <w:r w:rsidRPr="007F67CA">
              <w:t>Európsky parlament</w:t>
            </w:r>
          </w:p>
          <w:p w:rsidR="008F5EFB" w:rsidRPr="007F67CA" w:rsidRDefault="002C1F91" w:rsidP="002C1F91">
            <w:pPr>
              <w:pStyle w:val="EPTerm"/>
            </w:pPr>
            <w:r w:rsidRPr="007F67CA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7F67CA" w:rsidRDefault="008F5EFB" w:rsidP="00C85D0F">
            <w:pPr>
              <w:pStyle w:val="EPLogo"/>
            </w:pPr>
            <w:r w:rsidRPr="007F67CA"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7F67CA" w:rsidRDefault="00E53167" w:rsidP="00E53167">
      <w:pPr>
        <w:pStyle w:val="LineTop"/>
      </w:pPr>
    </w:p>
    <w:p w:rsidR="00E53167" w:rsidRPr="007F67CA" w:rsidRDefault="002C1F91" w:rsidP="00E53167">
      <w:pPr>
        <w:pStyle w:val="EPBody"/>
      </w:pPr>
      <w:r w:rsidRPr="007F67CA">
        <w:rPr>
          <w:rStyle w:val="HideTWBInt"/>
        </w:rPr>
        <w:t>{LIBE}</w:t>
      </w:r>
      <w:r w:rsidRPr="007F67CA">
        <w:t>Výbor pre občianske slobody, spravodlivosť a vnútorné veci</w:t>
      </w:r>
    </w:p>
    <w:p w:rsidR="00094DDA" w:rsidRPr="007F67CA" w:rsidRDefault="00094DDA" w:rsidP="00094DDA">
      <w:pPr>
        <w:pStyle w:val="LineBottom"/>
      </w:pPr>
    </w:p>
    <w:p w:rsidR="00094DDA" w:rsidRPr="007F67CA" w:rsidRDefault="00094DDA" w:rsidP="00094DDA">
      <w:pPr>
        <w:pStyle w:val="CoverReference"/>
      </w:pPr>
      <w:r w:rsidRPr="007F67CA">
        <w:rPr>
          <w:rStyle w:val="HideTWBExt"/>
          <w:b w:val="0"/>
          <w:noProof w:val="0"/>
        </w:rPr>
        <w:t>&lt;NoDocSe&gt;</w:t>
      </w:r>
      <w:r w:rsidRPr="007F67CA">
        <w:t>2020/2717(RSP)</w:t>
      </w:r>
      <w:r w:rsidRPr="007F67CA">
        <w:rPr>
          <w:rStyle w:val="HideTWBExt"/>
          <w:b w:val="0"/>
          <w:noProof w:val="0"/>
        </w:rPr>
        <w:t>&lt;/NoDocSe&gt;</w:t>
      </w:r>
    </w:p>
    <w:p w:rsidR="00094DDA" w:rsidRPr="007F67CA" w:rsidRDefault="00094DDA" w:rsidP="00094DDA">
      <w:pPr>
        <w:pStyle w:val="CoverDate"/>
      </w:pPr>
      <w:r w:rsidRPr="007F67CA">
        <w:rPr>
          <w:rStyle w:val="HideTWBExt"/>
          <w:noProof w:val="0"/>
        </w:rPr>
        <w:t>&lt;Date&gt;</w:t>
      </w:r>
      <w:r w:rsidRPr="007F67CA">
        <w:t>...</w:t>
      </w:r>
      <w:r w:rsidRPr="007F67CA">
        <w:rPr>
          <w:rStyle w:val="HideTWBExt"/>
          <w:noProof w:val="0"/>
        </w:rPr>
        <w:t>&lt;/Date&gt;</w:t>
      </w:r>
    </w:p>
    <w:p w:rsidR="00814BC6" w:rsidRPr="007F67CA" w:rsidRDefault="00814BC6">
      <w:pPr>
        <w:pStyle w:val="CoverDocType24a"/>
      </w:pPr>
      <w:r w:rsidRPr="007F67CA">
        <w:rPr>
          <w:rStyle w:val="HideTWBExt"/>
          <w:b w:val="0"/>
          <w:noProof w:val="0"/>
        </w:rPr>
        <w:t>&lt;TitreType&gt;</w:t>
      </w:r>
      <w:r w:rsidRPr="007F67CA">
        <w:t>NÁVRH UZNESENIA</w:t>
      </w:r>
      <w:r w:rsidRPr="007F67CA">
        <w:rPr>
          <w:rStyle w:val="HideTWBExt"/>
          <w:b w:val="0"/>
          <w:noProof w:val="0"/>
        </w:rPr>
        <w:t>&lt;/TitreType&gt;</w:t>
      </w:r>
    </w:p>
    <w:p w:rsidR="00814BC6" w:rsidRPr="007F67CA" w:rsidRDefault="00814BC6">
      <w:pPr>
        <w:pStyle w:val="CoverNormal12a"/>
      </w:pPr>
      <w:r w:rsidRPr="007F67CA">
        <w:rPr>
          <w:rStyle w:val="HideTWBExt"/>
          <w:noProof w:val="0"/>
        </w:rPr>
        <w:t>&lt;TitreSuite&gt;</w:t>
      </w:r>
      <w:r w:rsidRPr="007F67CA">
        <w:t>predložený na základe vyhlásenia Komisie</w:t>
      </w:r>
      <w:r w:rsidRPr="007F67CA">
        <w:rPr>
          <w:rStyle w:val="HideTWBExt"/>
          <w:noProof w:val="0"/>
        </w:rPr>
        <w:t>&lt;/TitreSuite&gt;</w:t>
      </w:r>
    </w:p>
    <w:p w:rsidR="00814BC6" w:rsidRPr="007F67CA" w:rsidRDefault="00814BC6">
      <w:pPr>
        <w:pStyle w:val="CoverNormal12a"/>
      </w:pPr>
      <w:r w:rsidRPr="007F67CA">
        <w:rPr>
          <w:rStyle w:val="HideTWBExt"/>
          <w:noProof w:val="0"/>
        </w:rPr>
        <w:t>&lt;TitreRecueil&gt;</w:t>
      </w:r>
      <w:r w:rsidRPr="007F67CA">
        <w:t>v súlade s článkom 132 ods. 2 rokovacieho poriadku</w:t>
      </w:r>
      <w:r w:rsidRPr="007F67CA">
        <w:rPr>
          <w:rStyle w:val="HideTWBExt"/>
          <w:noProof w:val="0"/>
        </w:rPr>
        <w:t>&lt;/TitreRecueil&gt;</w:t>
      </w:r>
    </w:p>
    <w:p w:rsidR="00C23264" w:rsidRPr="007F67CA" w:rsidRDefault="00C23264" w:rsidP="00C23264">
      <w:pPr>
        <w:pStyle w:val="CoverNormal"/>
      </w:pPr>
      <w:r w:rsidRPr="007F67CA">
        <w:rPr>
          <w:rStyle w:val="HideTWBExt"/>
          <w:noProof w:val="0"/>
        </w:rPr>
        <w:t>&lt;Titre&gt;</w:t>
      </w:r>
      <w:r w:rsidRPr="007F67CA">
        <w:t>o hodnotiacej správe Komisie o vykonávaní všeobecného nariadenia o ochrane údajov dva roky po jeho uplatňovaní</w:t>
      </w:r>
      <w:r w:rsidRPr="007F67CA">
        <w:rPr>
          <w:rStyle w:val="HideTWBExt"/>
          <w:noProof w:val="0"/>
        </w:rPr>
        <w:t>&lt;/Titre&gt;</w:t>
      </w:r>
    </w:p>
    <w:p w:rsidR="00C23264" w:rsidRPr="007F67CA" w:rsidRDefault="00C23264" w:rsidP="00C23264">
      <w:pPr>
        <w:pStyle w:val="CoverNormal24a"/>
      </w:pPr>
      <w:r w:rsidRPr="007F67CA">
        <w:rPr>
          <w:rStyle w:val="HideTWBExt"/>
          <w:noProof w:val="0"/>
        </w:rPr>
        <w:t>&lt;DocRef&gt;</w:t>
      </w:r>
      <w:r w:rsidRPr="007F67CA">
        <w:t>(2020/2717(RSP))</w:t>
      </w:r>
      <w:r w:rsidRPr="007F67CA">
        <w:rPr>
          <w:rStyle w:val="HideTWBExt"/>
          <w:noProof w:val="0"/>
        </w:rPr>
        <w:t>&lt;/DocRef&gt;</w:t>
      </w:r>
    </w:p>
    <w:p w:rsidR="002574AA" w:rsidRPr="007F67CA" w:rsidRDefault="002574AA" w:rsidP="002574AA">
      <w:pPr>
        <w:pStyle w:val="CoverBold"/>
      </w:pPr>
      <w:r w:rsidRPr="007F67CA">
        <w:rPr>
          <w:rStyle w:val="HideTWBExt"/>
          <w:b w:val="0"/>
          <w:noProof w:val="0"/>
        </w:rPr>
        <w:t>&lt;RepeatBlock-By&gt;&lt;Depute&gt;</w:t>
      </w:r>
      <w:r w:rsidRPr="007F67CA">
        <w:t>Juan Fernando López Aguilar</w:t>
      </w:r>
      <w:r w:rsidRPr="007F67CA">
        <w:rPr>
          <w:rStyle w:val="HideTWBExt"/>
          <w:b w:val="0"/>
          <w:noProof w:val="0"/>
          <w:color w:val="auto"/>
        </w:rPr>
        <w:t>&lt;/Depute&gt;</w:t>
      </w:r>
    </w:p>
    <w:p w:rsidR="002574AA" w:rsidRPr="007F67CA" w:rsidRDefault="002574AA" w:rsidP="002574AA">
      <w:pPr>
        <w:pStyle w:val="CoverNormal"/>
      </w:pPr>
      <w:r w:rsidRPr="007F67CA">
        <w:rPr>
          <w:rStyle w:val="HideTWBExt"/>
          <w:noProof w:val="0"/>
        </w:rPr>
        <w:t>&lt;Commission&gt;</w:t>
      </w:r>
      <w:r w:rsidRPr="007F67CA">
        <w:rPr>
          <w:rStyle w:val="HideTWBInt"/>
        </w:rPr>
        <w:t>{LIBE}</w:t>
      </w:r>
      <w:r w:rsidRPr="007F67CA">
        <w:t>v mene Výboru pre občianske slobody, spravodlivosť a vnútorné veci</w:t>
      </w:r>
      <w:r w:rsidRPr="007F67CA">
        <w:rPr>
          <w:rStyle w:val="HideTWBExt"/>
          <w:noProof w:val="0"/>
        </w:rPr>
        <w:t>&lt;/Commission&gt;</w:t>
      </w:r>
    </w:p>
    <w:p w:rsidR="002574AA" w:rsidRPr="007F67CA" w:rsidRDefault="002574AA" w:rsidP="002574AA">
      <w:pPr>
        <w:pStyle w:val="CoverNormal"/>
      </w:pPr>
      <w:r w:rsidRPr="007F67CA">
        <w:rPr>
          <w:rStyle w:val="HideTWBExt"/>
          <w:noProof w:val="0"/>
        </w:rPr>
        <w:t>&lt;/RepeatBlock-By&gt;</w:t>
      </w:r>
    </w:p>
    <w:p w:rsidR="00814BC6" w:rsidRPr="007F67CA" w:rsidRDefault="00814BC6">
      <w:pPr>
        <w:pStyle w:val="NormalBold12a"/>
      </w:pPr>
      <w:r w:rsidRPr="007F67CA">
        <w:br w:type="page"/>
      </w:r>
      <w:r w:rsidRPr="007F67CA">
        <w:lastRenderedPageBreak/>
        <w:t>B9</w:t>
      </w:r>
      <w:r w:rsidRPr="007F67CA">
        <w:noBreakHyphen/>
        <w:t>0000/2020</w:t>
      </w:r>
    </w:p>
    <w:p w:rsidR="00C23264" w:rsidRPr="007F67CA" w:rsidRDefault="00674856" w:rsidP="00C23264">
      <w:pPr>
        <w:pStyle w:val="NormalBold"/>
      </w:pPr>
      <w:r w:rsidRPr="007F67CA">
        <w:t>Uznesenie Európskeho parlamentu o hodnotiacej správe Komisie o vykonávaní všeobecného nariadenia o ochrane údajov dva roky po jeho uplatňovaní</w:t>
      </w:r>
    </w:p>
    <w:p w:rsidR="00C23264" w:rsidRPr="007F67CA" w:rsidRDefault="00674856" w:rsidP="00DF7943">
      <w:pPr>
        <w:pStyle w:val="NormalBold"/>
      </w:pPr>
      <w:r w:rsidRPr="007F67CA">
        <w:t>(2020/2717(RSP))</w:t>
      </w:r>
    </w:p>
    <w:p w:rsidR="00814BC6" w:rsidRPr="007F67CA" w:rsidRDefault="00674856">
      <w:pPr>
        <w:pStyle w:val="EPComma"/>
      </w:pPr>
      <w:r w:rsidRPr="007F67CA">
        <w:rPr>
          <w:i/>
        </w:rPr>
        <w:t>Európsky parlament,</w:t>
      </w:r>
    </w:p>
    <w:p w:rsidR="002C1F91" w:rsidRPr="007F67CA" w:rsidRDefault="00814BC6" w:rsidP="00FD65B9">
      <w:pPr>
        <w:widowControl/>
        <w:ind w:left="567" w:hanging="567"/>
        <w:rPr>
          <w:szCs w:val="24"/>
        </w:rPr>
      </w:pPr>
      <w:r w:rsidRPr="007F67CA">
        <w:t>–</w:t>
      </w:r>
      <w:r w:rsidRPr="007F67CA">
        <w:tab/>
        <w:t>so zreteľom na nariadenie Európskeho parlamentu a Rady (EÚ) 2016/679 z 24. apríla 2016 o ochrane fyzických osôb pri spracúvaní osobných údajov a o voľnom pohybe takýchto údajov, ktorým sa zrušuje smernica 95/46/ES (všeobecné nariadenie o ochrane údajov)</w:t>
      </w:r>
      <w:r w:rsidR="002C1F91" w:rsidRPr="007F67CA">
        <w:rPr>
          <w:rStyle w:val="FootnoteReference"/>
        </w:rPr>
        <w:footnoteReference w:id="1"/>
      </w:r>
      <w:r w:rsidRPr="007F67CA">
        <w:t xml:space="preserve">, </w:t>
      </w:r>
    </w:p>
    <w:p w:rsidR="002C1F91" w:rsidRPr="007F67CA" w:rsidRDefault="00CC09D8" w:rsidP="00FD65B9">
      <w:pPr>
        <w:widowControl/>
        <w:spacing w:before="240"/>
        <w:ind w:left="567" w:hanging="567"/>
        <w:rPr>
          <w:szCs w:val="24"/>
        </w:rPr>
      </w:pPr>
      <w:r w:rsidRPr="007F67CA">
        <w:t>–</w:t>
      </w:r>
      <w:r w:rsidRPr="007F67CA">
        <w:tab/>
        <w:t>so zreteľom na oznámenie Komisie Európskemu parlamentu a Rade z 24. júna 2020 o ochrane údajov ako pilier posilnenia postavenia občanov a prístupu EÚ k digitálnej transformácii – dva roky uplatňovania všeobecného nariadenia o ochrane údajov</w:t>
      </w:r>
      <w:r w:rsidR="002C1F91" w:rsidRPr="007F67CA">
        <w:rPr>
          <w:rStyle w:val="FootnoteReference"/>
        </w:rPr>
        <w:footnoteReference w:id="2"/>
      </w:r>
      <w:r w:rsidRPr="007F67CA">
        <w:t xml:space="preserve">; </w:t>
      </w:r>
    </w:p>
    <w:p w:rsidR="002C1F91" w:rsidRPr="007F67CA" w:rsidRDefault="002C1F91" w:rsidP="00FD65B9">
      <w:pPr>
        <w:widowControl/>
        <w:spacing w:before="240"/>
        <w:ind w:left="567" w:hanging="567"/>
        <w:rPr>
          <w:szCs w:val="24"/>
        </w:rPr>
      </w:pPr>
      <w:r w:rsidRPr="007F67CA">
        <w:t>–</w:t>
      </w:r>
      <w:r w:rsidRPr="007F67CA">
        <w:tab/>
        <w:t>so zreteľom na oznámenie Komisie Európskemu parlamentu a Rade z 24. júna 2020 o ochrane údajov ako piliera posilnenia postavenia občanov a prístupu EÚ k digitálnej transformácii – dva roky uplatňovania všeobecného nariadenia o ochrane údajov</w:t>
      </w:r>
      <w:r w:rsidRPr="007F67CA">
        <w:rPr>
          <w:rStyle w:val="FootnoteReference"/>
        </w:rPr>
        <w:footnoteReference w:id="3"/>
      </w:r>
      <w:r w:rsidRPr="007F67CA">
        <w:t xml:space="preserve">; </w:t>
      </w:r>
    </w:p>
    <w:p w:rsidR="00ED22B8" w:rsidRPr="007F67CA" w:rsidRDefault="00ED22B8" w:rsidP="00FD65B9">
      <w:pPr>
        <w:pStyle w:val="NormalHanging12a"/>
        <w:spacing w:before="240"/>
      </w:pPr>
      <w:r w:rsidRPr="007F67CA">
        <w:t>–</w:t>
      </w:r>
      <w:r w:rsidRPr="007F67CA">
        <w:tab/>
        <w:t>so zreteľom na článok 132 ods. 2 rokovacieho poriadku,</w:t>
      </w:r>
    </w:p>
    <w:p w:rsidR="00780A7D" w:rsidRPr="007F67CA" w:rsidRDefault="00780A7D" w:rsidP="00FD65B9">
      <w:pPr>
        <w:pStyle w:val="NormalHanging12a"/>
      </w:pPr>
      <w:r w:rsidRPr="007F67CA">
        <w:t>–</w:t>
      </w:r>
      <w:r w:rsidRPr="007F67CA">
        <w:tab/>
        <w:t>so zreteľom na návrh uznesenia Výboru pre občianske slobody, spravodlivosť a vnútorné veci,</w:t>
      </w:r>
    </w:p>
    <w:p w:rsidR="00814BC6" w:rsidRPr="007F67CA" w:rsidRDefault="002C1F91" w:rsidP="002C1F91">
      <w:pPr>
        <w:pStyle w:val="NormalHanging12a"/>
        <w:ind w:hanging="566"/>
      </w:pPr>
      <w:r w:rsidRPr="007F67CA">
        <w:t>A.</w:t>
      </w:r>
      <w:r w:rsidRPr="007F67CA">
        <w:tab/>
        <w:t>keďže všeobecné nariadenie o ochrane údajov sa uplatňuje od 25. mája 2018; keďže všetky členské štáty okrem Slovinska prijali nové právne predpisy alebo upravili svoje vnútroštátne právne predpisy o ochrane údajov;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B.</w:t>
      </w:r>
      <w:r w:rsidRPr="007F67CA">
        <w:tab/>
        <w:t>keďže od začiatku uplatňovania všeobecného nariadenia o ochrane údajov bolo dozorným orgánom doručených omnoho väčšie množstvo sťažností; keďže to dokazuje, že dotknuté osoby si viac uvedomujú svoje práva a chcú chrániť svoje osobné údaje v súlade so všeobecným nariadením o ochrane údajov; keďže to tiež dokazuje, že naďalej dochádza k veľkému množstvu nezákonných operácií spracúvania údajov;</w:t>
      </w:r>
    </w:p>
    <w:p w:rsidR="002C1F91" w:rsidRPr="007F67CA" w:rsidRDefault="002C1F91" w:rsidP="002C1F91">
      <w:pPr>
        <w:pStyle w:val="NormalHanging12a"/>
        <w:ind w:left="1" w:firstLine="0"/>
        <w:rPr>
          <w:b/>
          <w:i/>
        </w:rPr>
      </w:pPr>
      <w:r w:rsidRPr="007F67CA">
        <w:rPr>
          <w:b/>
          <w:i/>
        </w:rPr>
        <w:t>VŠEOBECNÉ PRIPOMIENKY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1.</w:t>
      </w:r>
      <w:r w:rsidRPr="007F67CA">
        <w:tab/>
        <w:t>víta, že všeobecné nariadenie o ochrane údajov sa stalo globálnym štandardom ochrany osobných údajov a je faktorom konvergencie pri tvorbe noriem; víta skutočnosť, že vo všeobecnom nariadení o ochrane údajov sa EÚ dostala do popredia medzinárodných diskusií o ochrane údajov a že viaceré tretie krajiny zosúladili svoje právne predpisy o ochrane údajov so všeobecným nariadením o ochrane údajov;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2.</w:t>
      </w:r>
      <w:r w:rsidRPr="007F67CA">
        <w:tab/>
        <w:t>konštatuje, že dva roky po nadobudnutí účinnosti všeobecného nariadenia o ochrane údajov je všeobecné nariadenie o ochrane údajov celkovo úspešné, a súhlasí s Európskou komisiou, že v tejto fáze nie je potrebné aktualizovať alebo revidovať právne predpisy;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3.</w:t>
      </w:r>
      <w:r w:rsidRPr="007F67CA">
        <w:tab/>
        <w:t>uznáva, že v nadchádzajúcich rokoch sa dôraz musí naďalej klásť na zlepšenie vykonávania a opatrení na posilnenie všeobecného nariadenia o ochrane údajov;</w:t>
      </w:r>
    </w:p>
    <w:p w:rsidR="002C1F91" w:rsidRPr="007F67CA" w:rsidRDefault="00FD65B9" w:rsidP="002C1F91">
      <w:pPr>
        <w:pStyle w:val="NormalHanging12a"/>
        <w:ind w:hanging="566"/>
      </w:pPr>
      <w:r w:rsidRPr="007F67CA">
        <w:t>4.</w:t>
      </w:r>
      <w:r w:rsidRPr="007F67CA">
        <w:tab/>
        <w:t>uznáva potrebu dôrazného a účinného presadzovania všeobecného nariadenia o ochrane údajov vo vzťahu k veľkým digitálnym platformám a integrovaným spoločnostiam vrátane oblastí, ako je online reklama a mikrocielenie;</w:t>
      </w:r>
    </w:p>
    <w:p w:rsidR="002C1F91" w:rsidRPr="007F67CA" w:rsidRDefault="002C1F91" w:rsidP="002C1F91">
      <w:pPr>
        <w:spacing w:after="240"/>
        <w:rPr>
          <w:rFonts w:eastAsia="DejaVu Sans"/>
          <w:kern w:val="2"/>
        </w:rPr>
      </w:pPr>
      <w:r w:rsidRPr="007F67CA">
        <w:rPr>
          <w:b/>
          <w:i/>
        </w:rPr>
        <w:t>PRÁVNY ZÁKLAD PRE SPRACÚVANIE</w:t>
      </w:r>
    </w:p>
    <w:p w:rsidR="002C1F91" w:rsidRPr="007F67CA" w:rsidRDefault="00FD65B9" w:rsidP="002C1F91">
      <w:pPr>
        <w:pStyle w:val="NormalHanging12a"/>
        <w:ind w:hanging="566"/>
      </w:pPr>
      <w:r w:rsidRPr="007F67CA">
        <w:t>5.</w:t>
      </w:r>
      <w:r w:rsidRPr="007F67CA">
        <w:tab/>
        <w:t>pripomína, že od začiatku uplatňovania všeobecného nariadenia o ochrane údajov „súhlas“ znamená akýkoľvek slobodný, konkrétny, informovaný a jednoznačný prejav vôle dotknutej osoby; zdôrazňuje, že to platí aj pre smernicu o súkromí a elektronických komunikáciách; konštatuje, že vykonávanie platného súhlasu je naďalej ohrozené používaním tzv. dark patterns, sledovania na komerčné účely a iných neetických postupov; je znepokojený tým, že jednotlivci sú často pod ekonomickým tlakom, aby poskytli súhlas výmenou za zľavy alebo iné obchodné ponuky, alebo sú nútení poskytnúť súhlas, pretože je tým podmienený prístup k službe prostredníctvom zaväzujúcich ustanovení, čo je v rozpore s článkom 7 všeobecného nariadenia o ochrane údajov;</w:t>
      </w:r>
    </w:p>
    <w:p w:rsidR="002C1F91" w:rsidRPr="007F67CA" w:rsidRDefault="002C1F91" w:rsidP="002C1F91">
      <w:pPr>
        <w:spacing w:after="240"/>
        <w:rPr>
          <w:rFonts w:eastAsia="DejaVu Sans"/>
          <w:b/>
          <w:i/>
          <w:kern w:val="2"/>
        </w:rPr>
      </w:pPr>
      <w:r w:rsidRPr="007F67CA">
        <w:rPr>
          <w:b/>
          <w:i/>
        </w:rPr>
        <w:t>PRÁVA DOTKNUTEJ OSOBY</w:t>
      </w:r>
    </w:p>
    <w:p w:rsidR="002C1F91" w:rsidRPr="007F67CA" w:rsidRDefault="00FD65B9" w:rsidP="002C1F91">
      <w:pPr>
        <w:pStyle w:val="NormalHanging12a"/>
        <w:ind w:hanging="566"/>
      </w:pPr>
      <w:r w:rsidRPr="007F67CA">
        <w:t>6.</w:t>
      </w:r>
      <w:r w:rsidRPr="007F67CA">
        <w:tab/>
        <w:t>zdôrazňuje, že je potrebné uľahčiť výkon individuálnych práv stanovených vo všeobecnom nariadení o ochrane údajov, ako je prenosnosť údajov alebo práva v súvislosti s automatizovaným spracúvaním vrátane profilovania; vyzýva Európsky výbor pre ochranu údajov, aby vydal ďalšie usmernenia týkajúce sa automatizovaného rozhodovania;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MALÉ PODNIKY A ORGANIZÁCIE</w:t>
      </w:r>
    </w:p>
    <w:p w:rsidR="002C1F91" w:rsidRPr="007F67CA" w:rsidRDefault="00FD65B9" w:rsidP="002C1F91">
      <w:pPr>
        <w:pStyle w:val="NormalHanging12a"/>
        <w:ind w:hanging="566"/>
      </w:pPr>
      <w:r w:rsidRPr="007F67CA">
        <w:t>7.</w:t>
      </w:r>
      <w:r w:rsidRPr="007F67CA">
        <w:tab/>
        <w:t>pripomína, že niektoré zainteresované strany uvádzajú, že uplatňovanie všeobecného nariadenia o ochrane údajov je náročné, a to najmä pre malé a stredné podniky (MSP);</w:t>
      </w:r>
    </w:p>
    <w:p w:rsidR="002C1F91" w:rsidRPr="007F67CA" w:rsidRDefault="00FD65B9" w:rsidP="002C1F91">
      <w:pPr>
        <w:pStyle w:val="NormalHanging12a"/>
        <w:ind w:hanging="566"/>
      </w:pPr>
      <w:r w:rsidRPr="007F67CA">
        <w:t>8.</w:t>
      </w:r>
      <w:r w:rsidRPr="007F67CA">
        <w:tab/>
        <w:t>poukazuje na to, že pre MSP by nemali existovať žiadne odchýlky; vyzýva Európsky výbor pre ochranu údajov, aby poskytol praktické nástroje na uľahčenie vykonávania všeobecného nariadenia o ochrane údajov zo strany MSP s nízkorizikovými spracovateľskými činnosťami;</w:t>
      </w:r>
    </w:p>
    <w:p w:rsidR="002C1F91" w:rsidRPr="007F67CA" w:rsidRDefault="002C1F91" w:rsidP="002C1F91">
      <w:pPr>
        <w:pStyle w:val="NormalHanging12a"/>
        <w:spacing w:before="240"/>
        <w:ind w:left="1" w:firstLine="0"/>
      </w:pPr>
      <w:r w:rsidRPr="007F67CA">
        <w:rPr>
          <w:b/>
          <w:i/>
        </w:rPr>
        <w:t>PRESADZOVANIE</w:t>
      </w:r>
    </w:p>
    <w:p w:rsidR="002C1F91" w:rsidRPr="007F67CA" w:rsidRDefault="00FD65B9" w:rsidP="002C1F91">
      <w:pPr>
        <w:pStyle w:val="NormalHanging12a"/>
        <w:ind w:hanging="566"/>
      </w:pPr>
      <w:r w:rsidRPr="007F67CA">
        <w:t>9.</w:t>
      </w:r>
      <w:r w:rsidRPr="007F67CA">
        <w:tab/>
        <w:t>je znepokojený nerovnakou úrovňou presadzovania všeobecného nariadenia o ochrane údajov vnútroštátnymi orgánmi na ochranu údajov;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10.</w:t>
      </w:r>
      <w:r w:rsidRPr="007F67CA">
        <w:tab/>
        <w:t>poznamenáva, že od začiatku uplatňovania všeobecného nariadenia o ochrane údajov boli síce uložené niektoré významné pokuty za závažné porušenia, ale možnosti všeobecného nariadenia o ochrane údajov sa v tomto smere zďaleka nevyužívajú v plnom rozsahu a v členských štátoch existujú rozdiely v prísnosti uplatňovaných sankcií;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11.</w:t>
      </w:r>
      <w:r w:rsidRPr="007F67CA">
        <w:tab/>
        <w:t>je znepokojený dĺžkou vyšetrovania prípadov niektorými orgánmi na ochranu údajov a jeho nepriaznivým vplyvom na účinné presadzovanie a dôveru občanov; naliehavo vyzýva orgány na ochranu osobných údajov, aby urýchlili riešenie prípadov a využívali všetky mechanizmy, ktoré majú k dispozícii podľa všeobecného nariadenia o ochrane údajov, vrátane dočasných alebo konečných obmedzení alebo zákazu spracúvania;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12.</w:t>
      </w:r>
      <w:r w:rsidRPr="007F67CA">
        <w:tab/>
        <w:t>nevyjadruje poľutovanie nad tým, že orgány pre ochranu osobných údajov 21 členských štátov výslovne uviedli, že nemajú dostatočné ľudské, technické a finančné zdroje na účinné plnenie svojich úloh a vykonávanie svojich právomocí; naliehavo vyzýva Európsku komisiu, aby prijala vhodné opatrenia, a to aj tým, že bezodkladne začne konanie o nesplnení povinnosti voči tým členským štátom, ktoré si túto povinnosť nesplnili;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13.</w:t>
      </w:r>
      <w:r w:rsidRPr="007F67CA">
        <w:tab/>
        <w:t>vyjadruje poľutovanie nad tým, že pokiaľ ide o kolektívne uplatňovanie nárokov na nápravu, väčšina členských štátov sa rozhodla neimplementovať článok 80 ods. 2 všeobecného nariadenia o ochrane údajov; vyzýva všetky členské štáty, aby využívali článok 80 ods. 2;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SPOLUPRÁCA A KONZISTENTNOSŤ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14.</w:t>
      </w:r>
      <w:r w:rsidRPr="007F67CA">
        <w:tab/>
        <w:t>zdôrazňuje, že nedostatočné presadzovanie je zjavné najmä pri cezhraničných sťažnostiach, t. j. mechanizmy spolupráce a konzistentnosti; vyzýva Európsky výbor pre ochranu údajov, aby zvýšil svoje úsilie o zabezpečenie správneho uplatňovania článkov 60 a 63 všeobecného nariadenia o ochrane údajov a aby využil postup pre naliehavé prípady uvedený v článku 66 všeobecného nariadenia o ochrane údajov;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15.</w:t>
      </w:r>
      <w:r w:rsidRPr="007F67CA">
        <w:tab/>
        <w:t>pozoruje nesúlad medzi vnútroštátnymi usmerneniami a usmerneniami Európskeho výboru pre ochranu údajov;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16.</w:t>
      </w:r>
      <w:r w:rsidRPr="007F67CA">
        <w:tab/>
        <w:t>vyzýva všetky členské štáty, aby zaviedli osobitnú podporu pre dotknuté osoby alebo organizácie, ktoré ich zastupujú, zapojené do cezhraničných sťažností; poukazuje na to, že vysoké procesné náklady spojené s výkonom práva dotknutých osôb môžu pôsobiť ako odstrašujúci prostriedok; vyzýva členské štáty, aby obmedzili takéto náklady v rámci svojich vnútroštátnych správnych procesných právnych predpisov;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FRAGMENTÁCIA VYKONÁVANIA VŠEOBECNÉHO NARIADENIA O OCHRANE ÚDAJOV</w:t>
      </w:r>
    </w:p>
    <w:p w:rsidR="002C1F91" w:rsidRPr="007F67CA" w:rsidRDefault="002C1F91" w:rsidP="002C1F91">
      <w:pPr>
        <w:pStyle w:val="NormalHanging12a"/>
        <w:ind w:hanging="566"/>
      </w:pPr>
      <w:r w:rsidRPr="007F67CA">
        <w:t>17.</w:t>
      </w:r>
      <w:r w:rsidRPr="007F67CA">
        <w:tab/>
        <w:t>konštatuje určitý stupeň fragmentácie, ktorá je spôsobená najmä rozsiahlym používaním fakultatívnych doložiek o špecifikácii; vyjadruje znepokojenie nad tým, že ochrana podľa všeobecného nariadenia o ochrane údajov je oslabovaná spôsobom, akým členské štáty vykonávajú tieto výnimky zo špecifikácií (napr. vek detí na udelenie súhlasu);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ŠPECIFICKY NAVRHNUTÁ OCHRANA ÚDAJOV</w:t>
      </w:r>
    </w:p>
    <w:p w:rsidR="002C1F91" w:rsidRPr="007F67CA" w:rsidRDefault="00E403A7" w:rsidP="002C1F91">
      <w:pPr>
        <w:pStyle w:val="NormalHanging12a"/>
        <w:ind w:hanging="566"/>
      </w:pPr>
      <w:r w:rsidRPr="007F67CA">
        <w:t>18.</w:t>
      </w:r>
      <w:r w:rsidRPr="007F67CA">
        <w:tab/>
        <w:t>vyzýva dozorné orgány, aby vyhodnotili vykonávanie článku 25 o špecificky navrhnutej a štandardnej ochrane údajov, najmä s cieľom vykonávať zásady minimalizácie údajov a obmedzenia účelu v súlade s usmerneniami Európskeho výboru pre ochranu údajov;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USMERNENIA</w:t>
      </w:r>
    </w:p>
    <w:p w:rsidR="002C1F91" w:rsidRPr="007F67CA" w:rsidRDefault="00FD65B9" w:rsidP="002C1F91">
      <w:pPr>
        <w:pStyle w:val="NormalHanging12a"/>
        <w:ind w:hanging="566"/>
      </w:pPr>
      <w:r w:rsidRPr="007F67CA">
        <w:t>19.</w:t>
      </w:r>
      <w:r w:rsidRPr="007F67CA">
        <w:tab/>
        <w:t>vyzýva Európsky výbor pre ochranu údajov, aby vypracoval normy a usmernenia, ktoré pomôžu vykonávať požiadavky na ochranu údajov v praxi, okrem iného pre posúdenia vplyvu na ochranu údajov (článok 35), informácie pre dotknuté osoby (články 12 – 14), výkon práv dotknutých osôb (články 15 – 18, 20 – 21) a záznamy o spracovateľských činnostiach (článok 30);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MEDZINÁRODNÉ TOKY OSOBNÝCH ÚDAJOV A SPOLUPRÁCA</w:t>
      </w:r>
    </w:p>
    <w:p w:rsidR="002C1F91" w:rsidRPr="007F67CA" w:rsidRDefault="00E403A7" w:rsidP="002C1F91">
      <w:pPr>
        <w:pStyle w:val="NormalHanging12a"/>
        <w:ind w:hanging="566"/>
      </w:pPr>
      <w:r w:rsidRPr="007F67CA">
        <w:t>20.</w:t>
      </w:r>
      <w:r w:rsidRPr="007F67CA">
        <w:tab/>
        <w:t>zdôrazňuje, že je dôležité umožniť voľný tok osobných údajov na medzinárodnej úrovni bez toho, aby sa znížila úroveň ochrany zaručená v rámci všeobecného nariadenia o ochrane údajov; podporuje prax Európskej komisie zaoberať sa ochranou údajov a tokmi osobných údajov oddelene od obchodných dohôd;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21.</w:t>
      </w:r>
      <w:r w:rsidRPr="007F67CA">
        <w:tab/>
        <w:t>zdôrazňuje, že rozhodnutia o primeranosti by nemali byť politickými, ale právnymi rozhodnutiami;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22.</w:t>
      </w:r>
      <w:r w:rsidRPr="007F67CA">
        <w:tab/>
        <w:t>vyzýva Európsku komisiu, aby zverejnila súbor kritérií používaných pri určovaní toho, či sa tretia krajina považuje za krajinu, ktorá poskytuje „v podstate rovnocennú“ úroveň ochrany tej, aká sa poskytuje v EÚ, najmä pokiaľ ide o prístup k prostriedkom nápravy a prístup vlády k údajom;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23.</w:t>
      </w:r>
      <w:r w:rsidRPr="007F67CA">
        <w:tab/>
        <w:t>opätovne zdôrazňuje, že programy hromadného sledovania, ktoré zahŕňajú hromadné zhromažďovanie údajov, bránia zisteniam týkajúcim sa úrovne primeranosti;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24.</w:t>
      </w:r>
      <w:r w:rsidRPr="007F67CA">
        <w:tab/>
        <w:t>vyzýva orgány pre ochranu osobných údajov, aby systematicky posudzovali, či sa pravidlá ochrany údajov v praxi uplatňujú v tretích krajinách, v súlade s judikatúrou Európskeho súdneho dvora;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25.</w:t>
      </w:r>
      <w:r w:rsidRPr="007F67CA">
        <w:tab/>
        <w:t>vyzýva Komisiu, aby bez zbytočného odkladu zverejnila svoje preskúmanie rozhodnutí o primeranosti prijatých podľa smernice z roku 1995;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BUDÚCE PRÁVNE PREDPISY ÚNIE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26.</w:t>
      </w:r>
      <w:r w:rsidRPr="007F67CA">
        <w:tab/>
        <w:t>pripomína Komisii jej povinnosť zabezpečiť, aby opatrenia, ktoré sa majú predložiť v nadchádzajúcich legislatívnych návrhoch, najmä pokiaľ ide o správu údajov, akty týkajúce sa údajov, akty o digitálnych službách, o umelej inteligencii, boli v súlade so všeobecným nariadením o ochrane údajov (EÚ) 2016/679 a so smernicou (EÚ) 2016/680;</w:t>
      </w:r>
    </w:p>
    <w:p w:rsidR="002C1F91" w:rsidRPr="007F67CA" w:rsidRDefault="002C1F91" w:rsidP="002C1F91">
      <w:pPr>
        <w:pStyle w:val="NormalHanging12a"/>
        <w:ind w:left="1" w:firstLine="0"/>
      </w:pPr>
      <w:r w:rsidRPr="007F67CA">
        <w:rPr>
          <w:b/>
          <w:i/>
        </w:rPr>
        <w:t>NARIADENIE O SÚKROMÍ A ELEKTRONICKÝCH KOMUNIKÁCIÁCH</w:t>
      </w:r>
    </w:p>
    <w:p w:rsidR="002C1F91" w:rsidRPr="007F67CA" w:rsidRDefault="002C1F91" w:rsidP="002C1F91">
      <w:pPr>
        <w:pStyle w:val="NormalHanging12a"/>
        <w:ind w:hanging="566"/>
      </w:pPr>
      <w:r w:rsidRPr="007F67CA">
        <w:t>27.</w:t>
      </w:r>
      <w:r w:rsidRPr="007F67CA">
        <w:tab/>
        <w:t>vyjadruje hlboké znepokojenie nad nedostatočným vykonávaním smernice o súkromí a elektronických komunikáciách členskými štátmi vzhľadom na zmeny zavedené všeobecným nariadením o ochrane údajov; vyzýva Komisiu, aby urýchlila svoje hodnotenie a začala postupy v prípade nesplnenia povinnosti proti tým členským štátom, ktoré riadne nevykonali smernicu o súkromí a elektronických komunikáciách;</w:t>
      </w:r>
    </w:p>
    <w:p w:rsidR="00866D70" w:rsidRPr="007F67CA" w:rsidRDefault="00FD65B9" w:rsidP="00F632FC">
      <w:pPr>
        <w:pStyle w:val="NormalHanging12a"/>
        <w:ind w:hanging="566"/>
      </w:pPr>
      <w:r w:rsidRPr="007F67CA">
        <w:t>28.</w:t>
      </w:r>
      <w:r w:rsidRPr="007F67CA">
        <w:tab/>
        <w:t>poveruje svojho predsedu, aby postúpil toto uznesenie Komisii, Európskej rade, vládam a národným parlamentom, Európskemu výboru pre ochranu údajov a európskemu dozornému úradníkovi pre ochranu údajov.</w:t>
      </w:r>
    </w:p>
    <w:sectPr w:rsidR="00866D70" w:rsidRPr="007F67CA" w:rsidSect="0048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6" w:rsidRPr="00480B37" w:rsidRDefault="00674856">
      <w:r w:rsidRPr="00480B37">
        <w:separator/>
      </w:r>
    </w:p>
  </w:endnote>
  <w:endnote w:type="continuationSeparator" w:id="0">
    <w:p w:rsidR="00674856" w:rsidRPr="00480B37" w:rsidRDefault="00674856">
      <w:r w:rsidRPr="00480B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37" w:rsidRPr="00480B37" w:rsidRDefault="00480B37" w:rsidP="00480B37">
    <w:pPr>
      <w:pStyle w:val="EPFooter"/>
    </w:pPr>
    <w:r w:rsidRPr="00480B37">
      <w:t>PE</w:t>
    </w:r>
    <w:r w:rsidRPr="00480B37">
      <w:rPr>
        <w:rStyle w:val="HideTWBExt"/>
        <w:noProof w:val="0"/>
      </w:rPr>
      <w:t>&lt;NoPE&gt;</w:t>
    </w:r>
    <w:r w:rsidRPr="00480B37">
      <w:t>660.347</w:t>
    </w:r>
    <w:r w:rsidRPr="00480B37">
      <w:rPr>
        <w:rStyle w:val="HideTWBExt"/>
        <w:noProof w:val="0"/>
      </w:rPr>
      <w:t>&lt;/NoPE&gt;&lt;Version&gt;</w:t>
    </w:r>
    <w:r w:rsidRPr="00480B37">
      <w:t>v01-00</w:t>
    </w:r>
    <w:r w:rsidRPr="00480B37">
      <w:rPr>
        <w:rStyle w:val="HideTWBExt"/>
        <w:noProof w:val="0"/>
      </w:rPr>
      <w:t>&lt;/Version&gt;</w:t>
    </w:r>
    <w:r w:rsidRPr="00480B37">
      <w:tab/>
    </w:r>
    <w:r w:rsidRPr="00480B37">
      <w:fldChar w:fldCharType="begin"/>
    </w:r>
    <w:r w:rsidRPr="00480B37">
      <w:instrText xml:space="preserve"> PAGE  \* MERGEFORMAT </w:instrText>
    </w:r>
    <w:r w:rsidRPr="00480B37">
      <w:fldChar w:fldCharType="separate"/>
    </w:r>
    <w:r w:rsidR="007F67CA">
      <w:rPr>
        <w:noProof/>
      </w:rPr>
      <w:t>2</w:t>
    </w:r>
    <w:r w:rsidRPr="00480B37">
      <w:fldChar w:fldCharType="end"/>
    </w:r>
    <w:r w:rsidRPr="00480B37">
      <w:t>/</w:t>
    </w:r>
    <w:fldSimple w:instr=" NUMPAGES  \* MERGEFORMAT ">
      <w:r w:rsidR="007F67CA">
        <w:rPr>
          <w:noProof/>
        </w:rPr>
        <w:t>6</w:t>
      </w:r>
    </w:fldSimple>
    <w:r w:rsidRPr="00480B37">
      <w:tab/>
    </w:r>
    <w:r w:rsidRPr="00480B37">
      <w:rPr>
        <w:rStyle w:val="HideTWBExt"/>
        <w:noProof w:val="0"/>
      </w:rPr>
      <w:t>&lt;PathFdR&gt;</w:t>
    </w:r>
    <w:r w:rsidRPr="00480B37">
      <w:t>RE\1218403SK.docx</w:t>
    </w:r>
    <w:r w:rsidRPr="00480B37">
      <w:rPr>
        <w:rStyle w:val="HideTWBExt"/>
        <w:noProof w:val="0"/>
      </w:rPr>
      <w:t>&lt;/PathFdR&gt;</w:t>
    </w:r>
  </w:p>
  <w:p w:rsidR="00A90219" w:rsidRPr="00480B37" w:rsidRDefault="00480B37" w:rsidP="00480B37">
    <w:pPr>
      <w:pStyle w:val="EPFooter2"/>
    </w:pPr>
    <w:r w:rsidRPr="00480B37"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37" w:rsidRPr="00480B37" w:rsidRDefault="00480B37" w:rsidP="00480B37">
    <w:pPr>
      <w:pStyle w:val="EPFooter"/>
    </w:pPr>
    <w:r w:rsidRPr="00480B37">
      <w:rPr>
        <w:rStyle w:val="HideTWBExt"/>
        <w:noProof w:val="0"/>
      </w:rPr>
      <w:t>&lt;PathFdR&gt;</w:t>
    </w:r>
    <w:r w:rsidRPr="00480B37">
      <w:t>RE\1218403SK.docx</w:t>
    </w:r>
    <w:r w:rsidRPr="00480B37">
      <w:rPr>
        <w:rStyle w:val="HideTWBExt"/>
        <w:noProof w:val="0"/>
      </w:rPr>
      <w:t>&lt;/PathFdR&gt;</w:t>
    </w:r>
    <w:r w:rsidRPr="00480B37">
      <w:tab/>
    </w:r>
    <w:r w:rsidRPr="00480B37">
      <w:fldChar w:fldCharType="begin"/>
    </w:r>
    <w:r w:rsidRPr="00480B37">
      <w:instrText xml:space="preserve"> PAGE  \* MERGEFORMAT </w:instrText>
    </w:r>
    <w:r w:rsidRPr="00480B37">
      <w:fldChar w:fldCharType="separate"/>
    </w:r>
    <w:r w:rsidR="007F67CA">
      <w:rPr>
        <w:noProof/>
      </w:rPr>
      <w:t>3</w:t>
    </w:r>
    <w:r w:rsidRPr="00480B37">
      <w:fldChar w:fldCharType="end"/>
    </w:r>
    <w:r w:rsidRPr="00480B37">
      <w:t>/</w:t>
    </w:r>
    <w:fldSimple w:instr=" NUMPAGES  \* MERGEFORMAT ">
      <w:r w:rsidR="007F67CA">
        <w:rPr>
          <w:noProof/>
        </w:rPr>
        <w:t>3</w:t>
      </w:r>
    </w:fldSimple>
    <w:r w:rsidRPr="00480B37">
      <w:tab/>
      <w:t>PE</w:t>
    </w:r>
    <w:r w:rsidRPr="00480B37">
      <w:rPr>
        <w:rStyle w:val="HideTWBExt"/>
        <w:noProof w:val="0"/>
      </w:rPr>
      <w:t>&lt;NoPE&gt;</w:t>
    </w:r>
    <w:r w:rsidRPr="00480B37">
      <w:t>660.347</w:t>
    </w:r>
    <w:r w:rsidRPr="00480B37">
      <w:rPr>
        <w:rStyle w:val="HideTWBExt"/>
        <w:noProof w:val="0"/>
      </w:rPr>
      <w:t>&lt;/NoPE&gt;&lt;Version&gt;</w:t>
    </w:r>
    <w:r w:rsidRPr="00480B37">
      <w:t>v01-00</w:t>
    </w:r>
    <w:r w:rsidRPr="00480B37">
      <w:rPr>
        <w:rStyle w:val="HideTWBExt"/>
        <w:noProof w:val="0"/>
      </w:rPr>
      <w:t>&lt;/Version&gt;</w:t>
    </w:r>
  </w:p>
  <w:p w:rsidR="00A90219" w:rsidRPr="00480B37" w:rsidRDefault="00480B37" w:rsidP="00480B37">
    <w:pPr>
      <w:pStyle w:val="EPFooter2"/>
    </w:pPr>
    <w:r w:rsidRPr="00480B37">
      <w:tab/>
    </w:r>
    <w:r w:rsidRPr="00480B37">
      <w:tab/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37" w:rsidRPr="00480B37" w:rsidRDefault="00480B37" w:rsidP="00480B37">
    <w:pPr>
      <w:pStyle w:val="EPFooter"/>
    </w:pPr>
    <w:r w:rsidRPr="00480B37">
      <w:rPr>
        <w:rStyle w:val="HideTWBExt"/>
        <w:noProof w:val="0"/>
      </w:rPr>
      <w:t>&lt;PathFdR&gt;</w:t>
    </w:r>
    <w:r w:rsidRPr="00480B37">
      <w:t>RE\1218403SK.docx</w:t>
    </w:r>
    <w:r w:rsidRPr="00480B37">
      <w:rPr>
        <w:rStyle w:val="HideTWBExt"/>
        <w:noProof w:val="0"/>
      </w:rPr>
      <w:t>&lt;/PathFdR&gt;</w:t>
    </w:r>
    <w:r w:rsidRPr="00480B37">
      <w:tab/>
    </w:r>
    <w:r w:rsidRPr="00480B37">
      <w:tab/>
      <w:t>PE</w:t>
    </w:r>
    <w:r w:rsidRPr="00480B37">
      <w:rPr>
        <w:rStyle w:val="HideTWBExt"/>
        <w:noProof w:val="0"/>
      </w:rPr>
      <w:t>&lt;NoPE&gt;</w:t>
    </w:r>
    <w:r w:rsidRPr="00480B37">
      <w:t>660.347</w:t>
    </w:r>
    <w:r w:rsidRPr="00480B37">
      <w:rPr>
        <w:rStyle w:val="HideTWBExt"/>
        <w:noProof w:val="0"/>
      </w:rPr>
      <w:t>&lt;/NoPE&gt;&lt;Version&gt;</w:t>
    </w:r>
    <w:r w:rsidRPr="00480B37">
      <w:t>v01-00</w:t>
    </w:r>
    <w:r w:rsidRPr="00480B37">
      <w:rPr>
        <w:rStyle w:val="HideTWBExt"/>
        <w:noProof w:val="0"/>
      </w:rPr>
      <w:t>&lt;/Version&gt;</w:t>
    </w:r>
  </w:p>
  <w:p w:rsidR="00A90219" w:rsidRPr="00480B37" w:rsidRDefault="00480B37" w:rsidP="00480B37">
    <w:pPr>
      <w:pStyle w:val="EPFooter2"/>
    </w:pPr>
    <w:r w:rsidRPr="00480B37">
      <w:t>SK</w:t>
    </w:r>
    <w:r w:rsidRPr="00480B37">
      <w:tab/>
    </w:r>
    <w:r w:rsidRPr="00480B37">
      <w:rPr>
        <w:b w:val="0"/>
        <w:i/>
        <w:color w:val="C0C0C0"/>
        <w:sz w:val="22"/>
      </w:rPr>
      <w:t>Zjednotení v rozmanitosti</w:t>
    </w:r>
    <w:r w:rsidRPr="00480B37">
      <w:tab/>
      <w:t>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6" w:rsidRPr="00480B37" w:rsidRDefault="00674856">
      <w:r w:rsidRPr="00480B37">
        <w:separator/>
      </w:r>
    </w:p>
  </w:footnote>
  <w:footnote w:type="continuationSeparator" w:id="0">
    <w:p w:rsidR="00674856" w:rsidRPr="00480B37" w:rsidRDefault="00674856">
      <w:r w:rsidRPr="00480B37">
        <w:continuationSeparator/>
      </w:r>
    </w:p>
  </w:footnote>
  <w:footnote w:id="1">
    <w:p w:rsidR="002C1F91" w:rsidRPr="00480B37" w:rsidRDefault="002C1F91" w:rsidP="002C1F91">
      <w:pPr>
        <w:pStyle w:val="FootnoteText"/>
      </w:pPr>
      <w:r w:rsidRPr="00480B37">
        <w:rPr>
          <w:rStyle w:val="FootnoteReference"/>
        </w:rPr>
        <w:footnoteRef/>
      </w:r>
      <w:r w:rsidRPr="00480B37">
        <w:t xml:space="preserve"> Ú. v. EÚ L 119, 4.5.2016, s. 1 – 88.</w:t>
      </w:r>
    </w:p>
  </w:footnote>
  <w:footnote w:id="2">
    <w:p w:rsidR="002C1F91" w:rsidRPr="00480B37" w:rsidRDefault="002C1F91" w:rsidP="002C1F91">
      <w:pPr>
        <w:pStyle w:val="FootnoteText"/>
      </w:pPr>
      <w:r w:rsidRPr="00480B37">
        <w:rPr>
          <w:rStyle w:val="FootnoteReference"/>
        </w:rPr>
        <w:footnoteRef/>
      </w:r>
      <w:r w:rsidRPr="00480B37">
        <w:t xml:space="preserve"> COM(2020) 264, 24.6.2020.</w:t>
      </w:r>
    </w:p>
  </w:footnote>
  <w:footnote w:id="3">
    <w:p w:rsidR="002C1F91" w:rsidRPr="00480B37" w:rsidRDefault="002C1F91" w:rsidP="002C1F91">
      <w:pPr>
        <w:pStyle w:val="FootnoteText"/>
      </w:pPr>
      <w:r w:rsidRPr="00480B37">
        <w:rPr>
          <w:rStyle w:val="FootnoteReference"/>
        </w:rPr>
        <w:footnoteRef/>
      </w:r>
      <w:r w:rsidRPr="00480B37">
        <w:t xml:space="preserve"> COM(2020) 264, 24.6.2020.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CA" w:rsidRDefault="007F6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CA" w:rsidRDefault="007F6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CA" w:rsidRDefault="007F6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137"/>
    <w:multiLevelType w:val="hybridMultilevel"/>
    <w:tmpl w:val="0D68AE64"/>
    <w:lvl w:ilvl="0" w:tplc="8970022E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2406"/>
    <w:multiLevelType w:val="hybridMultilevel"/>
    <w:tmpl w:val="2564CCA6"/>
    <w:lvl w:ilvl="0" w:tplc="DF847724">
      <w:start w:val="1"/>
      <w:numFmt w:val="decimal"/>
      <w:lvlText w:val="%1."/>
      <w:lvlJc w:val="left"/>
      <w:pPr>
        <w:ind w:left="926" w:hanging="566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18"/>
    <w:docVar w:name="TXTLANGUE" w:val="SK"/>
    <w:docVar w:name="TXTLANGUEMIN" w:val="sk"/>
    <w:docVar w:name="TXTNRPE" w:val="660.347"/>
    <w:docVar w:name="TXTNRRSP" w:val="2020/2727"/>
    <w:docVar w:name="TXTPEorAP" w:val="PE"/>
    <w:docVar w:name="TXTROUTE" w:val="RE\1218403SK.docx"/>
    <w:docVar w:name="TXTTITLE" w:val="the Commission evaluation report on the implementation of the General Data Protection Regulation two years after its application"/>
    <w:docVar w:name="TXTVERSION" w:val="01-00"/>
  </w:docVars>
  <w:rsids>
    <w:rsidRoot w:val="00674856"/>
    <w:rsid w:val="00037F46"/>
    <w:rsid w:val="00094DDA"/>
    <w:rsid w:val="0010559F"/>
    <w:rsid w:val="00117781"/>
    <w:rsid w:val="001B49A3"/>
    <w:rsid w:val="001B7CFB"/>
    <w:rsid w:val="001C16A7"/>
    <w:rsid w:val="001C62C5"/>
    <w:rsid w:val="001E2450"/>
    <w:rsid w:val="00222BBB"/>
    <w:rsid w:val="002574AA"/>
    <w:rsid w:val="002C1F91"/>
    <w:rsid w:val="002C7767"/>
    <w:rsid w:val="002D4628"/>
    <w:rsid w:val="00303413"/>
    <w:rsid w:val="00304E12"/>
    <w:rsid w:val="003772FA"/>
    <w:rsid w:val="00411D03"/>
    <w:rsid w:val="00412503"/>
    <w:rsid w:val="00471D62"/>
    <w:rsid w:val="00480B37"/>
    <w:rsid w:val="004B5166"/>
    <w:rsid w:val="00516BD3"/>
    <w:rsid w:val="0058312A"/>
    <w:rsid w:val="005D6861"/>
    <w:rsid w:val="00654CBD"/>
    <w:rsid w:val="006726A1"/>
    <w:rsid w:val="00674856"/>
    <w:rsid w:val="006A27B7"/>
    <w:rsid w:val="006F0FD2"/>
    <w:rsid w:val="006F48B8"/>
    <w:rsid w:val="00706BC0"/>
    <w:rsid w:val="00723A0B"/>
    <w:rsid w:val="00780A7D"/>
    <w:rsid w:val="007E1E11"/>
    <w:rsid w:val="007F67CA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D24DE"/>
    <w:rsid w:val="00A32337"/>
    <w:rsid w:val="00A345F8"/>
    <w:rsid w:val="00A4763A"/>
    <w:rsid w:val="00A516B8"/>
    <w:rsid w:val="00A90219"/>
    <w:rsid w:val="00AC3F0E"/>
    <w:rsid w:val="00B34A46"/>
    <w:rsid w:val="00B90331"/>
    <w:rsid w:val="00BC3002"/>
    <w:rsid w:val="00BF2C2D"/>
    <w:rsid w:val="00C23264"/>
    <w:rsid w:val="00CC09D8"/>
    <w:rsid w:val="00D12F64"/>
    <w:rsid w:val="00D44718"/>
    <w:rsid w:val="00D90D37"/>
    <w:rsid w:val="00DF7943"/>
    <w:rsid w:val="00E403A7"/>
    <w:rsid w:val="00E53167"/>
    <w:rsid w:val="00E65EE4"/>
    <w:rsid w:val="00EA43FB"/>
    <w:rsid w:val="00EC05E9"/>
    <w:rsid w:val="00ED22B8"/>
    <w:rsid w:val="00F02A2C"/>
    <w:rsid w:val="00F148F1"/>
    <w:rsid w:val="00F26DE8"/>
    <w:rsid w:val="00F4455A"/>
    <w:rsid w:val="00F632FC"/>
    <w:rsid w:val="00F7050A"/>
    <w:rsid w:val="00F9377B"/>
    <w:rsid w:val="00F959BA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B4B2-DC15-411E-949B-0680070C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C1F91"/>
    <w:pPr>
      <w:widowControl/>
      <w:jc w:val="both"/>
    </w:pPr>
    <w:rPr>
      <w:rFonts w:eastAsiaTheme="minorHAns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F91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1F91"/>
    <w:rPr>
      <w:vertAlign w:val="superscript"/>
    </w:rPr>
  </w:style>
  <w:style w:type="paragraph" w:styleId="Footer">
    <w:name w:val="footer"/>
    <w:basedOn w:val="Normal"/>
    <w:link w:val="FooterChar"/>
    <w:semiHidden/>
    <w:rsid w:val="002C1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C1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9381</Characters>
  <Application>Microsoft Office Word</Application>
  <DocSecurity>0</DocSecurity>
  <Lines>173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PETROVA Daniela</cp:lastModifiedBy>
  <cp:revision>2</cp:revision>
  <cp:lastPrinted>2004-11-19T15:55:00Z</cp:lastPrinted>
  <dcterms:created xsi:type="dcterms:W3CDTF">2020-12-01T08:40:00Z</dcterms:created>
  <dcterms:modified xsi:type="dcterms:W3CDTF">2020-12-01T08:40:00Z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1218403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RE\1218403SK.docx</vt:lpwstr>
  </property>
  <property fmtid="{D5CDD505-2E9C-101B-9397-08002B2CF9AE}" pid="10" name="PE number">
    <vt:lpwstr>660.347</vt:lpwstr>
  </property>
  <property fmtid="{D5CDD505-2E9C-101B-9397-08002B2CF9AE}" pid="11" name="SendToEpades">
    <vt:lpwstr>OK - 2020/11/20 16:40</vt:lpwstr>
  </property>
  <property fmtid="{D5CDD505-2E9C-101B-9397-08002B2CF9AE}" pid="12" name="SDLStudio">
    <vt:lpwstr/>
  </property>
  <property fmtid="{D5CDD505-2E9C-101B-9397-08002B2CF9AE}" pid="13" name="&lt;Extension&gt;">
    <vt:lpwstr>SK</vt:lpwstr>
  </property>
  <property fmtid="{D5CDD505-2E9C-101B-9397-08002B2CF9AE}" pid="14" name="Bookout">
    <vt:lpwstr>OK - 2020/12/01 09:40</vt:lpwstr>
  </property>
</Properties>
</file>