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7E64BE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8F5EFB" w:rsidRPr="007E64BE" w:rsidRDefault="00674856" w:rsidP="00C85D0F">
            <w:pPr>
              <w:pStyle w:val="EPName"/>
            </w:pPr>
            <w:bookmarkStart w:id="0" w:name="_GoBack"/>
            <w:bookmarkEnd w:id="0"/>
            <w:r w:rsidRPr="007E64BE">
              <w:t>Parlament Ewropew</w:t>
            </w:r>
          </w:p>
          <w:p w:rsidR="008F5EFB" w:rsidRPr="007E64BE" w:rsidRDefault="002C1F91" w:rsidP="002C1F91">
            <w:pPr>
              <w:pStyle w:val="EPTerm"/>
            </w:pPr>
            <w:r w:rsidRPr="007E64BE">
              <w:t>2019-2024</w:t>
            </w:r>
          </w:p>
        </w:tc>
        <w:tc>
          <w:tcPr>
            <w:tcW w:w="2268" w:type="dxa"/>
            <w:shd w:val="clear" w:color="auto" w:fill="auto"/>
          </w:tcPr>
          <w:p w:rsidR="008F5EFB" w:rsidRPr="007E64BE" w:rsidRDefault="008F5EFB" w:rsidP="00C85D0F">
            <w:pPr>
              <w:pStyle w:val="EPLogo"/>
            </w:pPr>
            <w:r w:rsidRPr="007E64BE">
              <w:drawing>
                <wp:inline distT="0" distB="0" distL="0" distR="0" wp14:anchorId="4B8BE00E" wp14:editId="501F4E6E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67" w:rsidRPr="007E64BE" w:rsidRDefault="00E53167" w:rsidP="00E53167">
      <w:pPr>
        <w:pStyle w:val="LineTop"/>
      </w:pPr>
    </w:p>
    <w:p w:rsidR="00E53167" w:rsidRPr="007E64BE" w:rsidRDefault="002C1F91" w:rsidP="00E53167">
      <w:pPr>
        <w:pStyle w:val="EPBody"/>
      </w:pPr>
      <w:r w:rsidRPr="007E64BE">
        <w:rPr>
          <w:rStyle w:val="HideTWBInt"/>
        </w:rPr>
        <w:t>{LIBE}</w:t>
      </w:r>
      <w:r w:rsidRPr="007E64BE">
        <w:t>Kumitat għal-Libertajiet Ċivili, il-Ġustizzja u l-Intern</w:t>
      </w:r>
    </w:p>
    <w:p w:rsidR="00094DDA" w:rsidRPr="007E64BE" w:rsidRDefault="00094DDA" w:rsidP="00094DDA">
      <w:pPr>
        <w:pStyle w:val="LineBottom"/>
      </w:pPr>
    </w:p>
    <w:p w:rsidR="00094DDA" w:rsidRPr="007E64BE" w:rsidRDefault="00094DDA" w:rsidP="00094DDA">
      <w:pPr>
        <w:pStyle w:val="CoverReference"/>
      </w:pPr>
      <w:r w:rsidRPr="007E64BE">
        <w:rPr>
          <w:rStyle w:val="HideTWBExt"/>
          <w:b w:val="0"/>
          <w:noProof w:val="0"/>
        </w:rPr>
        <w:t>&lt;NoDocSe&gt;</w:t>
      </w:r>
      <w:r w:rsidRPr="007E64BE">
        <w:t>2020/2717(RSP)</w:t>
      </w:r>
      <w:r w:rsidRPr="007E64BE">
        <w:rPr>
          <w:rStyle w:val="HideTWBExt"/>
          <w:b w:val="0"/>
          <w:noProof w:val="0"/>
        </w:rPr>
        <w:t>&lt;/NoDocSe&gt;</w:t>
      </w:r>
    </w:p>
    <w:p w:rsidR="00094DDA" w:rsidRPr="007E64BE" w:rsidRDefault="00094DDA" w:rsidP="00094DDA">
      <w:pPr>
        <w:pStyle w:val="CoverDate"/>
      </w:pPr>
      <w:r w:rsidRPr="007E64BE">
        <w:rPr>
          <w:rStyle w:val="HideTWBExt"/>
          <w:noProof w:val="0"/>
        </w:rPr>
        <w:t>&lt;Date&gt;</w:t>
      </w:r>
      <w:r w:rsidRPr="007E64BE">
        <w:t>...</w:t>
      </w:r>
      <w:r w:rsidRPr="007E64BE">
        <w:rPr>
          <w:rStyle w:val="HideTWBExt"/>
          <w:noProof w:val="0"/>
        </w:rPr>
        <w:t>&lt;/Date&gt;</w:t>
      </w:r>
    </w:p>
    <w:p w:rsidR="00814BC6" w:rsidRPr="007E64BE" w:rsidRDefault="00814BC6">
      <w:pPr>
        <w:pStyle w:val="CoverDocType24a"/>
      </w:pPr>
      <w:r w:rsidRPr="007E64BE">
        <w:rPr>
          <w:rStyle w:val="HideTWBExt"/>
          <w:b w:val="0"/>
          <w:noProof w:val="0"/>
        </w:rPr>
        <w:t>&lt;TitreType&gt;</w:t>
      </w:r>
      <w:r w:rsidRPr="007E64BE">
        <w:t>ABBOZZ TA' MOZZJONI GĦAL RIŻOLUZZJONI</w:t>
      </w:r>
      <w:r w:rsidRPr="007E64BE">
        <w:rPr>
          <w:rStyle w:val="HideTWBExt"/>
          <w:b w:val="0"/>
          <w:noProof w:val="0"/>
        </w:rPr>
        <w:t>&lt;/TitreType&gt;</w:t>
      </w:r>
    </w:p>
    <w:p w:rsidR="00814BC6" w:rsidRPr="007E64BE" w:rsidRDefault="00814BC6">
      <w:pPr>
        <w:pStyle w:val="CoverNormal12a"/>
      </w:pPr>
      <w:r w:rsidRPr="007E64BE">
        <w:rPr>
          <w:rStyle w:val="HideTWBExt"/>
          <w:noProof w:val="0"/>
        </w:rPr>
        <w:t>&lt;TitreSuite&gt;</w:t>
      </w:r>
      <w:r w:rsidRPr="007E64BE">
        <w:t>imressqa wara d-dikjarazzjoni tal-Kummissjoni</w:t>
      </w:r>
      <w:r w:rsidRPr="007E64BE">
        <w:rPr>
          <w:rStyle w:val="HideTWBExt"/>
          <w:noProof w:val="0"/>
        </w:rPr>
        <w:t>&lt;/TitreSuite&gt;</w:t>
      </w:r>
    </w:p>
    <w:p w:rsidR="00814BC6" w:rsidRPr="007E64BE" w:rsidRDefault="00814BC6">
      <w:pPr>
        <w:pStyle w:val="CoverNormal12a"/>
      </w:pPr>
      <w:r w:rsidRPr="007E64BE">
        <w:rPr>
          <w:rStyle w:val="HideTWBExt"/>
          <w:noProof w:val="0"/>
        </w:rPr>
        <w:t>&lt;TitreRecueil&gt;</w:t>
      </w:r>
      <w:r w:rsidRPr="007E64BE">
        <w:t>skont l-Artikolu 132(2) tar-Regoli ta' Proċedura</w:t>
      </w:r>
      <w:r w:rsidRPr="007E64BE">
        <w:rPr>
          <w:rStyle w:val="HideTWBExt"/>
          <w:noProof w:val="0"/>
        </w:rPr>
        <w:t>&lt;/TitreRecueil&gt;</w:t>
      </w:r>
    </w:p>
    <w:p w:rsidR="00C23264" w:rsidRPr="007E64BE" w:rsidRDefault="00C23264" w:rsidP="00C23264">
      <w:pPr>
        <w:pStyle w:val="CoverNormal"/>
      </w:pPr>
      <w:r w:rsidRPr="007E64BE">
        <w:rPr>
          <w:rStyle w:val="HideTWBExt"/>
          <w:noProof w:val="0"/>
        </w:rPr>
        <w:t>&lt;Titre&gt;</w:t>
      </w:r>
      <w:r w:rsidRPr="007E64BE">
        <w:t>dwar ir-rapport ta' evalwazzjoni tal-Kummissjoni dwar l-implimentazzjoni tar-Regolament Ġenerali dwar il-Protezzjoni tad-Data sentejn wara l-applikazzjoni tiegħu</w:t>
      </w:r>
      <w:r w:rsidRPr="007E64BE">
        <w:rPr>
          <w:rStyle w:val="HideTWBExt"/>
          <w:noProof w:val="0"/>
        </w:rPr>
        <w:t>&lt;/Titre&gt;</w:t>
      </w:r>
    </w:p>
    <w:p w:rsidR="00C23264" w:rsidRPr="007E64BE" w:rsidRDefault="00C23264" w:rsidP="00C23264">
      <w:pPr>
        <w:pStyle w:val="CoverNormal24a"/>
      </w:pPr>
      <w:r w:rsidRPr="007E64BE">
        <w:rPr>
          <w:rStyle w:val="HideTWBExt"/>
          <w:noProof w:val="0"/>
        </w:rPr>
        <w:t>&lt;DocRef&gt;</w:t>
      </w:r>
      <w:r w:rsidRPr="007E64BE">
        <w:t>(2020/2717(RSP))</w:t>
      </w:r>
      <w:r w:rsidRPr="007E64BE">
        <w:rPr>
          <w:rStyle w:val="HideTWBExt"/>
          <w:noProof w:val="0"/>
        </w:rPr>
        <w:t>&lt;/DocRef&gt;</w:t>
      </w:r>
    </w:p>
    <w:p w:rsidR="002574AA" w:rsidRPr="007E64BE" w:rsidRDefault="002574AA" w:rsidP="002574AA">
      <w:pPr>
        <w:pStyle w:val="CoverBold"/>
      </w:pPr>
      <w:r w:rsidRPr="007E64BE">
        <w:rPr>
          <w:rStyle w:val="HideTWBExt"/>
          <w:b w:val="0"/>
          <w:noProof w:val="0"/>
        </w:rPr>
        <w:t>&lt;RepeatBlock-By&gt;&lt;Depute&gt;</w:t>
      </w:r>
      <w:r w:rsidRPr="007E64BE">
        <w:t>Juan Fernando López Aguilar</w:t>
      </w:r>
      <w:r w:rsidRPr="007E64BE">
        <w:rPr>
          <w:rStyle w:val="HideTWBExt"/>
          <w:b w:val="0"/>
          <w:noProof w:val="0"/>
          <w:color w:val="auto"/>
        </w:rPr>
        <w:t>&lt;/Depute&gt;</w:t>
      </w:r>
    </w:p>
    <w:p w:rsidR="002574AA" w:rsidRPr="007E64BE" w:rsidRDefault="002574AA" w:rsidP="002574AA">
      <w:pPr>
        <w:pStyle w:val="CoverNormal"/>
      </w:pPr>
      <w:r w:rsidRPr="007E64BE">
        <w:rPr>
          <w:rStyle w:val="HideTWBExt"/>
          <w:noProof w:val="0"/>
        </w:rPr>
        <w:t>&lt;Commission&gt;</w:t>
      </w:r>
      <w:r w:rsidRPr="007E64BE">
        <w:rPr>
          <w:rStyle w:val="HideTWBInt"/>
        </w:rPr>
        <w:t>{LIBE}</w:t>
      </w:r>
      <w:r w:rsidRPr="007E64BE">
        <w:t>f'isem il-Kumitat għal-Libertajiet Ċivili, il-Ġustizzja u l-Intern</w:t>
      </w:r>
      <w:r w:rsidRPr="007E64BE">
        <w:rPr>
          <w:rStyle w:val="HideTWBExt"/>
          <w:noProof w:val="0"/>
        </w:rPr>
        <w:t>&lt;/Commission&gt;</w:t>
      </w:r>
    </w:p>
    <w:p w:rsidR="002574AA" w:rsidRPr="007E64BE" w:rsidRDefault="002574AA" w:rsidP="002574AA">
      <w:pPr>
        <w:pStyle w:val="CoverNormal"/>
      </w:pPr>
      <w:r w:rsidRPr="007E64BE">
        <w:rPr>
          <w:rStyle w:val="HideTWBExt"/>
          <w:noProof w:val="0"/>
        </w:rPr>
        <w:t>&lt;/RepeatBlock-By&gt;</w:t>
      </w:r>
    </w:p>
    <w:p w:rsidR="00814BC6" w:rsidRPr="007E64BE" w:rsidRDefault="00814BC6">
      <w:pPr>
        <w:pStyle w:val="NormalBold12a"/>
      </w:pPr>
      <w:r w:rsidRPr="007E64BE">
        <w:br w:type="page"/>
      </w:r>
      <w:r w:rsidRPr="007E64BE">
        <w:lastRenderedPageBreak/>
        <w:t>B9</w:t>
      </w:r>
      <w:r w:rsidRPr="007E64BE">
        <w:noBreakHyphen/>
        <w:t>0000/2020</w:t>
      </w:r>
    </w:p>
    <w:p w:rsidR="00C23264" w:rsidRPr="007E64BE" w:rsidRDefault="00674856" w:rsidP="00C23264">
      <w:pPr>
        <w:pStyle w:val="NormalBold"/>
      </w:pPr>
      <w:r w:rsidRPr="007E64BE">
        <w:t>Riżoluzzjoni tal-Parlament Ewropew dwar ir-rapport ta' evalwazzjoni tal-Kummissjoni dwar l-implimentazzjoni tar-Regolament Ġenerali dwar il-Protezzjoni tad-Data sentejn wara l-applikazzjoni tiegħu</w:t>
      </w:r>
    </w:p>
    <w:p w:rsidR="00C23264" w:rsidRPr="007E64BE" w:rsidRDefault="00674856" w:rsidP="00DF7943">
      <w:pPr>
        <w:pStyle w:val="NormalBold"/>
      </w:pPr>
      <w:r w:rsidRPr="007E64BE">
        <w:t>(2020/2717(RSP))</w:t>
      </w:r>
    </w:p>
    <w:p w:rsidR="00814BC6" w:rsidRPr="007E64BE" w:rsidRDefault="00674856">
      <w:pPr>
        <w:pStyle w:val="EPComma"/>
      </w:pPr>
      <w:r w:rsidRPr="007E64BE">
        <w:rPr>
          <w:i/>
        </w:rPr>
        <w:t>Il-Parlament Ewropew</w:t>
      </w:r>
      <w:r w:rsidRPr="007E64BE">
        <w:t>,</w:t>
      </w:r>
    </w:p>
    <w:p w:rsidR="002C1F91" w:rsidRPr="007E64BE" w:rsidRDefault="00814BC6" w:rsidP="00FD65B9">
      <w:pPr>
        <w:widowControl/>
        <w:ind w:left="567" w:hanging="567"/>
        <w:rPr>
          <w:szCs w:val="24"/>
        </w:rPr>
      </w:pPr>
      <w:r w:rsidRPr="007E64BE">
        <w:t>–</w:t>
      </w:r>
      <w:r w:rsidRPr="007E64BE">
        <w:tab/>
        <w:t>wara li kkunsidra r-Regolament (UE) 2016/679 tal-Parlament Ewropew u tal-Kunsill tal-24 ta' April 2016 dwar il-protezzjoni tal-persuni fiżiċi fir-rigward tal-ipproċessar ta' data personali u dwar il-moviment liberu ta' tali data, u li jħassar id-Direttiva 95/46/KE (Regolament Ġenerali dwar il-Protezzjoni tad-Data) (GDPR)</w:t>
      </w:r>
      <w:r w:rsidR="002C1F91" w:rsidRPr="007E64BE">
        <w:rPr>
          <w:rStyle w:val="FootnoteReference"/>
        </w:rPr>
        <w:footnoteReference w:id="1"/>
      </w:r>
      <w:r w:rsidRPr="007E64BE">
        <w:t xml:space="preserve">; </w:t>
      </w:r>
    </w:p>
    <w:p w:rsidR="002C1F91" w:rsidRPr="007E64BE" w:rsidRDefault="00CC09D8" w:rsidP="00FD65B9">
      <w:pPr>
        <w:widowControl/>
        <w:spacing w:before="240"/>
        <w:ind w:left="567" w:hanging="567"/>
        <w:rPr>
          <w:szCs w:val="24"/>
        </w:rPr>
      </w:pPr>
      <w:r w:rsidRPr="007E64BE">
        <w:t>–</w:t>
      </w:r>
      <w:r w:rsidRPr="007E64BE">
        <w:tab/>
        <w:t>wara li kkunsidra d-dikjarazzjoni mill-Kummissjoni tal-24 ta' Ġunju 2020 dwar il-Komunikazzjoni tal-Kummissjoni lill-Parlament Ewropew u lill-Kunsill dwar il-protezzjoni tad-data bħala pilastru tal-għoti tas-setgħa liċ-ċittadini u tal-approċċ tal-UE għat-tranżizzjoni diġitali - sentejn ta' applikazzjoni tar-Regolament Ġenerali dwar il-Protezzjoni tad-Data</w:t>
      </w:r>
      <w:r w:rsidR="002C1F91" w:rsidRPr="007E64BE">
        <w:rPr>
          <w:rStyle w:val="FootnoteReference"/>
        </w:rPr>
        <w:footnoteReference w:id="2"/>
      </w:r>
      <w:r w:rsidRPr="007E64BE">
        <w:t xml:space="preserve">; </w:t>
      </w:r>
    </w:p>
    <w:p w:rsidR="002C1F91" w:rsidRPr="007E64BE" w:rsidRDefault="002C1F91" w:rsidP="00FD65B9">
      <w:pPr>
        <w:widowControl/>
        <w:spacing w:before="240"/>
        <w:ind w:left="567" w:hanging="567"/>
        <w:rPr>
          <w:szCs w:val="24"/>
        </w:rPr>
      </w:pPr>
      <w:r w:rsidRPr="007E64BE">
        <w:t>–</w:t>
      </w:r>
      <w:r w:rsidRPr="007E64BE">
        <w:tab/>
        <w:t>wara li kkunsidra l-Komunikazzjoni tal-Kummissjoni tal-24 ta' Ġunju 2020 lill-Parlament Ewropew u lill-Kunsill dwar il-protezzjoni tad-data bħala pilastru tal-għoti tas-setgħa liċ-ċittadini u tal-approċċ tal-UE għat-tranżizzjoni diġitali - sentejn ta' applikazzjoni tar-Regolament Ġenerali dwar il-Protezzjoni tad-Data</w:t>
      </w:r>
      <w:r w:rsidRPr="007E64BE">
        <w:rPr>
          <w:rStyle w:val="FootnoteReference"/>
        </w:rPr>
        <w:footnoteReference w:id="3"/>
      </w:r>
      <w:r w:rsidRPr="007E64BE">
        <w:t xml:space="preserve">; </w:t>
      </w:r>
    </w:p>
    <w:p w:rsidR="00ED22B8" w:rsidRPr="007E64BE" w:rsidRDefault="00ED22B8" w:rsidP="00FD65B9">
      <w:pPr>
        <w:pStyle w:val="NormalHanging12a"/>
        <w:spacing w:before="240"/>
      </w:pPr>
      <w:r w:rsidRPr="007E64BE">
        <w:t>–</w:t>
      </w:r>
      <w:r w:rsidRPr="007E64BE">
        <w:tab/>
        <w:t>wara li kkunsidra l-Artikolu 132(2) tar-Regoli ta' Proċedura tiegħu,</w:t>
      </w:r>
    </w:p>
    <w:p w:rsidR="00780A7D" w:rsidRPr="007E64BE" w:rsidRDefault="00780A7D" w:rsidP="00FD65B9">
      <w:pPr>
        <w:pStyle w:val="NormalHanging12a"/>
      </w:pPr>
      <w:r w:rsidRPr="007E64BE">
        <w:t>–</w:t>
      </w:r>
      <w:r w:rsidRPr="007E64BE">
        <w:tab/>
        <w:t>wara li kkunsidra l-mozzjoni għal riżoluzzjoni tal-Kumitat għal-Libertajiet Ċivili, il-Ġustizzja u l-Intern,</w:t>
      </w:r>
    </w:p>
    <w:p w:rsidR="00814BC6" w:rsidRPr="007E64BE" w:rsidRDefault="002C1F91" w:rsidP="002C1F91">
      <w:pPr>
        <w:pStyle w:val="NormalHanging12a"/>
        <w:ind w:hanging="566"/>
      </w:pPr>
      <w:r w:rsidRPr="007E64BE">
        <w:t>A.</w:t>
      </w:r>
      <w:r w:rsidRPr="007E64BE">
        <w:tab/>
        <w:t>billi l-GDPR ilu applikabbli mill-25 ta' Mejju 2018; billi, bl-eċċezzjoni tas-Slovenja, l-Istati Membri kollha adottaw leġiżlazzjoni ġdida jew adattaw il-liġi nazzjonali tagħhom dwar il-protezzjoni tad-data;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B.</w:t>
      </w:r>
      <w:r w:rsidRPr="007E64BE">
        <w:tab/>
        <w:t>billi, mill-bidu tal-applikazzjoni tal-GDPR, l-awtoritajiet superviżorji rċevew żieda massiva fl-ilmenti; billi dan juri li s-suġġetti tad-data huma aktar konxji mid-drittijiet tagħhom u jridu jipproteġu d-data personali tagħhom skont il-GDPR; billi dan juri wkoll li għadhom iseħħu ammonti kbar ta' operazzjonijiet illegali tal-ipproċessar tad-data;</w:t>
      </w:r>
    </w:p>
    <w:p w:rsidR="002C1F91" w:rsidRPr="007E64BE" w:rsidRDefault="002C1F91" w:rsidP="002C1F91">
      <w:pPr>
        <w:pStyle w:val="NormalHanging12a"/>
        <w:ind w:left="1" w:firstLine="0"/>
        <w:rPr>
          <w:b/>
          <w:i/>
        </w:rPr>
      </w:pPr>
      <w:r w:rsidRPr="007E64BE">
        <w:rPr>
          <w:b/>
          <w:i/>
        </w:rPr>
        <w:t>OSSERVAZZJONIJIET ĠENERALI</w:t>
      </w:r>
    </w:p>
    <w:p w:rsidR="002C1F91" w:rsidRPr="007E64BE" w:rsidRDefault="002C1F91" w:rsidP="002C1F91">
      <w:pPr>
        <w:pStyle w:val="NormalHanging12a"/>
        <w:ind w:hanging="566"/>
      </w:pPr>
      <w:r w:rsidRPr="007E64BE">
        <w:t>1.</w:t>
      </w:r>
      <w:r w:rsidRPr="007E64BE">
        <w:tab/>
        <w:t xml:space="preserve">Jilqa l-fatt li l-GDPR sar standard globali għall-protezzjoni tad-data personali u huwa fattur ta' konverġenza fl-iżvilupp tan-normi; jilqa' l-fatt li l-GDPR poġġa lill-UE fuq quddiem nett tad-diskussjonijiet internazzjonali dwar il-protezzjoni tad-data u numru ta' </w:t>
      </w:r>
      <w:r w:rsidRPr="007E64BE">
        <w:lastRenderedPageBreak/>
        <w:t>pajjiżi terzi allinjaw il-liġijiet tagħhom dwar il-protezzjoni tad-data mal-GDPR;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2.</w:t>
      </w:r>
      <w:r w:rsidRPr="007E64BE">
        <w:tab/>
        <w:t>Jikkonkludi li, sentejn wara d-dħul fis-seħħ tiegħu, il-GDPR kien suċċess ġenerali u jaqbel mal-Kummissjoni Ewropea li f'dan l-istadju mhuwiex meħtieġ li tiġi aġġornata jew riveduta l-leġiżlazzjoni;</w:t>
      </w:r>
    </w:p>
    <w:p w:rsidR="002C1F91" w:rsidRPr="007E64BE" w:rsidRDefault="002C1F91" w:rsidP="002C1F91">
      <w:pPr>
        <w:pStyle w:val="NormalHanging12a"/>
        <w:ind w:hanging="566"/>
      </w:pPr>
      <w:r w:rsidRPr="007E64BE">
        <w:tab/>
        <w:t>Jirrikonoxxi li l-enfasi fis-snin li ġejjin trid tibqa' fuq it-titjib tal-implimentazzjoni u l-azzjonijiet biex jissaħħaħ il-GDPR;</w:t>
      </w:r>
    </w:p>
    <w:p w:rsidR="002C1F91" w:rsidRPr="007E64BE" w:rsidRDefault="00FD65B9" w:rsidP="002C1F91">
      <w:pPr>
        <w:pStyle w:val="NormalHanging12a"/>
        <w:ind w:hanging="566"/>
      </w:pPr>
      <w:r w:rsidRPr="007E64BE">
        <w:t>4.</w:t>
      </w:r>
      <w:r w:rsidRPr="007E64BE">
        <w:tab/>
        <w:t>Jirrikonoxxi l-ħtieġa ta' infurzar b'saħħtu u effettiv tal-GDPR fil-konfront ta' pjattaformi diġitali kbar u kumpaniji integrati, inklużi oqsma bħar-reklamar online u l-mira fuq livell mikro;</w:t>
      </w:r>
    </w:p>
    <w:p w:rsidR="002C1F91" w:rsidRPr="007E64BE" w:rsidRDefault="002C1F91" w:rsidP="002C1F91">
      <w:pPr>
        <w:spacing w:after="240"/>
        <w:rPr>
          <w:rFonts w:eastAsia="DejaVu Sans"/>
          <w:kern w:val="2"/>
        </w:rPr>
      </w:pPr>
      <w:r w:rsidRPr="007E64BE">
        <w:rPr>
          <w:b/>
          <w:i/>
        </w:rPr>
        <w:t>BAŻI LEGALI GĦALL-IPPROĊESSAR</w:t>
      </w:r>
    </w:p>
    <w:p w:rsidR="002C1F91" w:rsidRPr="007E64BE" w:rsidRDefault="00FD65B9" w:rsidP="002C1F91">
      <w:pPr>
        <w:pStyle w:val="NormalHanging12a"/>
        <w:ind w:hanging="566"/>
      </w:pPr>
      <w:r w:rsidRPr="007E64BE">
        <w:t>5.</w:t>
      </w:r>
      <w:r w:rsidRPr="007E64BE">
        <w:tab/>
        <w:t>Ifakkar li mill-bidu tal-applikazzjoni tal-GDPR, "kunsens" tfisser kwalunkwe indikazzjoni mogħtija liberament, speċifika, infurmata u mhux ambigwa tax-xewqat tas-suġġett tad-data, u jissottolinja li dan japplika wkoll għad-Direttiva dwar il-Privatezza Elettronika; jinnota li l-implimentazzjoni tal-kunsens validu tibqa' kompromessa bl-użu ta' interfaċċi qarrieqa ("dark patterns"), traċċar għal skopijiet kummerċjali u prattiki mhux etiċi oħra; jinsab imħasseb li l-individwi ta' spiss jitqiegħdu taħt pressjoni ekonomika biex jagħtu l-kunsens tagħhom għal skontijiet jew offerti kummerċjali oħra, jew huma sfurzati jagħtu l-kunsens billi jikkundizzjonaw l-aċċess għal servizz permezz ta' dispożizzjonijiet vinkolanti, bi ksur tal-Artikolu 7 tal-GDPR;</w:t>
      </w:r>
    </w:p>
    <w:p w:rsidR="002C1F91" w:rsidRPr="007E64BE" w:rsidRDefault="002C1F91" w:rsidP="002C1F91">
      <w:pPr>
        <w:spacing w:after="240"/>
        <w:rPr>
          <w:rFonts w:eastAsia="DejaVu Sans"/>
          <w:b/>
          <w:i/>
          <w:kern w:val="2"/>
        </w:rPr>
      </w:pPr>
      <w:r w:rsidRPr="007E64BE">
        <w:rPr>
          <w:b/>
          <w:i/>
        </w:rPr>
        <w:t>ID-DRITTIJIET TAS-SUĠĠETTI TAD-DATA</w:t>
      </w:r>
    </w:p>
    <w:p w:rsidR="002C1F91" w:rsidRPr="007E64BE" w:rsidRDefault="00FD65B9" w:rsidP="002C1F91">
      <w:pPr>
        <w:pStyle w:val="NormalHanging12a"/>
        <w:ind w:hanging="566"/>
      </w:pPr>
      <w:r w:rsidRPr="007E64BE">
        <w:t>6.</w:t>
      </w:r>
      <w:r w:rsidRPr="007E64BE">
        <w:tab/>
        <w:t>Jisħaq li hemm bżonn li jiġi ffaċilitat l-eżerċizzju tad-drittijiet individwali pprovdut mill-GDPR, bħall-portabbiltà tad-data jew id-drittijiet fil-kuntest tal-ipproċessar awtomatizzat, inkluż it-tfassil tal-profili; jistieden lill-EDPB joħroġ aktar gwida dwar it-teħid awtomatizzat tad-deċiżjonijiet;</w:t>
      </w:r>
    </w:p>
    <w:p w:rsidR="002C1F91" w:rsidRPr="007E64BE" w:rsidRDefault="002C1F91" w:rsidP="002C1F91">
      <w:pPr>
        <w:pStyle w:val="NormalHanging12a"/>
        <w:ind w:left="1" w:firstLine="0"/>
      </w:pPr>
      <w:r w:rsidRPr="007E64BE">
        <w:rPr>
          <w:b/>
          <w:i/>
        </w:rPr>
        <w:t>NEGOZJI U ORGANIZZAZZJONIJIET ŻGĦAR</w:t>
      </w:r>
    </w:p>
    <w:p w:rsidR="002C1F91" w:rsidRPr="007E64BE" w:rsidRDefault="00FD65B9" w:rsidP="002C1F91">
      <w:pPr>
        <w:pStyle w:val="NormalHanging12a"/>
        <w:ind w:hanging="566"/>
      </w:pPr>
      <w:r w:rsidRPr="007E64BE">
        <w:t>7.</w:t>
      </w:r>
      <w:r w:rsidRPr="007E64BE">
        <w:tab/>
        <w:t>Josserva li xi partijiet ikkonċernati jirrappurtaw li l-applikazzjoni tal-GDPR hija ta' sfida speċjalment għall-intrapriżi żgħar u ta' daqs medju (SMEs);</w:t>
      </w:r>
    </w:p>
    <w:p w:rsidR="002C1F91" w:rsidRPr="007E64BE" w:rsidRDefault="00FD65B9" w:rsidP="002C1F91">
      <w:pPr>
        <w:pStyle w:val="NormalHanging12a"/>
        <w:ind w:hanging="566"/>
      </w:pPr>
      <w:r w:rsidRPr="007E64BE">
        <w:t>8.</w:t>
      </w:r>
      <w:r w:rsidRPr="007E64BE">
        <w:tab/>
        <w:t>Jinnota li m'għandux ikun hemm deroga għall-SMEs; jistieden lill-EDPB jipprovdi għodod prattiċi biex jiffaċilita l-implimentazzjoni tal-GDPR mill-SMEs b'attivitajiet ta' pproċessar b'riskju baxx;</w:t>
      </w:r>
    </w:p>
    <w:p w:rsidR="002C1F91" w:rsidRPr="007E64BE" w:rsidRDefault="002C1F91" w:rsidP="002C1F91">
      <w:pPr>
        <w:pStyle w:val="NormalHanging12a"/>
        <w:spacing w:before="240"/>
        <w:ind w:left="1" w:firstLine="0"/>
      </w:pPr>
      <w:r w:rsidRPr="007E64BE">
        <w:rPr>
          <w:b/>
          <w:i/>
        </w:rPr>
        <w:t>INFURZAR</w:t>
      </w:r>
    </w:p>
    <w:p w:rsidR="002C1F91" w:rsidRPr="007E64BE" w:rsidRDefault="00FD65B9" w:rsidP="002C1F91">
      <w:pPr>
        <w:pStyle w:val="NormalHanging12a"/>
        <w:ind w:hanging="566"/>
      </w:pPr>
      <w:r w:rsidRPr="007E64BE">
        <w:t>9.</w:t>
      </w:r>
      <w:r w:rsidRPr="007E64BE">
        <w:tab/>
        <w:t>Jinsab imħasseb dwar il-livell mhux uniformi tal-infurzar tal-GDPR mill-awtoritajiet nazzjonali għall-protezzjoni tad-data (DPAs);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10.</w:t>
      </w:r>
      <w:r w:rsidRPr="007E64BE">
        <w:tab/>
        <w:t>Jinnota li mill-bidu tal-applikazzjoni tal-GDPR, għalkemm inħarġu xi multi sinifikanti għal każijiet ta' ksur serju, il-possibbiltajiet tal-GDPR f'dan ir-rigward s'issa ma ntużawx b'mod sħiħ b'diskrepanzi fis-severità tas-sanzjonijiet applikati fl-Istati Membri kollha;</w:t>
      </w:r>
    </w:p>
    <w:p w:rsidR="002C1F91" w:rsidRPr="007E64BE" w:rsidRDefault="002C1F91" w:rsidP="002C1F91">
      <w:pPr>
        <w:pStyle w:val="NormalHanging12a"/>
        <w:ind w:hanging="566"/>
      </w:pPr>
      <w:r w:rsidRPr="007E64BE">
        <w:lastRenderedPageBreak/>
        <w:t>11.</w:t>
      </w:r>
      <w:r w:rsidRPr="007E64BE">
        <w:tab/>
        <w:t>Jinsab imħasseb dwar it-tul tal-investigazzjoni tal-każijiet minn xi DPAs u l-effett negattiv tagħhom fuq l-infurzar effettiv u fuq il-fiduċja taċ-ċittadini; iħeġġeġ lid-DPAs iħaffu r-riżoluzzjoni tal-każijiet u jużaw il-mekkaniżmi kollha disponibbli għalihom skont il-GDPR, inkluż li jirrikorru għal limitazzjonijiet temporanji jew definittivi jew għal projbizzjoni fuq l-ipproċessar;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12.</w:t>
      </w:r>
      <w:r w:rsidRPr="007E64BE">
        <w:tab/>
        <w:t>Jiddeplora li d-DPAs ta' 21 Stat Membru ddikjaraw b'mod espliċitu li ma għandhomx biżżejjed riżorsi umani, tekniċi u finanzjarji biex iwettqu b'mod effettiv il-kompiti tagħhom u jeżerċitaw is-setgħa tagħhom; iħeġġeġ lill-Kummissjoni Ewropea tieħu miżuri xierqa, inkluż billi tibda proċeduri ta' ksur mingħajr dewmien kontra dawk l-Istati Membri li naqsu milli jissodisfaw dan l-obbligu;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13.</w:t>
      </w:r>
      <w:r w:rsidRPr="007E64BE">
        <w:tab/>
        <w:t>Jesprimi dispjaċir li, fir-rigward tar-rimedju kollettiv, il-maġġoranza tal-Istati Membri ddeċidew li ma jimplimentawx l-Artikolu 80(2) tal-GDPR; jistieden lill-Istati Membri kollha jagħmlu użu mill-Artikolu 80(2);</w:t>
      </w:r>
    </w:p>
    <w:p w:rsidR="002C1F91" w:rsidRPr="007E64BE" w:rsidRDefault="002C1F91" w:rsidP="002C1F91">
      <w:pPr>
        <w:pStyle w:val="NormalHanging12a"/>
        <w:ind w:left="1" w:firstLine="0"/>
      </w:pPr>
      <w:r w:rsidRPr="007E64BE">
        <w:rPr>
          <w:b/>
          <w:i/>
        </w:rPr>
        <w:t>KOOPERAZZJONI U KONSISTENZA</w:t>
      </w:r>
    </w:p>
    <w:p w:rsidR="002C1F91" w:rsidRPr="007E64BE" w:rsidRDefault="002C1F91" w:rsidP="002C1F91">
      <w:pPr>
        <w:pStyle w:val="NormalHanging12a"/>
        <w:ind w:hanging="566"/>
      </w:pPr>
      <w:r w:rsidRPr="007E64BE">
        <w:t>14.</w:t>
      </w:r>
      <w:r w:rsidRPr="007E64BE">
        <w:tab/>
        <w:t>Jinnota li l-infurzar dgħajjef huwa partikolarment evidenti fl-ilmenti transfruntiera, jiġifieri l-mekkaniżmi ta' kooperazzjoni u konsistenza; jistieden lill-EDPB iżid l-isforzi tiegħu sabiex jiżgura l-applikazzjoni korretta tal-Artikoli 60 u 63 tal-GDPR u jagħmel użu mill-proċedura ta' urġenza tal-Artikolu 66 tal-GDPR;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15.</w:t>
      </w:r>
      <w:r w:rsidRPr="007E64BE">
        <w:tab/>
        <w:t>Josserva inkonsistenzi bejn il-gwida nazzjonali u l-linji gwida tal-EDPB;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16.</w:t>
      </w:r>
      <w:r w:rsidRPr="007E64BE">
        <w:tab/>
        <w:t>Jistieden lill-Istati Membri kollha jistabbilixxu appoġġ speċifiku għas-suġġetti tad-data, jew għall-organizzazzjonijiet li jirrappreżentawhom, involuti fl-ilmenti transfruntiera; jirrimarka li l-ispiża għolja ta' proċedura assoċjata mal-eżerċizzju tad-dritt tas-suġġetti tad-data tista' taġixxi bħala deterrent; jistieden lill-Istati Membri jillimitaw dawn l-ispejjeż skont il-liġijiet proċedurali amministrattivi nazzjonali tagħhom;</w:t>
      </w:r>
    </w:p>
    <w:p w:rsidR="002C1F91" w:rsidRPr="007E64BE" w:rsidRDefault="002C1F91" w:rsidP="002C1F91">
      <w:pPr>
        <w:pStyle w:val="NormalHanging12a"/>
        <w:ind w:left="1" w:firstLine="0"/>
      </w:pPr>
      <w:r w:rsidRPr="007E64BE">
        <w:rPr>
          <w:b/>
          <w:i/>
        </w:rPr>
        <w:t>FRAMMENTAZZJONI TAL-IMPLIMENTAZZJONI TAL-GDPR</w:t>
      </w:r>
    </w:p>
    <w:p w:rsidR="002C1F91" w:rsidRPr="007E64BE" w:rsidRDefault="002C1F91" w:rsidP="002C1F91">
      <w:pPr>
        <w:pStyle w:val="NormalHanging12a"/>
        <w:ind w:hanging="566"/>
      </w:pPr>
      <w:r w:rsidRPr="007E64BE">
        <w:t>17.</w:t>
      </w:r>
      <w:r w:rsidRPr="007E64BE">
        <w:tab/>
        <w:t>Josserva livell ta' frammentazzjoni, li b'mod partikolari huwa dovut għall-użu estensiv ta' klawżoli ta' speċifikazzjoni fakultattivi; jesprimi tħassib li l-protezzjonijiet tal-GDPR qed jiddgħajfu bil-mod kif l-Istati Membri implimentaw dawn id-derogi skont l-ispeċifikazzjonijiet (eż. l-età ta' kunsens tat-tfal);</w:t>
      </w:r>
    </w:p>
    <w:p w:rsidR="002C1F91" w:rsidRPr="007E64BE" w:rsidRDefault="002C1F91" w:rsidP="002C1F91">
      <w:pPr>
        <w:pStyle w:val="NormalHanging12a"/>
        <w:ind w:left="1" w:firstLine="0"/>
      </w:pPr>
      <w:r w:rsidRPr="007E64BE">
        <w:rPr>
          <w:b/>
          <w:i/>
        </w:rPr>
        <w:t>PROTEZZJONI TAD-DATA MID-DISINN</w:t>
      </w:r>
    </w:p>
    <w:p w:rsidR="002C1F91" w:rsidRPr="007E64BE" w:rsidRDefault="00E403A7" w:rsidP="002C1F91">
      <w:pPr>
        <w:pStyle w:val="NormalHanging12a"/>
        <w:ind w:hanging="566"/>
      </w:pPr>
      <w:r w:rsidRPr="007E64BE">
        <w:t>18.</w:t>
      </w:r>
      <w:r w:rsidRPr="007E64BE">
        <w:tab/>
        <w:t>Jistieden lill-awtoritajiet superviżorji jevalwaw l-implimentazzjoni tal-Artikolu 25 dwar il-protezzjoni tad-data mid-disinn u b'mod awtomatiku, b'mod partikolari bil-għan li jiġu implimentati l-prinċipji ta' minimizzazzjoni tad-data u limitazzjoni tal-iskop, f'konformità mal-linji gwida tal-EDPB;</w:t>
      </w:r>
    </w:p>
    <w:p w:rsidR="002C1F91" w:rsidRPr="007E64BE" w:rsidRDefault="002C1F91" w:rsidP="002C1F91">
      <w:pPr>
        <w:pStyle w:val="NormalHanging12a"/>
        <w:ind w:left="1" w:firstLine="0"/>
      </w:pPr>
      <w:r w:rsidRPr="007E64BE">
        <w:rPr>
          <w:b/>
          <w:i/>
        </w:rPr>
        <w:t>LINJI GWIDA</w:t>
      </w:r>
    </w:p>
    <w:p w:rsidR="002C1F91" w:rsidRPr="007E64BE" w:rsidRDefault="00FD65B9" w:rsidP="002C1F91">
      <w:pPr>
        <w:pStyle w:val="NormalHanging12a"/>
        <w:ind w:hanging="566"/>
      </w:pPr>
      <w:r w:rsidRPr="007E64BE">
        <w:t>19.</w:t>
      </w:r>
      <w:r w:rsidRPr="007E64BE">
        <w:tab/>
        <w:t>Jistieden lill-EDPB jiżviluppa standards u linji gwida li jgħinu biex ir-rekwiżiti tal-protezzjoni tad-data jiġu implimentati fil-prattika, fost l-oħrajn</w:t>
      </w:r>
      <w:r w:rsidRPr="007E64BE">
        <w:rPr>
          <w:i/>
        </w:rPr>
        <w:t xml:space="preserve"> </w:t>
      </w:r>
      <w:r w:rsidRPr="007E64BE">
        <w:t>għal valutazzjonijiet tal-</w:t>
      </w:r>
      <w:r w:rsidRPr="007E64BE">
        <w:lastRenderedPageBreak/>
        <w:t>impatt dwar il-protezzjoni tad-data (l-Artikolu 35), informazzjoni lis-suġġetti tad-data (l-Artikoli 12-14), l-eżerċizzju tad-drittijiet tas-suġġetti tad-data (l-Artikoli 15-18, 20-21), u rekords tal-attivitajiet ta' pproċessar (l-Artikolu 30);</w:t>
      </w:r>
    </w:p>
    <w:p w:rsidR="002C1F91" w:rsidRPr="007E64BE" w:rsidRDefault="002C1F91" w:rsidP="002C1F91">
      <w:pPr>
        <w:pStyle w:val="NormalHanging12a"/>
        <w:ind w:left="1" w:firstLine="0"/>
      </w:pPr>
      <w:r w:rsidRPr="007E64BE">
        <w:rPr>
          <w:b/>
          <w:i/>
        </w:rPr>
        <w:t>IL-FLUSSI TA' DATA PERSONALI U L-KOOPERAZZJONI INTERNAZZJONALI</w:t>
      </w:r>
    </w:p>
    <w:p w:rsidR="002C1F91" w:rsidRPr="007E64BE" w:rsidRDefault="00E403A7" w:rsidP="002C1F91">
      <w:pPr>
        <w:pStyle w:val="NormalHanging12a"/>
        <w:ind w:hanging="566"/>
      </w:pPr>
      <w:r w:rsidRPr="007E64BE">
        <w:t>20.</w:t>
      </w:r>
      <w:r w:rsidRPr="007E64BE">
        <w:tab/>
        <w:t>Jisħaq fuq l-importanza li jkunu permessi flussi liberi ta' data personali fil-livell internazzjonali mingħajr ma jitbaxxa l-livell ta' protezzjoni garantit skont il-GPDR; jappoġġja l-prattika tal-Kummissjoni Ewropea li tindirizza l-protezzjoni tad-data u l-flussi ta' data personali b'mod separat mill-ftehimiet kummerċjali;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21.</w:t>
      </w:r>
      <w:r w:rsidRPr="007E64BE">
        <w:tab/>
        <w:t>Jisħaq li d-deċiżjonijiet ta' adegwatezza ma għandhomx ikunu deċiżjonijiet politiċi iżda legali;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22.</w:t>
      </w:r>
      <w:r w:rsidRPr="007E64BE">
        <w:tab/>
        <w:t>Jistieden lill-Kummissjoni Ewropea tippubblika s-sett ta' kriterji użati biex jiġi ddeterminat jekk pajjiż terz huwiex meqjus li jipprovdi livell ta' protezzjoni "essenzjalment ekwivalenti" għal dak mogħti fl-UE speċjalment fir-rigward ta' aċċess għal rimedji, u aċċess tal-gvern għad-data;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23.</w:t>
      </w:r>
      <w:r w:rsidRPr="007E64BE">
        <w:tab/>
        <w:t>Itenni li l-programmi ta' sorveljanza tal-massa li jinkludu l-ġbir ta' data fuq skala kbira jipprevjenu s-sejbiet ta' adegwatezza;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24.</w:t>
      </w:r>
      <w:r w:rsidRPr="007E64BE">
        <w:tab/>
        <w:t>Jistieden lid-DPAs jivvalutaw b'mod sistematiku jekk ir-regoli tal-protezzjoni tad-data humiex applikati fil-prattika f'pajjiżi terzi, f'konformità mal-każistika tal-Qorti Ewropea tal-Ġustizzja;</w:t>
      </w:r>
    </w:p>
    <w:p w:rsidR="002C1F91" w:rsidRPr="007E64BE" w:rsidRDefault="002C1F91" w:rsidP="002C1F91">
      <w:pPr>
        <w:pStyle w:val="NormalHanging12a"/>
        <w:ind w:hanging="566"/>
      </w:pPr>
      <w:r w:rsidRPr="007E64BE">
        <w:t>25.</w:t>
      </w:r>
      <w:r w:rsidRPr="007E64BE">
        <w:tab/>
        <w:t>Iħeġġeġ lill-Kummissjoni tippubblika r-reviżjoni tagħha tad-deċiżjonijiet ta' adegwatezza adottati skont id-Direttiva tal-1995 mingħajr dewmien żejjed;</w:t>
      </w:r>
    </w:p>
    <w:p w:rsidR="002C1F91" w:rsidRPr="007E64BE" w:rsidRDefault="002C1F91" w:rsidP="002C1F91">
      <w:pPr>
        <w:pStyle w:val="NormalHanging12a"/>
        <w:ind w:left="1" w:firstLine="0"/>
      </w:pPr>
      <w:r w:rsidRPr="007E64BE">
        <w:rPr>
          <w:b/>
          <w:i/>
        </w:rPr>
        <w:t>IL-LEĠIŻLAZZJONI FUTURA TAL-UNJONI</w:t>
      </w:r>
    </w:p>
    <w:p w:rsidR="002C1F91" w:rsidRPr="007E64BE" w:rsidRDefault="002C1F91" w:rsidP="002C1F91">
      <w:pPr>
        <w:pStyle w:val="NormalHanging12a"/>
        <w:ind w:hanging="566"/>
      </w:pPr>
      <w:r w:rsidRPr="007E64BE">
        <w:t>26.</w:t>
      </w:r>
      <w:r w:rsidRPr="007E64BE">
        <w:tab/>
        <w:t>Ifakkar lill-Kummissjoni dwar l-obbligu tagħha li tiżgura li l-miżuri li għandhom jiġu ppreżentati fil-proposti leġiżlattivi li ġejjin, b'mod partikolari dwar il-governanza tad-data, l-att dwar id-data, l-att dwar is-servizzi diġitali, l-intelliġenza artifiċjali, iridu jkunu konformi mal-GDPR (UE) 2016/679 u d-Direttiva (UE) 2016/680;</w:t>
      </w:r>
    </w:p>
    <w:p w:rsidR="002C1F91" w:rsidRPr="007E64BE" w:rsidRDefault="002C1F91" w:rsidP="002C1F91">
      <w:pPr>
        <w:pStyle w:val="NormalHanging12a"/>
        <w:ind w:left="1" w:firstLine="0"/>
      </w:pPr>
      <w:r w:rsidRPr="007E64BE">
        <w:rPr>
          <w:b/>
          <w:i/>
        </w:rPr>
        <w:t>REGOLAMENT DWAR IL-PRIVATEZZA ELETTRONIKA</w:t>
      </w:r>
    </w:p>
    <w:p w:rsidR="002C1F91" w:rsidRPr="007E64BE" w:rsidRDefault="002C1F91" w:rsidP="002C1F91">
      <w:pPr>
        <w:pStyle w:val="NormalHanging12a"/>
        <w:ind w:hanging="566"/>
      </w:pPr>
      <w:r w:rsidRPr="007E64BE">
        <w:t>27.</w:t>
      </w:r>
      <w:r w:rsidRPr="007E64BE">
        <w:tab/>
        <w:t>Jesprimi t-tħassib serju tiegħu dwar in-nuqqas ta' implimentazzjoni tad-Direttiva dwar il-Privatezza Elettronika mill-Istati Membri fid-dawl tal-bidliet introdotti mill-GDPR; jistieden lill-Kummissjoni tħaffef il-valutazzjoni tagħha u tibda proċeduri ta' ksur kontra dawk l-Istati Membri li naqsu milli jimplimentaw b'mod xieraq id-Direttiva dwar il-Privatezza Elettronika;</w:t>
      </w:r>
    </w:p>
    <w:p w:rsidR="00866D70" w:rsidRPr="007E64BE" w:rsidRDefault="00FD65B9" w:rsidP="00F632FC">
      <w:pPr>
        <w:pStyle w:val="NormalHanging12a"/>
        <w:ind w:hanging="566"/>
      </w:pPr>
      <w:r w:rsidRPr="007E64BE">
        <w:t>28.</w:t>
      </w:r>
      <w:r w:rsidRPr="007E64BE">
        <w:tab/>
        <w:t>Jagħti istruzzjonijiet lill-President tiegħu biex jgħaddi din ir-riżoluzzjoni lill-Kummissjoni, lill-Kunsill Ewropew, lill-gvernijiet u lill-parlamenti nazzjonali, lill-Bord Ewropew għall-Protezzjoni tad-Data u lill-Kontrollur Ewropew għall-Protezzjoni tad-Data.</w:t>
      </w:r>
    </w:p>
    <w:sectPr w:rsidR="00866D70" w:rsidRPr="007E64BE" w:rsidSect="00BD2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56" w:rsidRPr="00BD2319" w:rsidRDefault="00674856">
      <w:r w:rsidRPr="00BD2319">
        <w:separator/>
      </w:r>
    </w:p>
  </w:endnote>
  <w:endnote w:type="continuationSeparator" w:id="0">
    <w:p w:rsidR="00674856" w:rsidRPr="00BD2319" w:rsidRDefault="00674856">
      <w:r w:rsidRPr="00BD23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319" w:rsidRPr="00BD2319" w:rsidRDefault="00BD2319" w:rsidP="00BD2319">
    <w:pPr>
      <w:pStyle w:val="EPFooter"/>
    </w:pPr>
    <w:r w:rsidRPr="00BD2319">
      <w:t>PE</w:t>
    </w:r>
    <w:r w:rsidRPr="00BD2319">
      <w:rPr>
        <w:rStyle w:val="HideTWBExt"/>
        <w:noProof w:val="0"/>
      </w:rPr>
      <w:t>&lt;NoPE&gt;</w:t>
    </w:r>
    <w:r w:rsidRPr="00BD2319">
      <w:t>660.347</w:t>
    </w:r>
    <w:r w:rsidRPr="00BD2319">
      <w:rPr>
        <w:rStyle w:val="HideTWBExt"/>
        <w:noProof w:val="0"/>
      </w:rPr>
      <w:t>&lt;/NoPE&gt;&lt;Version&gt;</w:t>
    </w:r>
    <w:r w:rsidRPr="00BD2319">
      <w:t>v01-00</w:t>
    </w:r>
    <w:r w:rsidRPr="00BD2319">
      <w:rPr>
        <w:rStyle w:val="HideTWBExt"/>
        <w:noProof w:val="0"/>
      </w:rPr>
      <w:t>&lt;/Version&gt;</w:t>
    </w:r>
    <w:r w:rsidRPr="00BD2319">
      <w:tab/>
    </w:r>
    <w:r w:rsidRPr="00BD2319">
      <w:fldChar w:fldCharType="begin"/>
    </w:r>
    <w:r w:rsidRPr="00BD2319">
      <w:instrText xml:space="preserve"> PAGE  \* MERGEFORMAT </w:instrText>
    </w:r>
    <w:r w:rsidRPr="00BD2319">
      <w:fldChar w:fldCharType="separate"/>
    </w:r>
    <w:r w:rsidR="00913CF2">
      <w:rPr>
        <w:noProof/>
      </w:rPr>
      <w:t>4</w:t>
    </w:r>
    <w:r w:rsidRPr="00BD2319">
      <w:fldChar w:fldCharType="end"/>
    </w:r>
    <w:r w:rsidRPr="00BD2319">
      <w:t>/</w:t>
    </w:r>
    <w:fldSimple w:instr=" NUMPAGES  \* MERGEFORMAT ">
      <w:r w:rsidR="00913CF2">
        <w:rPr>
          <w:noProof/>
        </w:rPr>
        <w:t>5</w:t>
      </w:r>
    </w:fldSimple>
    <w:r w:rsidRPr="00BD2319">
      <w:tab/>
    </w:r>
    <w:r w:rsidRPr="00BD2319">
      <w:rPr>
        <w:rStyle w:val="HideTWBExt"/>
        <w:noProof w:val="0"/>
      </w:rPr>
      <w:t>&lt;PathFdR&gt;</w:t>
    </w:r>
    <w:r w:rsidRPr="00BD2319">
      <w:t>RE\1218403MT.docx</w:t>
    </w:r>
    <w:r w:rsidRPr="00BD2319">
      <w:rPr>
        <w:rStyle w:val="HideTWBExt"/>
        <w:noProof w:val="0"/>
      </w:rPr>
      <w:t>&lt;/PathFdR&gt;</w:t>
    </w:r>
  </w:p>
  <w:p w:rsidR="00A90219" w:rsidRPr="00BD2319" w:rsidRDefault="00BD2319" w:rsidP="00BD2319">
    <w:pPr>
      <w:pStyle w:val="EPFooter2"/>
    </w:pPr>
    <w:r w:rsidRPr="00BD2319">
      <w:t>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319" w:rsidRPr="00BD2319" w:rsidRDefault="00BD2319" w:rsidP="00BD2319">
    <w:pPr>
      <w:pStyle w:val="EPFooter"/>
    </w:pPr>
    <w:r w:rsidRPr="00BD2319">
      <w:rPr>
        <w:rStyle w:val="HideTWBExt"/>
        <w:noProof w:val="0"/>
      </w:rPr>
      <w:t>&lt;PathFdR&gt;</w:t>
    </w:r>
    <w:r w:rsidRPr="00BD2319">
      <w:t>RE\1218403MT.docx</w:t>
    </w:r>
    <w:r w:rsidRPr="00BD2319">
      <w:rPr>
        <w:rStyle w:val="HideTWBExt"/>
        <w:noProof w:val="0"/>
      </w:rPr>
      <w:t>&lt;/PathFdR&gt;</w:t>
    </w:r>
    <w:r w:rsidRPr="00BD2319">
      <w:tab/>
    </w:r>
    <w:r w:rsidRPr="00BD2319">
      <w:fldChar w:fldCharType="begin"/>
    </w:r>
    <w:r w:rsidRPr="00BD2319">
      <w:instrText xml:space="preserve"> PAGE  \* MERGEFORMAT </w:instrText>
    </w:r>
    <w:r w:rsidRPr="00BD2319">
      <w:fldChar w:fldCharType="separate"/>
    </w:r>
    <w:r w:rsidR="00913CF2">
      <w:rPr>
        <w:noProof/>
      </w:rPr>
      <w:t>3</w:t>
    </w:r>
    <w:r w:rsidRPr="00BD2319">
      <w:fldChar w:fldCharType="end"/>
    </w:r>
    <w:r w:rsidRPr="00BD2319">
      <w:t>/</w:t>
    </w:r>
    <w:fldSimple w:instr=" NUMPAGES  \* MERGEFORMAT ">
      <w:r w:rsidR="00913CF2">
        <w:rPr>
          <w:noProof/>
        </w:rPr>
        <w:t>5</w:t>
      </w:r>
    </w:fldSimple>
    <w:r w:rsidRPr="00BD2319">
      <w:tab/>
      <w:t>PE</w:t>
    </w:r>
    <w:r w:rsidRPr="00BD2319">
      <w:rPr>
        <w:rStyle w:val="HideTWBExt"/>
        <w:noProof w:val="0"/>
      </w:rPr>
      <w:t>&lt;NoPE&gt;</w:t>
    </w:r>
    <w:r w:rsidRPr="00BD2319">
      <w:t>660.347</w:t>
    </w:r>
    <w:r w:rsidRPr="00BD2319">
      <w:rPr>
        <w:rStyle w:val="HideTWBExt"/>
        <w:noProof w:val="0"/>
      </w:rPr>
      <w:t>&lt;/NoPE&gt;&lt;Version&gt;</w:t>
    </w:r>
    <w:r w:rsidRPr="00BD2319">
      <w:t>v01-00</w:t>
    </w:r>
    <w:r w:rsidRPr="00BD2319">
      <w:rPr>
        <w:rStyle w:val="HideTWBExt"/>
        <w:noProof w:val="0"/>
      </w:rPr>
      <w:t>&lt;/Version&gt;</w:t>
    </w:r>
  </w:p>
  <w:p w:rsidR="00A90219" w:rsidRPr="00BD2319" w:rsidRDefault="00BD2319" w:rsidP="00BD2319">
    <w:pPr>
      <w:pStyle w:val="EPFooter2"/>
    </w:pPr>
    <w:r w:rsidRPr="00BD2319">
      <w:tab/>
    </w:r>
    <w:r w:rsidRPr="00BD2319">
      <w:tab/>
      <w:t>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319" w:rsidRPr="00BD2319" w:rsidRDefault="00BD2319" w:rsidP="00BD2319">
    <w:pPr>
      <w:pStyle w:val="EPFooter"/>
    </w:pPr>
    <w:r w:rsidRPr="00BD2319">
      <w:rPr>
        <w:rStyle w:val="HideTWBExt"/>
        <w:noProof w:val="0"/>
      </w:rPr>
      <w:t>&lt;PathFdR&gt;</w:t>
    </w:r>
    <w:r w:rsidRPr="00BD2319">
      <w:t>RE\1218403MT.docx</w:t>
    </w:r>
    <w:r w:rsidRPr="00BD2319">
      <w:rPr>
        <w:rStyle w:val="HideTWBExt"/>
        <w:noProof w:val="0"/>
      </w:rPr>
      <w:t>&lt;/PathFdR&gt;</w:t>
    </w:r>
    <w:r w:rsidRPr="00BD2319">
      <w:tab/>
    </w:r>
    <w:r w:rsidRPr="00BD2319">
      <w:tab/>
      <w:t>PE</w:t>
    </w:r>
    <w:r w:rsidRPr="00BD2319">
      <w:rPr>
        <w:rStyle w:val="HideTWBExt"/>
        <w:noProof w:val="0"/>
      </w:rPr>
      <w:t>&lt;NoPE&gt;</w:t>
    </w:r>
    <w:r w:rsidRPr="00BD2319">
      <w:t>660.347</w:t>
    </w:r>
    <w:r w:rsidRPr="00BD2319">
      <w:rPr>
        <w:rStyle w:val="HideTWBExt"/>
        <w:noProof w:val="0"/>
      </w:rPr>
      <w:t>&lt;/NoPE&gt;&lt;Version&gt;</w:t>
    </w:r>
    <w:r w:rsidRPr="00BD2319">
      <w:t>v01-00</w:t>
    </w:r>
    <w:r w:rsidRPr="00BD2319">
      <w:rPr>
        <w:rStyle w:val="HideTWBExt"/>
        <w:noProof w:val="0"/>
      </w:rPr>
      <w:t>&lt;/Version&gt;</w:t>
    </w:r>
  </w:p>
  <w:p w:rsidR="00A90219" w:rsidRPr="00BD2319" w:rsidRDefault="00BD2319" w:rsidP="00BD2319">
    <w:pPr>
      <w:pStyle w:val="EPFooter2"/>
    </w:pPr>
    <w:r w:rsidRPr="00BD2319">
      <w:t>MT</w:t>
    </w:r>
    <w:r w:rsidRPr="00BD2319">
      <w:tab/>
    </w:r>
    <w:r w:rsidRPr="00BD2319">
      <w:rPr>
        <w:b w:val="0"/>
        <w:i/>
        <w:color w:val="C0C0C0"/>
        <w:sz w:val="22"/>
      </w:rPr>
      <w:t>Magħquda fid-diversità</w:t>
    </w:r>
    <w:r w:rsidRPr="00BD2319">
      <w:tab/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56" w:rsidRPr="00BD2319" w:rsidRDefault="00674856">
      <w:r w:rsidRPr="00BD2319">
        <w:separator/>
      </w:r>
    </w:p>
  </w:footnote>
  <w:footnote w:type="continuationSeparator" w:id="0">
    <w:p w:rsidR="00674856" w:rsidRPr="00BD2319" w:rsidRDefault="00674856">
      <w:r w:rsidRPr="00BD2319">
        <w:continuationSeparator/>
      </w:r>
    </w:p>
  </w:footnote>
  <w:footnote w:id="1">
    <w:p w:rsidR="002C1F91" w:rsidRPr="00BD2319" w:rsidRDefault="002C1F91" w:rsidP="002C1F91">
      <w:pPr>
        <w:pStyle w:val="FootnoteText"/>
      </w:pPr>
      <w:r w:rsidRPr="00BD2319">
        <w:rPr>
          <w:rStyle w:val="FootnoteReference"/>
        </w:rPr>
        <w:footnoteRef/>
      </w:r>
      <w:r w:rsidRPr="00BD2319">
        <w:t xml:space="preserve"> ĠU L 119, 4.5.2016, p. 1-88</w:t>
      </w:r>
    </w:p>
  </w:footnote>
  <w:footnote w:id="2">
    <w:p w:rsidR="002C1F91" w:rsidRPr="00BD2319" w:rsidRDefault="002C1F91" w:rsidP="002C1F91">
      <w:pPr>
        <w:pStyle w:val="FootnoteText"/>
      </w:pPr>
      <w:r w:rsidRPr="00BD2319">
        <w:rPr>
          <w:rStyle w:val="FootnoteReference"/>
        </w:rPr>
        <w:footnoteRef/>
      </w:r>
      <w:r w:rsidRPr="00BD2319">
        <w:t xml:space="preserve"> COM (2020)264, 24.6.2020</w:t>
      </w:r>
    </w:p>
  </w:footnote>
  <w:footnote w:id="3">
    <w:p w:rsidR="002C1F91" w:rsidRPr="00BD2319" w:rsidRDefault="002C1F91" w:rsidP="002C1F91">
      <w:pPr>
        <w:pStyle w:val="FootnoteText"/>
      </w:pPr>
      <w:r w:rsidRPr="00BD2319">
        <w:rPr>
          <w:rStyle w:val="FootnoteReference"/>
        </w:rPr>
        <w:footnoteRef/>
      </w:r>
      <w:r w:rsidRPr="00BD2319">
        <w:t xml:space="preserve"> COM (2020)264, 24.6.2020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BE" w:rsidRDefault="007E6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BE" w:rsidRDefault="007E6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BE" w:rsidRDefault="007E6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C6137"/>
    <w:multiLevelType w:val="hybridMultilevel"/>
    <w:tmpl w:val="0D68AE64"/>
    <w:lvl w:ilvl="0" w:tplc="8970022E">
      <w:start w:val="1"/>
      <w:numFmt w:val="upperLetter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2406"/>
    <w:multiLevelType w:val="hybridMultilevel"/>
    <w:tmpl w:val="2564CCA6"/>
    <w:lvl w:ilvl="0" w:tplc="DF847724">
      <w:start w:val="1"/>
      <w:numFmt w:val="decimal"/>
      <w:lvlText w:val="%1."/>
      <w:lvlJc w:val="left"/>
      <w:pPr>
        <w:ind w:left="926" w:hanging="566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18"/>
    <w:docVar w:name="TXTLANGUE" w:val="EN"/>
    <w:docVar w:name="TXTLANGUEMIN" w:val="en"/>
    <w:docVar w:name="TXTNRPE" w:val="660.347"/>
    <w:docVar w:name="TXTNRRSP" w:val="2020/2727"/>
    <w:docVar w:name="TXTPEorAP" w:val="PE"/>
    <w:docVar w:name="TXTROUTE" w:val="RE\1218403EN.docx"/>
    <w:docVar w:name="TXTTITLE" w:val="the Commission evaluation report on the implementation of the General Data Protection Regulation two years after its application"/>
    <w:docVar w:name="TXTVERSION" w:val="01-00"/>
  </w:docVars>
  <w:rsids>
    <w:rsidRoot w:val="00674856"/>
    <w:rsid w:val="00037F46"/>
    <w:rsid w:val="00094DDA"/>
    <w:rsid w:val="0010559F"/>
    <w:rsid w:val="00117781"/>
    <w:rsid w:val="001B49A3"/>
    <w:rsid w:val="001B7CFB"/>
    <w:rsid w:val="001C16A7"/>
    <w:rsid w:val="001C62C5"/>
    <w:rsid w:val="001E2450"/>
    <w:rsid w:val="00222BBB"/>
    <w:rsid w:val="002574AA"/>
    <w:rsid w:val="002C1F91"/>
    <w:rsid w:val="002C7767"/>
    <w:rsid w:val="00303413"/>
    <w:rsid w:val="00304E12"/>
    <w:rsid w:val="003772FA"/>
    <w:rsid w:val="00411D03"/>
    <w:rsid w:val="00412503"/>
    <w:rsid w:val="00471D62"/>
    <w:rsid w:val="004B5166"/>
    <w:rsid w:val="00516BD3"/>
    <w:rsid w:val="00543D90"/>
    <w:rsid w:val="0058312A"/>
    <w:rsid w:val="005D6861"/>
    <w:rsid w:val="00654CBD"/>
    <w:rsid w:val="006726A1"/>
    <w:rsid w:val="00674856"/>
    <w:rsid w:val="006A27B7"/>
    <w:rsid w:val="006F0FD2"/>
    <w:rsid w:val="006F48B8"/>
    <w:rsid w:val="00706BC0"/>
    <w:rsid w:val="00723A0B"/>
    <w:rsid w:val="00780A7D"/>
    <w:rsid w:val="007E1E11"/>
    <w:rsid w:val="007E64BE"/>
    <w:rsid w:val="00814BC6"/>
    <w:rsid w:val="008278C0"/>
    <w:rsid w:val="00866D70"/>
    <w:rsid w:val="008A4052"/>
    <w:rsid w:val="008D7B31"/>
    <w:rsid w:val="008F5EFB"/>
    <w:rsid w:val="00907285"/>
    <w:rsid w:val="00910F7E"/>
    <w:rsid w:val="00913CF2"/>
    <w:rsid w:val="00981ED6"/>
    <w:rsid w:val="009D24DE"/>
    <w:rsid w:val="00A32337"/>
    <w:rsid w:val="00A345F8"/>
    <w:rsid w:val="00A4763A"/>
    <w:rsid w:val="00A516B8"/>
    <w:rsid w:val="00A90219"/>
    <w:rsid w:val="00AC3F0E"/>
    <w:rsid w:val="00B34A46"/>
    <w:rsid w:val="00B90331"/>
    <w:rsid w:val="00BC3002"/>
    <w:rsid w:val="00BD2319"/>
    <w:rsid w:val="00BF2C2D"/>
    <w:rsid w:val="00C23264"/>
    <w:rsid w:val="00CC09D8"/>
    <w:rsid w:val="00D12F64"/>
    <w:rsid w:val="00D44718"/>
    <w:rsid w:val="00D90D37"/>
    <w:rsid w:val="00DF7943"/>
    <w:rsid w:val="00E403A7"/>
    <w:rsid w:val="00E53167"/>
    <w:rsid w:val="00E65EE4"/>
    <w:rsid w:val="00EA43FB"/>
    <w:rsid w:val="00EC05E9"/>
    <w:rsid w:val="00ED22B8"/>
    <w:rsid w:val="00F02A2C"/>
    <w:rsid w:val="00F148F1"/>
    <w:rsid w:val="00F26DE8"/>
    <w:rsid w:val="00F4455A"/>
    <w:rsid w:val="00F632FC"/>
    <w:rsid w:val="00F7050A"/>
    <w:rsid w:val="00F9377B"/>
    <w:rsid w:val="00F959BA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5B4B2-DC15-411E-949B-0680070C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t-M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semiHidden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basedOn w:val="DefaultParagraphFont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C1F91"/>
    <w:pPr>
      <w:widowControl/>
      <w:jc w:val="both"/>
    </w:pPr>
    <w:rPr>
      <w:rFonts w:eastAsiaTheme="minorHAns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F91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C1F91"/>
    <w:rPr>
      <w:vertAlign w:val="superscript"/>
    </w:rPr>
  </w:style>
  <w:style w:type="paragraph" w:styleId="Footer">
    <w:name w:val="footer"/>
    <w:basedOn w:val="Normal"/>
    <w:link w:val="FooterChar"/>
    <w:semiHidden/>
    <w:rsid w:val="002C1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2C1F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9715</Characters>
  <Application>Microsoft Office Word</Application>
  <DocSecurity>0</DocSecurity>
  <Lines>167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CUADRAT SEIX Iban</dc:creator>
  <cp:keywords/>
  <dc:description/>
  <cp:lastModifiedBy>CAMILLERI Etleva</cp:lastModifiedBy>
  <cp:revision>2</cp:revision>
  <cp:lastPrinted>2004-11-19T15:55:00Z</cp:lastPrinted>
  <dcterms:created xsi:type="dcterms:W3CDTF">2020-12-01T08:37:00Z</dcterms:created>
  <dcterms:modified xsi:type="dcterms:W3CDTF">2020-12-01T08:37:00Z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1218403</vt:lpwstr>
  </property>
  <property fmtid="{D5CDD505-2E9C-101B-9397-08002B2CF9AE}" pid="5" name="&lt;Type&gt;">
    <vt:lpwstr>RE</vt:lpwstr>
  </property>
  <property fmtid="{D5CDD505-2E9C-101B-9397-08002B2CF9AE}" pid="6" name="&lt;ModelCod&gt;">
    <vt:lpwstr>\\eiciBRUpr1\pdocep$\DocEP\DOCS\General\RE\RE_Statements.dotx(17/04/2020 18:29:07)</vt:lpwstr>
  </property>
  <property fmtid="{D5CDD505-2E9C-101B-9397-08002B2CF9AE}" pid="7" name="&lt;ModelTra&gt;">
    <vt:lpwstr>\\eiciBRUpr1\pdocep$\DocEP\TRANSFIL\EN\RE_Statements.EN(25/06/2019 11:01:00)</vt:lpwstr>
  </property>
  <property fmtid="{D5CDD505-2E9C-101B-9397-08002B2CF9AE}" pid="8" name="&lt;Model&gt;">
    <vt:lpwstr>RE_Statements</vt:lpwstr>
  </property>
  <property fmtid="{D5CDD505-2E9C-101B-9397-08002B2CF9AE}" pid="9" name="FooterPath">
    <vt:lpwstr>RE\1218403MT.docx</vt:lpwstr>
  </property>
  <property fmtid="{D5CDD505-2E9C-101B-9397-08002B2CF9AE}" pid="10" name="PE number">
    <vt:lpwstr>660.347</vt:lpwstr>
  </property>
  <property fmtid="{D5CDD505-2E9C-101B-9397-08002B2CF9AE}" pid="11" name="SendToEpades">
    <vt:lpwstr>OK - 2020/11/20 16:40</vt:lpwstr>
  </property>
  <property fmtid="{D5CDD505-2E9C-101B-9397-08002B2CF9AE}" pid="12" name="SDLStudio">
    <vt:lpwstr/>
  </property>
  <property fmtid="{D5CDD505-2E9C-101B-9397-08002B2CF9AE}" pid="13" name="&lt;Extension&gt;">
    <vt:lpwstr>MT</vt:lpwstr>
  </property>
  <property fmtid="{D5CDD505-2E9C-101B-9397-08002B2CF9AE}" pid="14" name="Bookout">
    <vt:lpwstr>OK - 2020/12/01 09:35</vt:lpwstr>
  </property>
</Properties>
</file>