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268"/>
      </w:tblGrid>
      <w:tr w:rsidR="008F5EFB" w:rsidRPr="00BA2FA8" w:rsidTr="00C85D0F">
        <w:trPr>
          <w:trHeight w:hRule="exact" w:val="1418"/>
        </w:trPr>
        <w:tc>
          <w:tcPr>
            <w:tcW w:w="6804" w:type="dxa"/>
            <w:shd w:val="clear" w:color="auto" w:fill="auto"/>
            <w:vAlign w:val="center"/>
          </w:tcPr>
          <w:p w:rsidR="008F5EFB" w:rsidRPr="00BA2FA8" w:rsidRDefault="00747A7E" w:rsidP="00C85D0F">
            <w:pPr>
              <w:pStyle w:val="EPName"/>
            </w:pPr>
            <w:r w:rsidRPr="00BA2FA8">
              <w:t>Parlamento europeo</w:t>
            </w:r>
          </w:p>
          <w:p w:rsidR="008F5EFB" w:rsidRPr="00BA2FA8" w:rsidRDefault="00D523C5" w:rsidP="00D523C5">
            <w:pPr>
              <w:pStyle w:val="EPTerm"/>
            </w:pPr>
            <w:r w:rsidRPr="00BA2FA8">
              <w:t>2019-2024</w:t>
            </w:r>
          </w:p>
        </w:tc>
        <w:tc>
          <w:tcPr>
            <w:tcW w:w="2268" w:type="dxa"/>
            <w:shd w:val="clear" w:color="auto" w:fill="auto"/>
          </w:tcPr>
          <w:p w:rsidR="008F5EFB" w:rsidRPr="00BA2FA8" w:rsidRDefault="008F5EFB" w:rsidP="00C85D0F">
            <w:pPr>
              <w:pStyle w:val="EPLogo"/>
            </w:pPr>
            <w:r w:rsidRPr="00BA2FA8">
              <w:rPr>
                <w:lang w:val="en-GB"/>
              </w:rPr>
              <w:drawing>
                <wp:inline distT="0" distB="0" distL="0" distR="0" wp14:anchorId="4B8BE00E" wp14:editId="501F4E6E">
                  <wp:extent cx="1158875" cy="652145"/>
                  <wp:effectExtent l="0" t="0" r="0" b="0"/>
                  <wp:docPr id="1" name="Picture 1" descr="EP logo RGB_M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logo RGB_M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167" w:rsidRPr="00BA2FA8" w:rsidRDefault="00E53167" w:rsidP="00E53167">
      <w:pPr>
        <w:pStyle w:val="LineTop"/>
      </w:pPr>
    </w:p>
    <w:p w:rsidR="00E53167" w:rsidRPr="00BA2FA8" w:rsidRDefault="00D523C5" w:rsidP="00E53167">
      <w:pPr>
        <w:pStyle w:val="EPBody"/>
      </w:pPr>
      <w:r w:rsidRPr="00BA2FA8">
        <w:rPr>
          <w:rStyle w:val="HideTWBInt"/>
        </w:rPr>
        <w:t>{LIBE}</w:t>
      </w:r>
      <w:r w:rsidRPr="00BA2FA8">
        <w:t>Commissione per le libertà civili, la giustizia e gli affari interni</w:t>
      </w:r>
    </w:p>
    <w:p w:rsidR="00094DDA" w:rsidRPr="00BA2FA8" w:rsidRDefault="00094DDA" w:rsidP="00094DDA">
      <w:pPr>
        <w:pStyle w:val="LineBottom"/>
      </w:pPr>
    </w:p>
    <w:p w:rsidR="00094DDA" w:rsidRPr="00BA2FA8" w:rsidRDefault="00094DDA" w:rsidP="00094DDA">
      <w:pPr>
        <w:pStyle w:val="CoverReference"/>
      </w:pPr>
      <w:r w:rsidRPr="00BA2FA8">
        <w:rPr>
          <w:rStyle w:val="HideTWBExt"/>
          <w:b w:val="0"/>
          <w:noProof w:val="0"/>
        </w:rPr>
        <w:t>&lt;NoDocSe&gt;</w:t>
      </w:r>
      <w:r w:rsidRPr="00BA2FA8">
        <w:t>2020/2717(RSP)</w:t>
      </w:r>
      <w:r w:rsidRPr="00BA2FA8">
        <w:rPr>
          <w:rStyle w:val="HideTWBExt"/>
          <w:b w:val="0"/>
          <w:noProof w:val="0"/>
        </w:rPr>
        <w:t>&lt;/NoDocSe&gt;</w:t>
      </w:r>
    </w:p>
    <w:p w:rsidR="00094DDA" w:rsidRPr="00BA2FA8" w:rsidRDefault="00094DDA" w:rsidP="00094DDA">
      <w:pPr>
        <w:pStyle w:val="CoverDate"/>
      </w:pPr>
      <w:r w:rsidRPr="00BA2FA8">
        <w:rPr>
          <w:rStyle w:val="HideTWBExt"/>
          <w:noProof w:val="0"/>
        </w:rPr>
        <w:t>&lt;Date&gt;</w:t>
      </w:r>
      <w:r w:rsidRPr="00BA2FA8">
        <w:t>...</w:t>
      </w:r>
      <w:r w:rsidRPr="00BA2FA8">
        <w:rPr>
          <w:rStyle w:val="HideTWBExt"/>
          <w:noProof w:val="0"/>
        </w:rPr>
        <w:t>&lt;/Date&gt;</w:t>
      </w:r>
    </w:p>
    <w:p w:rsidR="00814BC6" w:rsidRPr="00BA2FA8" w:rsidRDefault="00814BC6">
      <w:pPr>
        <w:pStyle w:val="CoverDocType24a"/>
      </w:pPr>
      <w:r w:rsidRPr="00BA2FA8">
        <w:rPr>
          <w:rStyle w:val="HideTWBExt"/>
          <w:b w:val="0"/>
          <w:noProof w:val="0"/>
        </w:rPr>
        <w:t>&lt;TitreType&gt;</w:t>
      </w:r>
      <w:r w:rsidRPr="00BA2FA8">
        <w:t>PROGETTO DI PROPOSTA DI RISOLUZIONE</w:t>
      </w:r>
      <w:r w:rsidRPr="00BA2FA8">
        <w:rPr>
          <w:rStyle w:val="HideTWBExt"/>
          <w:b w:val="0"/>
          <w:noProof w:val="0"/>
        </w:rPr>
        <w:t>&lt;/TitreType&gt;</w:t>
      </w:r>
    </w:p>
    <w:p w:rsidR="00814BC6" w:rsidRPr="00BA2FA8" w:rsidRDefault="00814BC6">
      <w:pPr>
        <w:pStyle w:val="CoverNormal12a"/>
      </w:pPr>
      <w:r w:rsidRPr="00BA2FA8">
        <w:rPr>
          <w:rStyle w:val="HideTWBExt"/>
          <w:noProof w:val="0"/>
        </w:rPr>
        <w:t>&lt;TitreSuite&gt;</w:t>
      </w:r>
      <w:r w:rsidRPr="00BA2FA8">
        <w:t>presentata a seguito di una dichiarazione della Commissione</w:t>
      </w:r>
      <w:r w:rsidRPr="00BA2FA8">
        <w:rPr>
          <w:rStyle w:val="HideTWBExt"/>
          <w:noProof w:val="0"/>
        </w:rPr>
        <w:t>&lt;/TitreSuite&gt;</w:t>
      </w:r>
    </w:p>
    <w:p w:rsidR="00814BC6" w:rsidRPr="00BA2FA8" w:rsidRDefault="00814BC6">
      <w:pPr>
        <w:pStyle w:val="CoverNormal12a"/>
      </w:pPr>
      <w:r w:rsidRPr="00BA2FA8">
        <w:rPr>
          <w:rStyle w:val="HideTWBExt"/>
          <w:noProof w:val="0"/>
        </w:rPr>
        <w:t>&lt;TitreRecueil&gt;</w:t>
      </w:r>
      <w:r w:rsidRPr="00BA2FA8">
        <w:t>a norma dell</w:t>
      </w:r>
      <w:r w:rsidR="00BA2FA8" w:rsidRPr="00BA2FA8">
        <w:t>'</w:t>
      </w:r>
      <w:r w:rsidRPr="00BA2FA8">
        <w:t>articolo 132, paragrafo 2, del regolamento</w:t>
      </w:r>
      <w:r w:rsidRPr="00BA2FA8">
        <w:rPr>
          <w:rStyle w:val="HideTWBExt"/>
          <w:noProof w:val="0"/>
        </w:rPr>
        <w:t>&lt;/TitreRecueil&gt;</w:t>
      </w:r>
    </w:p>
    <w:p w:rsidR="00C23264" w:rsidRPr="00BA2FA8" w:rsidRDefault="00C23264" w:rsidP="00C23264">
      <w:pPr>
        <w:pStyle w:val="CoverNormal"/>
      </w:pPr>
      <w:r w:rsidRPr="00BA2FA8">
        <w:rPr>
          <w:rStyle w:val="HideTWBExt"/>
          <w:noProof w:val="0"/>
        </w:rPr>
        <w:t>&lt;Titre&gt;</w:t>
      </w:r>
      <w:r w:rsidRPr="00BA2FA8">
        <w:t>sulla relazione di valutazione della Commissione concernente l</w:t>
      </w:r>
      <w:r w:rsidR="00BA2FA8" w:rsidRPr="00BA2FA8">
        <w:t>'</w:t>
      </w:r>
      <w:r w:rsidRPr="00BA2FA8">
        <w:t>attuazione del regolamento generale sulla protezione dei dati due anni dopo la sua applicazione</w:t>
      </w:r>
      <w:r w:rsidRPr="00BA2FA8">
        <w:rPr>
          <w:rStyle w:val="HideTWBExt"/>
          <w:noProof w:val="0"/>
        </w:rPr>
        <w:t>&lt;/Titre&gt;</w:t>
      </w:r>
    </w:p>
    <w:p w:rsidR="00C23264" w:rsidRPr="00BA2FA8" w:rsidRDefault="00C23264" w:rsidP="00C23264">
      <w:pPr>
        <w:pStyle w:val="CoverNormal24a"/>
      </w:pPr>
      <w:r w:rsidRPr="00BA2FA8">
        <w:rPr>
          <w:rStyle w:val="HideTWBExt"/>
          <w:noProof w:val="0"/>
        </w:rPr>
        <w:t>&lt;DocRef&gt;</w:t>
      </w:r>
      <w:r w:rsidRPr="00BA2FA8">
        <w:t>(2020/2717(RSP))</w:t>
      </w:r>
      <w:r w:rsidRPr="00BA2FA8">
        <w:rPr>
          <w:rStyle w:val="HideTWBExt"/>
          <w:noProof w:val="0"/>
        </w:rPr>
        <w:t>&lt;/DocRef&gt;</w:t>
      </w:r>
    </w:p>
    <w:p w:rsidR="002574AA" w:rsidRPr="00BA2FA8" w:rsidRDefault="002574AA" w:rsidP="002574AA">
      <w:pPr>
        <w:pStyle w:val="CoverBold"/>
      </w:pPr>
      <w:r w:rsidRPr="00BA2FA8">
        <w:rPr>
          <w:rStyle w:val="HideTWBExt"/>
          <w:b w:val="0"/>
          <w:noProof w:val="0"/>
        </w:rPr>
        <w:t>&lt;RepeatBlock-By&gt;&lt;Depute&gt;</w:t>
      </w:r>
      <w:r w:rsidRPr="00BA2FA8">
        <w:t>Juan Fernando López Aguilar</w:t>
      </w:r>
      <w:r w:rsidRPr="00BA2FA8">
        <w:rPr>
          <w:rStyle w:val="HideTWBExt"/>
          <w:b w:val="0"/>
          <w:noProof w:val="0"/>
        </w:rPr>
        <w:t>&lt;/Depute&gt;</w:t>
      </w:r>
    </w:p>
    <w:p w:rsidR="002574AA" w:rsidRPr="00BA2FA8" w:rsidRDefault="002574AA" w:rsidP="002574AA">
      <w:pPr>
        <w:pStyle w:val="CoverNormal"/>
      </w:pPr>
      <w:r w:rsidRPr="00BA2FA8">
        <w:rPr>
          <w:rStyle w:val="HideTWBExt"/>
          <w:noProof w:val="0"/>
        </w:rPr>
        <w:t>&lt;Commission&gt;</w:t>
      </w:r>
      <w:r w:rsidRPr="00BA2FA8">
        <w:rPr>
          <w:rStyle w:val="HideTWBInt"/>
        </w:rPr>
        <w:t>{LIBE}</w:t>
      </w:r>
      <w:r w:rsidRPr="00BA2FA8">
        <w:t>a nome della commissione per le libertà civili, la giustizia e gli affari interni</w:t>
      </w:r>
      <w:r w:rsidRPr="00BA2FA8">
        <w:rPr>
          <w:rStyle w:val="HideTWBExt"/>
          <w:noProof w:val="0"/>
        </w:rPr>
        <w:t>&lt;/Commission&gt;</w:t>
      </w:r>
    </w:p>
    <w:p w:rsidR="002574AA" w:rsidRPr="00BA2FA8" w:rsidRDefault="002574AA" w:rsidP="002574AA">
      <w:pPr>
        <w:pStyle w:val="CoverNormal"/>
      </w:pPr>
      <w:r w:rsidRPr="00BA2FA8">
        <w:rPr>
          <w:rStyle w:val="HideTWBExt"/>
          <w:noProof w:val="0"/>
        </w:rPr>
        <w:t>&lt;/RepeatBlock-By&gt;</w:t>
      </w:r>
    </w:p>
    <w:p w:rsidR="00814BC6" w:rsidRPr="00BA2FA8" w:rsidRDefault="00814BC6">
      <w:pPr>
        <w:pStyle w:val="NormalBold12a"/>
      </w:pPr>
      <w:r w:rsidRPr="00BA2FA8">
        <w:br w:type="page"/>
      </w:r>
      <w:r w:rsidRPr="00BA2FA8">
        <w:lastRenderedPageBreak/>
        <w:t>B9-0000/2020</w:t>
      </w:r>
    </w:p>
    <w:p w:rsidR="00C23264" w:rsidRPr="00BA2FA8" w:rsidRDefault="00D523C5" w:rsidP="00C23264">
      <w:pPr>
        <w:pStyle w:val="NormalBold"/>
      </w:pPr>
      <w:r w:rsidRPr="00BA2FA8">
        <w:t>Risoluzione del Parlamento europeo sulla relazione di valutazione della Commissione concernente l</w:t>
      </w:r>
      <w:r w:rsidR="00BA2FA8" w:rsidRPr="00BA2FA8">
        <w:t>'</w:t>
      </w:r>
      <w:r w:rsidRPr="00BA2FA8">
        <w:t>attuazione del regolamento generale sulla protezione dei dati due anni dopo la sua applicazione</w:t>
      </w:r>
    </w:p>
    <w:p w:rsidR="00C23264" w:rsidRPr="00BA2FA8" w:rsidRDefault="00747A7E" w:rsidP="00DF7943">
      <w:pPr>
        <w:pStyle w:val="NormalBold"/>
      </w:pPr>
      <w:r w:rsidRPr="00BA2FA8">
        <w:t>(2020/2717(RSP))</w:t>
      </w:r>
    </w:p>
    <w:p w:rsidR="00814BC6" w:rsidRPr="00BA2FA8" w:rsidRDefault="00747A7E">
      <w:pPr>
        <w:pStyle w:val="EPComma"/>
      </w:pPr>
      <w:r w:rsidRPr="00BA2FA8">
        <w:rPr>
          <w:i/>
        </w:rPr>
        <w:t>Il Parlamento europeo</w:t>
      </w:r>
      <w:r w:rsidRPr="00BA2FA8">
        <w:t>,</w:t>
      </w:r>
    </w:p>
    <w:p w:rsidR="00D523C5" w:rsidRPr="00BA2FA8" w:rsidRDefault="00814BC6" w:rsidP="00D523C5">
      <w:pPr>
        <w:widowControl/>
        <w:ind w:left="567" w:hanging="567"/>
        <w:rPr>
          <w:szCs w:val="24"/>
        </w:rPr>
      </w:pPr>
      <w:r w:rsidRPr="00BA2FA8">
        <w:t>–</w:t>
      </w:r>
      <w:r w:rsidRPr="00BA2FA8">
        <w:tab/>
        <w:t>visto il regolamento (UE) 2016/679 del Parlamento europeo e del Consiglio, del 24 aprile 2016, relativo alla protezione delle persone fisiche con riguardo al trattamento dei dati personali, nonché alla libera circolazione di tali dati e che abroga la direttiva 95/46/CE (regolamento generale sulla protezione dei dati, GDPR)</w:t>
      </w:r>
      <w:r w:rsidR="00D523C5" w:rsidRPr="00BA2FA8">
        <w:rPr>
          <w:rStyle w:val="FootnoteReference"/>
        </w:rPr>
        <w:footnoteReference w:id="1"/>
      </w:r>
      <w:r w:rsidRPr="00BA2FA8">
        <w:t xml:space="preserve">, </w:t>
      </w:r>
    </w:p>
    <w:p w:rsidR="00D523C5" w:rsidRPr="00BA2FA8" w:rsidRDefault="00D523C5" w:rsidP="00D523C5">
      <w:pPr>
        <w:widowControl/>
        <w:spacing w:before="240"/>
        <w:ind w:left="567" w:hanging="567"/>
        <w:rPr>
          <w:szCs w:val="24"/>
        </w:rPr>
      </w:pPr>
      <w:r w:rsidRPr="00BA2FA8">
        <w:t>–</w:t>
      </w:r>
      <w:r w:rsidRPr="00BA2FA8">
        <w:tab/>
        <w:t>vista la dichiarazione della Commissione del 24 giugno 2020 sulla sua comunicazione al Parlamento europeo e al Consiglio sulla protezione dei dati come pilastro dell</w:t>
      </w:r>
      <w:r w:rsidR="00BA2FA8" w:rsidRPr="00BA2FA8">
        <w:t>'</w:t>
      </w:r>
      <w:r w:rsidRPr="00BA2FA8">
        <w:t>autonomia dei cittadini e dell</w:t>
      </w:r>
      <w:r w:rsidR="00BA2FA8" w:rsidRPr="00BA2FA8">
        <w:t>'</w:t>
      </w:r>
      <w:r w:rsidRPr="00BA2FA8">
        <w:t>approccio dell</w:t>
      </w:r>
      <w:r w:rsidR="00BA2FA8" w:rsidRPr="00BA2FA8">
        <w:t>'</w:t>
      </w:r>
      <w:r w:rsidRPr="00BA2FA8">
        <w:t>UE alla transizione digitale: due anni di applicazione del regolamento generale sulla protezione dei dati</w:t>
      </w:r>
      <w:r w:rsidRPr="00BA2FA8">
        <w:rPr>
          <w:rStyle w:val="FootnoteReference"/>
        </w:rPr>
        <w:footnoteReference w:id="2"/>
      </w:r>
      <w:r w:rsidRPr="00BA2FA8">
        <w:t xml:space="preserve">, </w:t>
      </w:r>
    </w:p>
    <w:p w:rsidR="00D523C5" w:rsidRPr="00BA2FA8" w:rsidRDefault="00D523C5" w:rsidP="00D523C5">
      <w:pPr>
        <w:widowControl/>
        <w:spacing w:before="240"/>
        <w:ind w:left="567" w:hanging="567"/>
        <w:rPr>
          <w:szCs w:val="24"/>
        </w:rPr>
      </w:pPr>
      <w:r w:rsidRPr="00BA2FA8">
        <w:t>–</w:t>
      </w:r>
      <w:r w:rsidRPr="00BA2FA8">
        <w:tab/>
        <w:t>vista la comunicazione della Commissione al Parlamento europeo e al Consiglio del 24 giugno 2020 sulla protezione dei dati come pilastro dell</w:t>
      </w:r>
      <w:r w:rsidR="00BA2FA8" w:rsidRPr="00BA2FA8">
        <w:t>'</w:t>
      </w:r>
      <w:r w:rsidRPr="00BA2FA8">
        <w:t>autonomia dei cittadini e dell</w:t>
      </w:r>
      <w:r w:rsidR="00BA2FA8" w:rsidRPr="00BA2FA8">
        <w:t>'</w:t>
      </w:r>
      <w:r w:rsidRPr="00BA2FA8">
        <w:t>approccio dell</w:t>
      </w:r>
      <w:r w:rsidR="00BA2FA8" w:rsidRPr="00BA2FA8">
        <w:t>'</w:t>
      </w:r>
      <w:r w:rsidRPr="00BA2FA8">
        <w:t>UE alla transizione digitale: due anni di applicazione del regolamento generale sulla protezione dei dati</w:t>
      </w:r>
      <w:r w:rsidRPr="00BA2FA8">
        <w:rPr>
          <w:rStyle w:val="FootnoteReference"/>
        </w:rPr>
        <w:footnoteReference w:id="3"/>
      </w:r>
      <w:r w:rsidRPr="00BA2FA8">
        <w:t xml:space="preserve">, </w:t>
      </w:r>
    </w:p>
    <w:p w:rsidR="00D523C5" w:rsidRPr="00BA2FA8" w:rsidRDefault="00D523C5" w:rsidP="00D523C5">
      <w:pPr>
        <w:pStyle w:val="NormalHanging12a"/>
        <w:spacing w:before="240"/>
      </w:pPr>
      <w:r w:rsidRPr="00BA2FA8">
        <w:t>–</w:t>
      </w:r>
      <w:r w:rsidRPr="00BA2FA8">
        <w:tab/>
        <w:t>visto l</w:t>
      </w:r>
      <w:r w:rsidR="00BA2FA8" w:rsidRPr="00BA2FA8">
        <w:t>'</w:t>
      </w:r>
      <w:r w:rsidRPr="00BA2FA8">
        <w:t>articolo 132, paragrafo 2, del suo regolamento,</w:t>
      </w:r>
    </w:p>
    <w:p w:rsidR="00D523C5" w:rsidRPr="00BA2FA8" w:rsidRDefault="00D523C5" w:rsidP="00D523C5">
      <w:pPr>
        <w:pStyle w:val="NormalHanging12a"/>
      </w:pPr>
      <w:r w:rsidRPr="00BA2FA8">
        <w:t>–</w:t>
      </w:r>
      <w:r w:rsidRPr="00BA2FA8">
        <w:tab/>
        <w:t>vista la proposta di risoluzione della commissione per le libertà civili, la giustizia e gli affari interni,</w:t>
      </w:r>
    </w:p>
    <w:p w:rsidR="00D523C5" w:rsidRPr="00BA2FA8" w:rsidRDefault="00D523C5" w:rsidP="00D523C5">
      <w:pPr>
        <w:pStyle w:val="NormalHanging12a"/>
        <w:ind w:hanging="566"/>
      </w:pPr>
      <w:r w:rsidRPr="00BA2FA8">
        <w:t>A.</w:t>
      </w:r>
      <w:r w:rsidRPr="00BA2FA8">
        <w:tab/>
        <w:t>considerando che il GDPR si applica a decorrere dal 25 maggio 2018; che tutti gli Stati membri ad eccezione della Slovenia hanno adottato una nuova legislazione o adeguato il proprio diritto nazionale in materia di protezione dei dati;</w:t>
      </w:r>
    </w:p>
    <w:p w:rsidR="00D523C5" w:rsidRPr="00BA2FA8" w:rsidRDefault="00D523C5" w:rsidP="00D523C5">
      <w:pPr>
        <w:pStyle w:val="NormalHanging12a"/>
        <w:ind w:hanging="566"/>
      </w:pPr>
      <w:r w:rsidRPr="00BA2FA8">
        <w:t>B.</w:t>
      </w:r>
      <w:r w:rsidRPr="00BA2FA8">
        <w:tab/>
        <w:t>considerando che, dalla data di inizio dell</w:t>
      </w:r>
      <w:r w:rsidR="00BA2FA8" w:rsidRPr="00BA2FA8">
        <w:t>'</w:t>
      </w:r>
      <w:r w:rsidRPr="00BA2FA8">
        <w:t>applicazione del GDPR, le autorità di controllo hanno registrato un massiccio aumento del numero di reclami ricevuti; che ciò dimostra che gli interessati sono più consapevoli dei propri diritti e vogliono proteggere i propri dati personali in conformità con il GDPR; che tale situazione evidenzia altresì che continuano a essere effettuate numerose operazioni illegali di trattamento dei dati;</w:t>
      </w:r>
    </w:p>
    <w:p w:rsidR="00D523C5" w:rsidRPr="00BA2FA8" w:rsidRDefault="00D523C5" w:rsidP="00D523C5">
      <w:pPr>
        <w:pStyle w:val="NormalHanging12a"/>
        <w:ind w:left="1" w:firstLine="0"/>
        <w:rPr>
          <w:b/>
          <w:i/>
        </w:rPr>
      </w:pPr>
      <w:r w:rsidRPr="00BA2FA8">
        <w:rPr>
          <w:b/>
          <w:i/>
        </w:rPr>
        <w:t>OSSERVAZIONI GENERALI</w:t>
      </w:r>
    </w:p>
    <w:p w:rsidR="00D523C5" w:rsidRPr="00BA2FA8" w:rsidRDefault="00D523C5" w:rsidP="00D523C5">
      <w:pPr>
        <w:pStyle w:val="NormalHanging12a"/>
        <w:ind w:hanging="566"/>
      </w:pPr>
      <w:r w:rsidRPr="00BA2FA8">
        <w:t>1.</w:t>
      </w:r>
      <w:r w:rsidRPr="00BA2FA8">
        <w:tab/>
        <w:t>valuta positivamente il fatto che il GDPR sia diventato il riferimento mondiale in materia di protezione dei dati personali e rappresenti un fattore di convergenza nell</w:t>
      </w:r>
      <w:r w:rsidR="00BA2FA8" w:rsidRPr="00BA2FA8">
        <w:t>'</w:t>
      </w:r>
      <w:r w:rsidRPr="00BA2FA8">
        <w:t>elaborazione delle norme; si compiace del fatto che con l</w:t>
      </w:r>
      <w:r w:rsidR="00BA2FA8" w:rsidRPr="00BA2FA8">
        <w:t>'</w:t>
      </w:r>
      <w:r w:rsidRPr="00BA2FA8">
        <w:t>adozione del GDPR l</w:t>
      </w:r>
      <w:r w:rsidR="00BA2FA8" w:rsidRPr="00BA2FA8">
        <w:t>'</w:t>
      </w:r>
      <w:r w:rsidRPr="00BA2FA8">
        <w:t xml:space="preserve">UE abbia assunto un ruolo di primo piano nel dibattito internazionale sulla protezione dei dati e che alcuni paesi terzi abbiano allineato al GDPR le proprie normative in materia </w:t>
      </w:r>
      <w:r w:rsidRPr="00BA2FA8">
        <w:lastRenderedPageBreak/>
        <w:t>di protezione dei dati;</w:t>
      </w:r>
    </w:p>
    <w:p w:rsidR="00D523C5" w:rsidRPr="00BA2FA8" w:rsidRDefault="00D523C5" w:rsidP="00D523C5">
      <w:pPr>
        <w:pStyle w:val="NormalHanging12a"/>
        <w:ind w:hanging="566"/>
      </w:pPr>
      <w:r w:rsidRPr="00BA2FA8">
        <w:t>2.</w:t>
      </w:r>
      <w:r w:rsidRPr="00BA2FA8">
        <w:tab/>
        <w:t>conclude che, due anni dopo la sua entrata in vigore, il GDPR può essere globalmente considerato un successo e concorda con la Commissione europea sul fatto che allo stato attuale non è necessario che sia sottoposto ad aggiornamento o riesame;</w:t>
      </w:r>
    </w:p>
    <w:p w:rsidR="00D523C5" w:rsidRPr="00BA2FA8" w:rsidRDefault="00D523C5" w:rsidP="00D523C5">
      <w:pPr>
        <w:pStyle w:val="NormalHanging12a"/>
        <w:ind w:hanging="566"/>
      </w:pPr>
      <w:r w:rsidRPr="00BA2FA8">
        <w:t>3.</w:t>
      </w:r>
      <w:r w:rsidRPr="00BA2FA8">
        <w:tab/>
        <w:t>riconosce che nei prossimi anni si dovrà continuare a porre l</w:t>
      </w:r>
      <w:r w:rsidR="00BA2FA8" w:rsidRPr="00BA2FA8">
        <w:t>'</w:t>
      </w:r>
      <w:r w:rsidRPr="00BA2FA8">
        <w:t>accento sul miglioramento dell</w:t>
      </w:r>
      <w:r w:rsidR="00BA2FA8" w:rsidRPr="00BA2FA8">
        <w:t>'</w:t>
      </w:r>
      <w:r w:rsidRPr="00BA2FA8">
        <w:t>attuazione e sulle azioni volte a rafforzare il GDPR;</w:t>
      </w:r>
    </w:p>
    <w:p w:rsidR="00D523C5" w:rsidRPr="00BA2FA8" w:rsidRDefault="00D523C5" w:rsidP="00D523C5">
      <w:pPr>
        <w:pStyle w:val="NormalHanging12a"/>
        <w:ind w:hanging="566"/>
      </w:pPr>
      <w:r w:rsidRPr="00BA2FA8">
        <w:t>4.</w:t>
      </w:r>
      <w:r w:rsidRPr="00BA2FA8">
        <w:tab/>
        <w:t>prende atto della necessità di un</w:t>
      </w:r>
      <w:r w:rsidR="00BA2FA8" w:rsidRPr="00BA2FA8">
        <w:t>'</w:t>
      </w:r>
      <w:r w:rsidRPr="00BA2FA8">
        <w:t>applicazione rigorosa ed efficace del GDPR nei confronti delle piattaforme digitali e delle imprese integrate di grandi dimensioni, anche in settori quali la pubblicità online e il micro-targeting;</w:t>
      </w:r>
    </w:p>
    <w:p w:rsidR="00D523C5" w:rsidRPr="00BA2FA8" w:rsidRDefault="00D523C5" w:rsidP="00D523C5">
      <w:pPr>
        <w:spacing w:after="240"/>
        <w:rPr>
          <w:rFonts w:eastAsia="DejaVu Sans"/>
          <w:kern w:val="2"/>
        </w:rPr>
      </w:pPr>
      <w:r w:rsidRPr="00BA2FA8">
        <w:rPr>
          <w:b/>
          <w:i/>
        </w:rPr>
        <w:t>BASE GIURIDICA DEL TRATTAMENTO</w:t>
      </w:r>
    </w:p>
    <w:p w:rsidR="00D523C5" w:rsidRPr="00BA2FA8" w:rsidRDefault="00D523C5" w:rsidP="00D523C5">
      <w:pPr>
        <w:pStyle w:val="NormalHanging12a"/>
        <w:ind w:hanging="566"/>
      </w:pPr>
      <w:r w:rsidRPr="00BA2FA8">
        <w:t>5.</w:t>
      </w:r>
      <w:r w:rsidRPr="00BA2FA8">
        <w:tab/>
        <w:t>ricorda che, dall</w:t>
      </w:r>
      <w:r w:rsidR="00BA2FA8" w:rsidRPr="00BA2FA8">
        <w:t>'</w:t>
      </w:r>
      <w:r w:rsidRPr="00BA2FA8">
        <w:t>entrata in vigore del GDPR, per "consenso" si intende qualsiasi manifestazione di volontà libera, specifica, informata e inequivocabile dell</w:t>
      </w:r>
      <w:r w:rsidR="00BA2FA8" w:rsidRPr="00BA2FA8">
        <w:t>'</w:t>
      </w:r>
      <w:r w:rsidRPr="00BA2FA8">
        <w:t>interessato e sottolinea che ciò vale anche per la direttiva e-privacy; rileva che l</w:t>
      </w:r>
      <w:r w:rsidR="00BA2FA8" w:rsidRPr="00BA2FA8">
        <w:t>'</w:t>
      </w:r>
      <w:r w:rsidRPr="00BA2FA8">
        <w:t>attuazione dei requisiti relativi al valido consenso continua a essere compromessa dal ricorso a modelli occulti, al tracciamento per finalità commerciali e ad altre pratiche non etiche; esprime preoccupazione per il fatto che vengono spesso esercitate pressioni economiche per ottenere il consenso degli interessati in cambio di sconti o altre offerte commerciali, come pure per il fatto che l</w:t>
      </w:r>
      <w:r w:rsidR="00BA2FA8" w:rsidRPr="00BA2FA8">
        <w:t>'</w:t>
      </w:r>
      <w:r w:rsidRPr="00BA2FA8">
        <w:t>accesso ai servizi viene spesso subordinato all</w:t>
      </w:r>
      <w:r w:rsidR="00BA2FA8" w:rsidRPr="00BA2FA8">
        <w:t>'</w:t>
      </w:r>
      <w:r w:rsidRPr="00BA2FA8">
        <w:t>ottenimento del consenso sulla base di disposizioni vincolanti, in violazione dell</w:t>
      </w:r>
      <w:r w:rsidR="00BA2FA8" w:rsidRPr="00BA2FA8">
        <w:t>'</w:t>
      </w:r>
      <w:r w:rsidRPr="00BA2FA8">
        <w:t>articolo 7 del GDPR;</w:t>
      </w:r>
    </w:p>
    <w:p w:rsidR="00D523C5" w:rsidRPr="00BA2FA8" w:rsidRDefault="00D523C5" w:rsidP="00D523C5">
      <w:pPr>
        <w:spacing w:after="240"/>
        <w:rPr>
          <w:rFonts w:eastAsia="DejaVu Sans"/>
          <w:b/>
          <w:i/>
          <w:kern w:val="2"/>
        </w:rPr>
      </w:pPr>
      <w:r w:rsidRPr="00BA2FA8">
        <w:rPr>
          <w:b/>
          <w:i/>
        </w:rPr>
        <w:t>DIRITTI DEGLI INTERESSATI</w:t>
      </w:r>
    </w:p>
    <w:p w:rsidR="00D523C5" w:rsidRPr="00BA2FA8" w:rsidRDefault="00D523C5" w:rsidP="00D523C5">
      <w:pPr>
        <w:pStyle w:val="NormalHanging12a"/>
        <w:ind w:hanging="566"/>
      </w:pPr>
      <w:r w:rsidRPr="00BA2FA8">
        <w:t>6.</w:t>
      </w:r>
      <w:r w:rsidRPr="00BA2FA8">
        <w:tab/>
        <w:t>sottolinea che è necessario agevolare l</w:t>
      </w:r>
      <w:r w:rsidR="00BA2FA8" w:rsidRPr="00BA2FA8">
        <w:t>'</w:t>
      </w:r>
      <w:r w:rsidRPr="00BA2FA8">
        <w:t>esercizio dei diritti individuali sanciti dal GDPR, tra cui la portabilità dei dati e i diritti riguardanti il trattamento automatizzato, inclusa la profilazione; invita il comitato europeo per la protezione dei dati a pubblicare ulteriori orientamenti sui processi decisionali automatizzati;</w:t>
      </w:r>
    </w:p>
    <w:p w:rsidR="00D523C5" w:rsidRPr="00BA2FA8" w:rsidRDefault="00D523C5" w:rsidP="00D523C5">
      <w:pPr>
        <w:pStyle w:val="NormalHanging12a"/>
        <w:ind w:left="1" w:firstLine="0"/>
      </w:pPr>
      <w:r w:rsidRPr="00BA2FA8">
        <w:rPr>
          <w:b/>
          <w:i/>
        </w:rPr>
        <w:t>PICCOLE IMPRESE E ORGANIZZAZIONI</w:t>
      </w:r>
    </w:p>
    <w:p w:rsidR="00D523C5" w:rsidRPr="00BA2FA8" w:rsidRDefault="00D523C5" w:rsidP="00D523C5">
      <w:pPr>
        <w:pStyle w:val="NormalHanging12a"/>
        <w:ind w:hanging="566"/>
      </w:pPr>
      <w:r w:rsidRPr="00BA2FA8">
        <w:t>7.</w:t>
      </w:r>
      <w:r w:rsidRPr="00BA2FA8">
        <w:tab/>
        <w:t>rileva che alcune parti interessate hanno riferito che l</w:t>
      </w:r>
      <w:r w:rsidR="00BA2FA8" w:rsidRPr="00BA2FA8">
        <w:t>'</w:t>
      </w:r>
      <w:r w:rsidRPr="00BA2FA8">
        <w:t>applicazione del GDPR è complessa in particolare per le piccole e medie imprese (PMI);</w:t>
      </w:r>
    </w:p>
    <w:p w:rsidR="00D523C5" w:rsidRPr="00BA2FA8" w:rsidRDefault="00D523C5" w:rsidP="00D523C5">
      <w:pPr>
        <w:pStyle w:val="NormalHanging12a"/>
        <w:ind w:hanging="566"/>
      </w:pPr>
      <w:r w:rsidRPr="00BA2FA8">
        <w:t>8.</w:t>
      </w:r>
      <w:r w:rsidRPr="00BA2FA8">
        <w:tab/>
        <w:t>sottolinea che non dovrebbe esservi alcuna deroga per le PMI; invita il comitato europeo per la protezione dei dati a fornire strumenti pratici per agevolare l</w:t>
      </w:r>
      <w:r w:rsidR="00BA2FA8" w:rsidRPr="00BA2FA8">
        <w:t>'</w:t>
      </w:r>
      <w:r w:rsidRPr="00BA2FA8">
        <w:t>attuazione del GDPR da parte delle PMI che effettuano trattamenti a basso rischio;</w:t>
      </w:r>
    </w:p>
    <w:p w:rsidR="00D523C5" w:rsidRPr="00BA2FA8" w:rsidRDefault="00D523C5" w:rsidP="00D523C5">
      <w:pPr>
        <w:pStyle w:val="NormalHanging12a"/>
        <w:spacing w:before="240"/>
        <w:ind w:left="1" w:firstLine="0"/>
      </w:pPr>
      <w:r w:rsidRPr="00BA2FA8">
        <w:rPr>
          <w:b/>
          <w:i/>
        </w:rPr>
        <w:t>APPLICAZIONE</w:t>
      </w:r>
    </w:p>
    <w:p w:rsidR="00D523C5" w:rsidRPr="00BA2FA8" w:rsidRDefault="00D523C5" w:rsidP="00D523C5">
      <w:pPr>
        <w:pStyle w:val="NormalHanging12a"/>
        <w:ind w:hanging="566"/>
      </w:pPr>
      <w:r w:rsidRPr="00BA2FA8">
        <w:t>9.</w:t>
      </w:r>
      <w:r w:rsidRPr="00BA2FA8">
        <w:tab/>
        <w:t>esprime preoccupazione per il diverso livello di applicazione del GDPR da parte delle autorità nazionali di protezione dei dati;</w:t>
      </w:r>
    </w:p>
    <w:p w:rsidR="00D523C5" w:rsidRPr="00BA2FA8" w:rsidRDefault="00D523C5" w:rsidP="00D523C5">
      <w:pPr>
        <w:pStyle w:val="NormalHanging12a"/>
        <w:ind w:hanging="566"/>
      </w:pPr>
      <w:r w:rsidRPr="00BA2FA8">
        <w:t>10.</w:t>
      </w:r>
      <w:r w:rsidRPr="00BA2FA8">
        <w:tab/>
        <w:t>rileva che, sebbene dall</w:t>
      </w:r>
      <w:r w:rsidR="00BA2FA8" w:rsidRPr="00BA2FA8">
        <w:t>'</w:t>
      </w:r>
      <w:r w:rsidRPr="00BA2FA8">
        <w:t xml:space="preserve">entrata in vigore del GDPR siano state imposte alcune </w:t>
      </w:r>
      <w:r w:rsidRPr="00BA2FA8">
        <w:lastRenderedPageBreak/>
        <w:t>significative sanzioni pecuniarie per casi di gravi violazioni, le possibilità del GDPR a tale riguardo non sono finora state utilizzate appieno e si registrano discrepanze nel grado di rigore delle sanzioni applicate dagli Stati membri;</w:t>
      </w:r>
    </w:p>
    <w:p w:rsidR="00D523C5" w:rsidRPr="00BA2FA8" w:rsidRDefault="00D523C5" w:rsidP="00D523C5">
      <w:pPr>
        <w:pStyle w:val="NormalHanging12a"/>
        <w:ind w:hanging="566"/>
      </w:pPr>
      <w:r w:rsidRPr="00BA2FA8">
        <w:t>11.</w:t>
      </w:r>
      <w:r w:rsidRPr="00BA2FA8">
        <w:tab/>
        <w:t>esprime preoccupazione per la durata delle indagini condotte da alcune autorità di protezione dei dati e per le relative ripercussioni in termini di efficacia dell</w:t>
      </w:r>
      <w:r w:rsidR="00BA2FA8" w:rsidRPr="00BA2FA8">
        <w:t>'</w:t>
      </w:r>
      <w:r w:rsidRPr="00BA2FA8">
        <w:t>applicazione e fiducia dei cittadini; esorta le autorità di protezione dei dati ad accelerare la risoluzione dei casi e ad avvalersi di tutti i meccanismi messi a loro disposizione dal GDPR, tra cui l</w:t>
      </w:r>
      <w:r w:rsidR="00BA2FA8" w:rsidRPr="00BA2FA8">
        <w:t>'</w:t>
      </w:r>
      <w:r w:rsidRPr="00BA2FA8">
        <w:t>imposizione di una limitazione provvisoria o definitiva al trattamento o il divieto di trattamento;</w:t>
      </w:r>
    </w:p>
    <w:p w:rsidR="00D523C5" w:rsidRPr="00BA2FA8" w:rsidRDefault="00D523C5" w:rsidP="00D523C5">
      <w:pPr>
        <w:pStyle w:val="NormalHanging12a"/>
        <w:ind w:hanging="566"/>
      </w:pPr>
      <w:r w:rsidRPr="00BA2FA8">
        <w:t>12.</w:t>
      </w:r>
      <w:r w:rsidRPr="00BA2FA8">
        <w:tab/>
        <w:t>deplora che le autorità di protezione dei dati di 21 Stati membri abbiano esplicitamente dichiarato di non disporre di sufficienti risorse umane, tecniche e finanziarie per svolgere efficacemente i propri compiti ed esercitare i propri poteri; esorta la Commissione ad adottare misure appropriate, tra l</w:t>
      </w:r>
      <w:r w:rsidR="00BA2FA8" w:rsidRPr="00BA2FA8">
        <w:t>'</w:t>
      </w:r>
      <w:r w:rsidRPr="00BA2FA8">
        <w:t>altro avviando senza indugio procedure di infrazione nei confronti degli Stati membri che non adempiono ai propri obblighi;</w:t>
      </w:r>
    </w:p>
    <w:p w:rsidR="00D523C5" w:rsidRPr="00BA2FA8" w:rsidRDefault="00D523C5" w:rsidP="00D523C5">
      <w:pPr>
        <w:pStyle w:val="NormalHanging12a"/>
        <w:ind w:hanging="566"/>
      </w:pPr>
      <w:r w:rsidRPr="00BA2FA8">
        <w:t>13.</w:t>
      </w:r>
      <w:r w:rsidRPr="00BA2FA8">
        <w:tab/>
        <w:t>si ramm</w:t>
      </w:r>
      <w:bookmarkStart w:id="0" w:name="_GoBack"/>
      <w:bookmarkEnd w:id="0"/>
      <w:r w:rsidRPr="00BA2FA8">
        <w:t>arica per il fatto che, per quanto concerne il ricorso collettivo, la maggior parte degli Stati membri abbia deciso di non attuare l</w:t>
      </w:r>
      <w:r w:rsidR="00BA2FA8" w:rsidRPr="00BA2FA8">
        <w:t>'</w:t>
      </w:r>
      <w:r w:rsidRPr="00BA2FA8">
        <w:t>articolo 80, paragrafo 2, del GDPR; invita tutti gli Stati membri ad avvalersi dell</w:t>
      </w:r>
      <w:r w:rsidR="00BA2FA8" w:rsidRPr="00BA2FA8">
        <w:t>'</w:t>
      </w:r>
      <w:r w:rsidRPr="00BA2FA8">
        <w:t>articolo 80, paragrafo 2;</w:t>
      </w:r>
    </w:p>
    <w:p w:rsidR="00D523C5" w:rsidRPr="00BA2FA8" w:rsidRDefault="00D523C5" w:rsidP="00D523C5">
      <w:pPr>
        <w:pStyle w:val="NormalHanging12a"/>
        <w:ind w:left="1" w:firstLine="0"/>
      </w:pPr>
      <w:r w:rsidRPr="00BA2FA8">
        <w:rPr>
          <w:b/>
          <w:i/>
        </w:rPr>
        <w:t>COOPERAZIONE E COERENZA</w:t>
      </w:r>
    </w:p>
    <w:p w:rsidR="00D523C5" w:rsidRPr="00BA2FA8" w:rsidRDefault="00D523C5" w:rsidP="00D523C5">
      <w:pPr>
        <w:pStyle w:val="NormalHanging12a"/>
        <w:ind w:hanging="566"/>
      </w:pPr>
      <w:r w:rsidRPr="00BA2FA8">
        <w:t>14.</w:t>
      </w:r>
      <w:r w:rsidRPr="00BA2FA8">
        <w:tab/>
        <w:t>rileva che l</w:t>
      </w:r>
      <w:r w:rsidR="00BA2FA8" w:rsidRPr="00BA2FA8">
        <w:t>'</w:t>
      </w:r>
      <w:r w:rsidRPr="00BA2FA8">
        <w:t>insufficiente livello di applicazione è particolarmente evidente nel caso dei reclami transfrontalieri, con particolare riferimento ai meccanismi di cooperazione e coerenza; invita il comitato europeo per la protezione dei dati a incrementare gli sforzi volti a garantire la corretta applicazione degli articoli 60 e 63 del GDPR e ad avvalersi della procedura d</w:t>
      </w:r>
      <w:r w:rsidR="00BA2FA8" w:rsidRPr="00BA2FA8">
        <w:t>'</w:t>
      </w:r>
      <w:r w:rsidRPr="00BA2FA8">
        <w:t>urgenza di cui all</w:t>
      </w:r>
      <w:r w:rsidR="00BA2FA8" w:rsidRPr="00BA2FA8">
        <w:t>'</w:t>
      </w:r>
      <w:r w:rsidRPr="00BA2FA8">
        <w:t>articolo 66 del GDPR;</w:t>
      </w:r>
    </w:p>
    <w:p w:rsidR="00D523C5" w:rsidRPr="00BA2FA8" w:rsidRDefault="00D523C5" w:rsidP="00D523C5">
      <w:pPr>
        <w:pStyle w:val="NormalHanging12a"/>
        <w:ind w:hanging="566"/>
      </w:pPr>
      <w:r w:rsidRPr="00BA2FA8">
        <w:t>15.</w:t>
      </w:r>
      <w:r w:rsidRPr="00BA2FA8">
        <w:tab/>
        <w:t>mette in luce le incongruenze tra gli orientamenti nazionali e gli orientamenti del comitato europeo per la protezione dei dati;</w:t>
      </w:r>
    </w:p>
    <w:p w:rsidR="00D523C5" w:rsidRPr="00BA2FA8" w:rsidRDefault="00D523C5" w:rsidP="00D523C5">
      <w:pPr>
        <w:pStyle w:val="NormalHanging12a"/>
        <w:ind w:hanging="566"/>
      </w:pPr>
      <w:r w:rsidRPr="00BA2FA8">
        <w:t>16.</w:t>
      </w:r>
      <w:r w:rsidRPr="00BA2FA8">
        <w:tab/>
        <w:t>invita gli Stati membri a introdurre un sostegno specifico per gli interessati o per le loro organizzazioni rappresentative nel contesto dei reclami transfrontalieri; rileva che gli elevati costi procedurali associati all</w:t>
      </w:r>
      <w:r w:rsidR="00BA2FA8" w:rsidRPr="00BA2FA8">
        <w:t>'</w:t>
      </w:r>
      <w:r w:rsidRPr="00BA2FA8">
        <w:t>esercizio dei diritti degli interessati possono costituire un deterrente; invita gli Stati membri a limitare tali costi a norma delle leggi nazionali in materia di procedimenti amministrativi;</w:t>
      </w:r>
    </w:p>
    <w:p w:rsidR="00D523C5" w:rsidRPr="00BA2FA8" w:rsidRDefault="00D523C5" w:rsidP="00D523C5">
      <w:pPr>
        <w:pStyle w:val="NormalHanging12a"/>
        <w:ind w:left="1" w:firstLine="0"/>
      </w:pPr>
      <w:r w:rsidRPr="00BA2FA8">
        <w:rPr>
          <w:b/>
          <w:i/>
        </w:rPr>
        <w:t>FRAMMENTAZIONE DELL</w:t>
      </w:r>
      <w:r w:rsidR="00BA2FA8" w:rsidRPr="00BA2FA8">
        <w:rPr>
          <w:b/>
          <w:i/>
        </w:rPr>
        <w:t>'</w:t>
      </w:r>
      <w:r w:rsidRPr="00BA2FA8">
        <w:rPr>
          <w:b/>
          <w:i/>
        </w:rPr>
        <w:t>ATTUAZIONE DEL GDPR</w:t>
      </w:r>
    </w:p>
    <w:p w:rsidR="00D523C5" w:rsidRPr="00BA2FA8" w:rsidRDefault="00D523C5" w:rsidP="00D523C5">
      <w:pPr>
        <w:pStyle w:val="NormalHanging12a"/>
        <w:ind w:hanging="566"/>
      </w:pPr>
      <w:r w:rsidRPr="00BA2FA8">
        <w:t>17.</w:t>
      </w:r>
      <w:r w:rsidRPr="00BA2FA8">
        <w:tab/>
        <w:t>osserva che si registra un certo grado di frammentazione, dovuto in particolare all</w:t>
      </w:r>
      <w:r w:rsidR="00BA2FA8" w:rsidRPr="00BA2FA8">
        <w:t>'</w:t>
      </w:r>
      <w:r w:rsidRPr="00BA2FA8">
        <w:t>ampio ricorso a clausole di specificazione facoltative; si dichiara preoccupato che le tutele previste dal GDPR siano compromesse dalle modalità di attuazione di tali specificazioni e deroghe da parte degli Stati membri (ad esempio per quanto concerne l</w:t>
      </w:r>
      <w:r w:rsidR="00BA2FA8" w:rsidRPr="00BA2FA8">
        <w:t>'</w:t>
      </w:r>
      <w:r w:rsidRPr="00BA2FA8">
        <w:t>età del consenso dei minori);</w:t>
      </w:r>
    </w:p>
    <w:p w:rsidR="00D523C5" w:rsidRPr="00BA2FA8" w:rsidRDefault="00D523C5" w:rsidP="00D523C5">
      <w:pPr>
        <w:pStyle w:val="NormalHanging12a"/>
        <w:ind w:left="1" w:firstLine="0"/>
      </w:pPr>
      <w:r w:rsidRPr="00BA2FA8">
        <w:rPr>
          <w:b/>
          <w:i/>
        </w:rPr>
        <w:t>PROTEZIONE DEI DATI FIN DALLA PROGETTAZIONE</w:t>
      </w:r>
    </w:p>
    <w:p w:rsidR="00D523C5" w:rsidRPr="00BA2FA8" w:rsidRDefault="00D523C5" w:rsidP="00D523C5">
      <w:pPr>
        <w:pStyle w:val="NormalHanging12a"/>
        <w:ind w:hanging="566"/>
      </w:pPr>
      <w:r w:rsidRPr="00BA2FA8">
        <w:t>18.</w:t>
      </w:r>
      <w:r w:rsidRPr="00BA2FA8">
        <w:tab/>
        <w:t>invita le autorità di controllo a valutare l</w:t>
      </w:r>
      <w:r w:rsidR="00BA2FA8" w:rsidRPr="00BA2FA8">
        <w:t>'</w:t>
      </w:r>
      <w:r w:rsidRPr="00BA2FA8">
        <w:t>attuazione dell</w:t>
      </w:r>
      <w:r w:rsidR="00BA2FA8" w:rsidRPr="00BA2FA8">
        <w:t>'</w:t>
      </w:r>
      <w:r w:rsidRPr="00BA2FA8">
        <w:t>articolo 25 relativo alla protezione dei dati fin dalla progettazione e alla protezione per impostazione predefinita, in particolare ai fini dell</w:t>
      </w:r>
      <w:r w:rsidR="00BA2FA8" w:rsidRPr="00BA2FA8">
        <w:t>'</w:t>
      </w:r>
      <w:r w:rsidRPr="00BA2FA8">
        <w:t>applicazione dei principi di minimizzazione dei dati e limitazione della finalità, in linea con gli orientamenti del comitato europeo per la protezione dei dati;</w:t>
      </w:r>
    </w:p>
    <w:p w:rsidR="00D523C5" w:rsidRPr="00BA2FA8" w:rsidRDefault="00D523C5" w:rsidP="00D523C5">
      <w:pPr>
        <w:pStyle w:val="NormalHanging12a"/>
        <w:ind w:left="1" w:firstLine="0"/>
      </w:pPr>
      <w:r w:rsidRPr="00BA2FA8">
        <w:rPr>
          <w:b/>
          <w:i/>
        </w:rPr>
        <w:t>ORIENTAMENTI</w:t>
      </w:r>
    </w:p>
    <w:p w:rsidR="00D523C5" w:rsidRPr="00BA2FA8" w:rsidRDefault="00D523C5" w:rsidP="00D523C5">
      <w:pPr>
        <w:pStyle w:val="NormalHanging12a"/>
        <w:ind w:hanging="566"/>
      </w:pPr>
      <w:r w:rsidRPr="00BA2FA8">
        <w:t>19.</w:t>
      </w:r>
      <w:r w:rsidRPr="00BA2FA8">
        <w:tab/>
        <w:t>invita il comitato europeo per la protezione dei dati a elaborare norme e orientamenti che contribuiscano alla messa in pratica dei requisiti in materia di protezione dei dati, in particolare per quanto concerne le valutazioni d</w:t>
      </w:r>
      <w:r w:rsidR="00BA2FA8" w:rsidRPr="00BA2FA8">
        <w:t>'</w:t>
      </w:r>
      <w:r w:rsidRPr="00BA2FA8">
        <w:t>impatto sulla protezione dei dati (articolo 35), le informazioni da fornire agli interessati (articoli 12, 13 e 14), l</w:t>
      </w:r>
      <w:r w:rsidR="00BA2FA8" w:rsidRPr="00BA2FA8">
        <w:t>'</w:t>
      </w:r>
      <w:r w:rsidRPr="00BA2FA8">
        <w:t>esercizio dei diritti degli interessati (articoli 15, 16, 17, 18, 20 e 21) e i registri delle attività di trattamento (articolo 30);</w:t>
      </w:r>
    </w:p>
    <w:p w:rsidR="00D523C5" w:rsidRPr="00BA2FA8" w:rsidRDefault="00D523C5" w:rsidP="00D523C5">
      <w:pPr>
        <w:pStyle w:val="NormalHanging12a"/>
        <w:ind w:left="1" w:firstLine="0"/>
      </w:pPr>
      <w:r w:rsidRPr="00BA2FA8">
        <w:rPr>
          <w:b/>
          <w:i/>
        </w:rPr>
        <w:t>FLUSSI INTERNAZIONALI DI DATI PERSONALI E COOPERAZIONE</w:t>
      </w:r>
    </w:p>
    <w:p w:rsidR="00D523C5" w:rsidRPr="00BA2FA8" w:rsidRDefault="00D523C5" w:rsidP="00D523C5">
      <w:pPr>
        <w:pStyle w:val="NormalHanging12a"/>
        <w:ind w:hanging="566"/>
      </w:pPr>
      <w:r w:rsidRPr="00BA2FA8">
        <w:t>20.</w:t>
      </w:r>
      <w:r w:rsidRPr="00BA2FA8">
        <w:tab/>
        <w:t>sottolinea l</w:t>
      </w:r>
      <w:r w:rsidR="00BA2FA8" w:rsidRPr="00BA2FA8">
        <w:t>'</w:t>
      </w:r>
      <w:r w:rsidRPr="00BA2FA8">
        <w:t>importanza di consentire la libera circolazione dei dati personali a livello internazionale senza ridurre il livello di protezione garantito dal GPDR; è favorevole all</w:t>
      </w:r>
      <w:r w:rsidR="00BA2FA8" w:rsidRPr="00BA2FA8">
        <w:t>'</w:t>
      </w:r>
      <w:r w:rsidRPr="00BA2FA8">
        <w:t>approccio della Commissione consistente nell</w:t>
      </w:r>
      <w:r w:rsidR="00BA2FA8" w:rsidRPr="00BA2FA8">
        <w:t>'</w:t>
      </w:r>
      <w:r w:rsidRPr="00BA2FA8">
        <w:t>affrontare la protezione dei dati e i flussi di dati personali separatamente dagli accordi commerciali;</w:t>
      </w:r>
    </w:p>
    <w:p w:rsidR="00D523C5" w:rsidRPr="00BA2FA8" w:rsidRDefault="00D523C5" w:rsidP="00D523C5">
      <w:pPr>
        <w:pStyle w:val="NormalHanging12a"/>
        <w:ind w:hanging="566"/>
      </w:pPr>
      <w:r w:rsidRPr="00BA2FA8">
        <w:t>21.</w:t>
      </w:r>
      <w:r w:rsidRPr="00BA2FA8">
        <w:tab/>
        <w:t>sottolinea che le decisioni di adeguatezza non dovrebbero essere di natura politica, bensì giuridica;</w:t>
      </w:r>
    </w:p>
    <w:p w:rsidR="00D523C5" w:rsidRPr="00BA2FA8" w:rsidRDefault="00D523C5" w:rsidP="00D523C5">
      <w:pPr>
        <w:pStyle w:val="NormalHanging12a"/>
        <w:ind w:hanging="566"/>
      </w:pPr>
      <w:r w:rsidRPr="00BA2FA8">
        <w:t>22.</w:t>
      </w:r>
      <w:r w:rsidRPr="00BA2FA8">
        <w:tab/>
        <w:t>invita la Commissione a pubblicare i criteri utilizzati per stabilire se un paese terzo offra un livello di protezione "sostanzialmente equivalente" a quello assicurato all</w:t>
      </w:r>
      <w:r w:rsidR="00BA2FA8" w:rsidRPr="00BA2FA8">
        <w:t>'</w:t>
      </w:r>
      <w:r w:rsidRPr="00BA2FA8">
        <w:t>interno dell</w:t>
      </w:r>
      <w:r w:rsidR="00BA2FA8" w:rsidRPr="00BA2FA8">
        <w:t>'</w:t>
      </w:r>
      <w:r w:rsidRPr="00BA2FA8">
        <w:t>Unione, segnatamente per quanto concerne l</w:t>
      </w:r>
      <w:r w:rsidR="00BA2FA8" w:rsidRPr="00BA2FA8">
        <w:t>'</w:t>
      </w:r>
      <w:r w:rsidRPr="00BA2FA8">
        <w:t>accesso ai mezzi di ricorso e l</w:t>
      </w:r>
      <w:r w:rsidR="00BA2FA8" w:rsidRPr="00BA2FA8">
        <w:t>'</w:t>
      </w:r>
      <w:r w:rsidRPr="00BA2FA8">
        <w:t>accesso ai dati da parte del governo;</w:t>
      </w:r>
    </w:p>
    <w:p w:rsidR="00D523C5" w:rsidRPr="00BA2FA8" w:rsidRDefault="00D523C5" w:rsidP="00D523C5">
      <w:pPr>
        <w:pStyle w:val="NormalHanging12a"/>
        <w:ind w:hanging="566"/>
      </w:pPr>
      <w:r w:rsidRPr="00BA2FA8">
        <w:t>23.</w:t>
      </w:r>
      <w:r w:rsidRPr="00BA2FA8">
        <w:tab/>
        <w:t>ribadisce che i programmi di sorveglianza di massa che prevedono la raccolta di dati in blocco impediscono i riscontri relativi all</w:t>
      </w:r>
      <w:r w:rsidR="00BA2FA8" w:rsidRPr="00BA2FA8">
        <w:t>'</w:t>
      </w:r>
      <w:r w:rsidRPr="00BA2FA8">
        <w:t>adeguatezza;</w:t>
      </w:r>
    </w:p>
    <w:p w:rsidR="00D523C5" w:rsidRPr="00BA2FA8" w:rsidRDefault="00D523C5" w:rsidP="00D523C5">
      <w:pPr>
        <w:pStyle w:val="NormalHanging12a"/>
        <w:ind w:hanging="566"/>
      </w:pPr>
      <w:r w:rsidRPr="00BA2FA8">
        <w:t>24.</w:t>
      </w:r>
      <w:r w:rsidRPr="00BA2FA8">
        <w:tab/>
        <w:t>invita le autorità di protezione dei dati a valutare in modo sistematico se le norme in materia di protezione dei dati siano applicate nella pratica nei paesi terzi, in linea con la giurisprudenza della Corte di giustizia dell</w:t>
      </w:r>
      <w:r w:rsidR="00BA2FA8" w:rsidRPr="00BA2FA8">
        <w:t>'</w:t>
      </w:r>
      <w:r w:rsidRPr="00BA2FA8">
        <w:t>Unione europea;</w:t>
      </w:r>
    </w:p>
    <w:p w:rsidR="00D523C5" w:rsidRPr="00BA2FA8" w:rsidRDefault="00D523C5" w:rsidP="00D523C5">
      <w:pPr>
        <w:pStyle w:val="NormalHanging12a"/>
        <w:ind w:hanging="566"/>
      </w:pPr>
      <w:r w:rsidRPr="00BA2FA8">
        <w:t>25.</w:t>
      </w:r>
      <w:r w:rsidRPr="00BA2FA8">
        <w:tab/>
        <w:t>esorta la Commissione a pubblicare senza indebito ritardo il riesame delle decisioni di adeguatezza adottate a norma della direttiva del 1995;</w:t>
      </w:r>
    </w:p>
    <w:p w:rsidR="00D523C5" w:rsidRPr="00BA2FA8" w:rsidRDefault="00D523C5" w:rsidP="00D523C5">
      <w:pPr>
        <w:pStyle w:val="NormalHanging12a"/>
        <w:ind w:left="1" w:firstLine="0"/>
      </w:pPr>
      <w:r w:rsidRPr="00BA2FA8">
        <w:rPr>
          <w:b/>
          <w:i/>
        </w:rPr>
        <w:t>FUTURA LEGISLAZIONE DELL</w:t>
      </w:r>
      <w:r w:rsidR="00BA2FA8" w:rsidRPr="00BA2FA8">
        <w:rPr>
          <w:b/>
          <w:i/>
        </w:rPr>
        <w:t>'</w:t>
      </w:r>
      <w:r w:rsidRPr="00BA2FA8">
        <w:rPr>
          <w:b/>
          <w:i/>
        </w:rPr>
        <w:t>UNIONE</w:t>
      </w:r>
    </w:p>
    <w:p w:rsidR="00D523C5" w:rsidRPr="00BA2FA8" w:rsidRDefault="00D523C5" w:rsidP="00D523C5">
      <w:pPr>
        <w:pStyle w:val="NormalHanging12a"/>
        <w:ind w:hanging="566"/>
      </w:pPr>
      <w:r w:rsidRPr="00BA2FA8">
        <w:t>26.</w:t>
      </w:r>
      <w:r w:rsidRPr="00BA2FA8">
        <w:tab/>
        <w:t>ricorda alla Commissione l</w:t>
      </w:r>
      <w:r w:rsidR="00BA2FA8" w:rsidRPr="00BA2FA8">
        <w:t>'</w:t>
      </w:r>
      <w:r w:rsidRPr="00BA2FA8">
        <w:t>obbligo di garantire che le misure che saranno presentate nelle prossime proposte legislative, in particolare quelle relative alla governance dei dati, alla legge sui dati, alla legge sui servizi digitali e all</w:t>
      </w:r>
      <w:r w:rsidR="00BA2FA8" w:rsidRPr="00BA2FA8">
        <w:t>'</w:t>
      </w:r>
      <w:r w:rsidRPr="00BA2FA8">
        <w:t>intelligenza artificiale, siano conformi al regolamento (UE) 2016/679 (GDPR) e alla direttiva (UE) 2016/680;</w:t>
      </w:r>
    </w:p>
    <w:p w:rsidR="00D523C5" w:rsidRPr="00BA2FA8" w:rsidRDefault="00D523C5" w:rsidP="00D523C5">
      <w:pPr>
        <w:pStyle w:val="NormalHanging12a"/>
        <w:ind w:left="1" w:firstLine="0"/>
      </w:pPr>
      <w:r w:rsidRPr="00BA2FA8">
        <w:rPr>
          <w:b/>
          <w:i/>
        </w:rPr>
        <w:t>REGOLAMENTO E-PRIVACY</w:t>
      </w:r>
    </w:p>
    <w:p w:rsidR="00D523C5" w:rsidRPr="00BA2FA8" w:rsidRDefault="00D523C5" w:rsidP="00D523C5">
      <w:pPr>
        <w:pStyle w:val="NormalHanging12a"/>
        <w:ind w:hanging="566"/>
      </w:pPr>
      <w:r w:rsidRPr="00BA2FA8">
        <w:t>27.</w:t>
      </w:r>
      <w:r w:rsidRPr="00BA2FA8">
        <w:tab/>
        <w:t>esprime profonda preoccupazione per la mancata attuazione da parte degli Stati membri della direttiva e-privacy alla luce delle modifiche introdotte dal GDPR; invita la Commissione ad accelerare la propria valutazione e ad avviare procedure di infrazione nei confronti degli Stati membri che non hanno attuato correttamente la direttiva e-privacy;</w:t>
      </w:r>
    </w:p>
    <w:p w:rsidR="00866D70" w:rsidRPr="00BA2FA8" w:rsidRDefault="00D523C5" w:rsidP="00D523C5">
      <w:pPr>
        <w:pStyle w:val="NormalHanging12a"/>
      </w:pPr>
      <w:r w:rsidRPr="00BA2FA8">
        <w:t>28.</w:t>
      </w:r>
      <w:r w:rsidRPr="00BA2FA8">
        <w:tab/>
        <w:t>incarica il suo Presidente di trasmettere la presente risoluzione alla Commissione, al Consiglio europeo, ai governi e ai parlamenti nazionali, al comitato europeo per la protezione dei dati e al Garante europeo della protezione dei dati.</w:t>
      </w:r>
    </w:p>
    <w:sectPr w:rsidR="00866D70" w:rsidRPr="00BA2FA8" w:rsidSect="00910F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endnotePr>
        <w:numFmt w:val="decimal"/>
      </w:endnotePr>
      <w:pgSz w:w="11906" w:h="16838" w:code="9"/>
      <w:pgMar w:top="1134" w:right="1418" w:bottom="1418" w:left="1418" w:header="1134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A7E" w:rsidRPr="00747A7E" w:rsidRDefault="00747A7E">
      <w:r w:rsidRPr="00747A7E">
        <w:separator/>
      </w:r>
    </w:p>
  </w:endnote>
  <w:endnote w:type="continuationSeparator" w:id="0">
    <w:p w:rsidR="00747A7E" w:rsidRPr="00747A7E" w:rsidRDefault="00747A7E">
      <w:r w:rsidRPr="00747A7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219" w:rsidRPr="00D878D4" w:rsidRDefault="00A90219" w:rsidP="00EC05E9">
    <w:pPr>
      <w:pStyle w:val="EPFooter"/>
      <w:rPr>
        <w:lang w:val="en-GB"/>
      </w:rPr>
    </w:pPr>
    <w:r w:rsidRPr="00D878D4">
      <w:rPr>
        <w:lang w:val="en-GB"/>
      </w:rPr>
      <w:t>PE</w:t>
    </w:r>
    <w:r w:rsidRPr="00D878D4">
      <w:rPr>
        <w:rStyle w:val="HideTWBExt"/>
        <w:noProof w:val="0"/>
        <w:lang w:val="en-GB"/>
      </w:rPr>
      <w:t>&lt;NoPE&gt;</w:t>
    </w:r>
    <w:r w:rsidR="00D523C5" w:rsidRPr="00D878D4">
      <w:rPr>
        <w:lang w:val="en-GB"/>
      </w:rPr>
      <w:t>660.347</w:t>
    </w:r>
    <w:r w:rsidRPr="00D878D4">
      <w:rPr>
        <w:rStyle w:val="HideTWBExt"/>
        <w:noProof w:val="0"/>
        <w:lang w:val="en-GB"/>
      </w:rPr>
      <w:t>&lt;/NoPE&gt;&lt;Version&gt;</w:t>
    </w:r>
    <w:r w:rsidR="00747A7E" w:rsidRPr="00D878D4">
      <w:rPr>
        <w:lang w:val="en-GB"/>
      </w:rPr>
      <w:t>v</w:t>
    </w:r>
    <w:r w:rsidR="00D523C5" w:rsidRPr="00D878D4">
      <w:rPr>
        <w:lang w:val="en-GB"/>
      </w:rPr>
      <w:t>01-00</w:t>
    </w:r>
    <w:r w:rsidRPr="00D878D4">
      <w:rPr>
        <w:rStyle w:val="HideTWBExt"/>
        <w:noProof w:val="0"/>
        <w:lang w:val="en-GB"/>
      </w:rPr>
      <w:t>&lt;/Version&gt;</w:t>
    </w:r>
    <w:r w:rsidRPr="00D878D4">
      <w:rPr>
        <w:lang w:val="en-GB"/>
      </w:rPr>
      <w:tab/>
    </w:r>
    <w:r w:rsidR="00866D70" w:rsidRPr="00747A7E">
      <w:fldChar w:fldCharType="begin"/>
    </w:r>
    <w:r w:rsidR="00866D70" w:rsidRPr="00D878D4">
      <w:rPr>
        <w:lang w:val="en-GB"/>
      </w:rPr>
      <w:instrText xml:space="preserve"> PAGE </w:instrText>
    </w:r>
    <w:r w:rsidR="00866D70" w:rsidRPr="00747A7E">
      <w:fldChar w:fldCharType="separate"/>
    </w:r>
    <w:r w:rsidR="005440C7">
      <w:rPr>
        <w:noProof/>
        <w:lang w:val="en-GB"/>
      </w:rPr>
      <w:t>6</w:t>
    </w:r>
    <w:r w:rsidR="00866D70" w:rsidRPr="00747A7E">
      <w:fldChar w:fldCharType="end"/>
    </w:r>
    <w:r w:rsidR="00866D70" w:rsidRPr="00D878D4">
      <w:rPr>
        <w:lang w:val="en-GB"/>
      </w:rPr>
      <w:t>/</w:t>
    </w:r>
    <w:r w:rsidR="008F5EFB" w:rsidRPr="00747A7E">
      <w:fldChar w:fldCharType="begin"/>
    </w:r>
    <w:r w:rsidR="008F5EFB" w:rsidRPr="00D878D4">
      <w:rPr>
        <w:lang w:val="en-GB"/>
      </w:rPr>
      <w:instrText xml:space="preserve"> NUMPAGES </w:instrText>
    </w:r>
    <w:r w:rsidR="008F5EFB" w:rsidRPr="00747A7E">
      <w:fldChar w:fldCharType="separate"/>
    </w:r>
    <w:r w:rsidR="005440C7">
      <w:rPr>
        <w:noProof/>
        <w:lang w:val="en-GB"/>
      </w:rPr>
      <w:t>6</w:t>
    </w:r>
    <w:r w:rsidR="008F5EFB" w:rsidRPr="00747A7E">
      <w:fldChar w:fldCharType="end"/>
    </w:r>
    <w:r w:rsidRPr="00D878D4">
      <w:rPr>
        <w:lang w:val="en-GB"/>
      </w:rPr>
      <w:tab/>
    </w:r>
    <w:r w:rsidRPr="00D878D4">
      <w:rPr>
        <w:rStyle w:val="HideTWBExt"/>
        <w:noProof w:val="0"/>
        <w:lang w:val="en-GB"/>
      </w:rPr>
      <w:t>&lt;PathFdR&gt;</w:t>
    </w:r>
    <w:r w:rsidR="00D523C5" w:rsidRPr="00D878D4">
      <w:rPr>
        <w:lang w:val="en-GB"/>
      </w:rPr>
      <w:t>RE\1218403IT.docx</w:t>
    </w:r>
    <w:r w:rsidRPr="00D878D4">
      <w:rPr>
        <w:rStyle w:val="HideTWBExt"/>
        <w:noProof w:val="0"/>
        <w:lang w:val="en-GB"/>
      </w:rPr>
      <w:t>&lt;/PathFdR&gt;</w:t>
    </w:r>
  </w:p>
  <w:p w:rsidR="00A90219" w:rsidRPr="00D878D4" w:rsidRDefault="008F5EFB">
    <w:pPr>
      <w:pStyle w:val="EPFooter2"/>
      <w:rPr>
        <w:lang w:val="en-GB"/>
      </w:rPr>
    </w:pPr>
    <w:r w:rsidRPr="00747A7E">
      <w:fldChar w:fldCharType="begin"/>
    </w:r>
    <w:r w:rsidRPr="00D878D4">
      <w:rPr>
        <w:lang w:val="en-GB"/>
      </w:rPr>
      <w:instrText xml:space="preserve"> DOCPROPERTY "&lt;Extension&gt;" </w:instrText>
    </w:r>
    <w:r w:rsidRPr="00747A7E">
      <w:fldChar w:fldCharType="separate"/>
    </w:r>
    <w:r w:rsidR="005440C7">
      <w:rPr>
        <w:lang w:val="en-GB"/>
      </w:rPr>
      <w:t>IT</w:t>
    </w:r>
    <w:r w:rsidRPr="00747A7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219" w:rsidRPr="00D878D4" w:rsidRDefault="00A90219" w:rsidP="00EC05E9">
    <w:pPr>
      <w:pStyle w:val="EPFooter"/>
      <w:rPr>
        <w:lang w:val="en-GB"/>
      </w:rPr>
    </w:pPr>
    <w:r w:rsidRPr="00D878D4">
      <w:rPr>
        <w:rStyle w:val="HideTWBExt"/>
        <w:noProof w:val="0"/>
        <w:lang w:val="en-GB"/>
      </w:rPr>
      <w:t>&lt;PathFdR&gt;</w:t>
    </w:r>
    <w:r w:rsidR="00D523C5" w:rsidRPr="00D878D4">
      <w:rPr>
        <w:lang w:val="en-GB"/>
      </w:rPr>
      <w:t>RE\1218403IT.docx</w:t>
    </w:r>
    <w:r w:rsidRPr="00D878D4">
      <w:rPr>
        <w:rStyle w:val="HideTWBExt"/>
        <w:noProof w:val="0"/>
        <w:lang w:val="en-GB"/>
      </w:rPr>
      <w:t>&lt;/PathFdR&gt;</w:t>
    </w:r>
    <w:r w:rsidRPr="00D878D4">
      <w:rPr>
        <w:lang w:val="en-GB"/>
      </w:rPr>
      <w:tab/>
    </w:r>
    <w:r w:rsidR="00866D70" w:rsidRPr="00747A7E">
      <w:fldChar w:fldCharType="begin"/>
    </w:r>
    <w:r w:rsidR="00866D70" w:rsidRPr="00D878D4">
      <w:rPr>
        <w:lang w:val="en-GB"/>
      </w:rPr>
      <w:instrText xml:space="preserve"> PAGE </w:instrText>
    </w:r>
    <w:r w:rsidR="00866D70" w:rsidRPr="00747A7E">
      <w:fldChar w:fldCharType="separate"/>
    </w:r>
    <w:r w:rsidR="005440C7">
      <w:rPr>
        <w:noProof/>
        <w:lang w:val="en-GB"/>
      </w:rPr>
      <w:t>5</w:t>
    </w:r>
    <w:r w:rsidR="00866D70" w:rsidRPr="00747A7E">
      <w:fldChar w:fldCharType="end"/>
    </w:r>
    <w:r w:rsidR="00866D70" w:rsidRPr="00D878D4">
      <w:rPr>
        <w:lang w:val="en-GB"/>
      </w:rPr>
      <w:t>/</w:t>
    </w:r>
    <w:r w:rsidR="008F5EFB" w:rsidRPr="00747A7E">
      <w:fldChar w:fldCharType="begin"/>
    </w:r>
    <w:r w:rsidR="008F5EFB" w:rsidRPr="00D878D4">
      <w:rPr>
        <w:lang w:val="en-GB"/>
      </w:rPr>
      <w:instrText xml:space="preserve"> NUMPAGES </w:instrText>
    </w:r>
    <w:r w:rsidR="008F5EFB" w:rsidRPr="00747A7E">
      <w:fldChar w:fldCharType="separate"/>
    </w:r>
    <w:r w:rsidR="005440C7">
      <w:rPr>
        <w:noProof/>
        <w:lang w:val="en-GB"/>
      </w:rPr>
      <w:t>6</w:t>
    </w:r>
    <w:r w:rsidR="008F5EFB" w:rsidRPr="00747A7E">
      <w:fldChar w:fldCharType="end"/>
    </w:r>
    <w:r w:rsidRPr="00D878D4">
      <w:rPr>
        <w:lang w:val="en-GB"/>
      </w:rPr>
      <w:tab/>
      <w:t>PE</w:t>
    </w:r>
    <w:r w:rsidRPr="00D878D4">
      <w:rPr>
        <w:rStyle w:val="HideTWBExt"/>
        <w:noProof w:val="0"/>
        <w:lang w:val="en-GB"/>
      </w:rPr>
      <w:t>&lt;NoPE&gt;</w:t>
    </w:r>
    <w:r w:rsidR="00D523C5" w:rsidRPr="00D878D4">
      <w:rPr>
        <w:lang w:val="en-GB"/>
      </w:rPr>
      <w:t>660.347</w:t>
    </w:r>
    <w:r w:rsidRPr="00D878D4">
      <w:rPr>
        <w:rStyle w:val="HideTWBExt"/>
        <w:noProof w:val="0"/>
        <w:lang w:val="en-GB"/>
      </w:rPr>
      <w:t>&lt;/NoPE&gt;&lt;Version&gt;</w:t>
    </w:r>
    <w:r w:rsidR="00747A7E" w:rsidRPr="00D878D4">
      <w:rPr>
        <w:lang w:val="en-GB"/>
      </w:rPr>
      <w:t>v</w:t>
    </w:r>
    <w:r w:rsidR="00D523C5" w:rsidRPr="00D878D4">
      <w:rPr>
        <w:lang w:val="en-GB"/>
      </w:rPr>
      <w:t>01-00</w:t>
    </w:r>
    <w:r w:rsidRPr="00D878D4">
      <w:rPr>
        <w:rStyle w:val="HideTWBExt"/>
        <w:noProof w:val="0"/>
        <w:lang w:val="en-GB"/>
      </w:rPr>
      <w:t>&lt;/Version&gt;</w:t>
    </w:r>
  </w:p>
  <w:p w:rsidR="00A90219" w:rsidRPr="00D878D4" w:rsidRDefault="00866D70">
    <w:pPr>
      <w:pStyle w:val="EPFooter2"/>
      <w:rPr>
        <w:lang w:val="en-GB"/>
      </w:rPr>
    </w:pPr>
    <w:r w:rsidRPr="00D878D4">
      <w:rPr>
        <w:lang w:val="en-GB"/>
      </w:rPr>
      <w:tab/>
    </w:r>
    <w:r w:rsidR="00A90219" w:rsidRPr="00D878D4">
      <w:rPr>
        <w:lang w:val="en-GB"/>
      </w:rPr>
      <w:tab/>
    </w:r>
    <w:r w:rsidR="008F5EFB" w:rsidRPr="00747A7E">
      <w:fldChar w:fldCharType="begin"/>
    </w:r>
    <w:r w:rsidR="008F5EFB" w:rsidRPr="00D878D4">
      <w:rPr>
        <w:lang w:val="en-GB"/>
      </w:rPr>
      <w:instrText xml:space="preserve"> DOCPROPERTY "&lt;Extension&gt;" </w:instrText>
    </w:r>
    <w:r w:rsidR="008F5EFB" w:rsidRPr="00747A7E">
      <w:fldChar w:fldCharType="separate"/>
    </w:r>
    <w:r w:rsidR="005440C7">
      <w:rPr>
        <w:lang w:val="en-GB"/>
      </w:rPr>
      <w:t>IT</w:t>
    </w:r>
    <w:r w:rsidR="008F5EFB" w:rsidRPr="00747A7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219" w:rsidRPr="00747A7E" w:rsidRDefault="00A90219" w:rsidP="00EC05E9">
    <w:pPr>
      <w:pStyle w:val="EPFooter"/>
    </w:pPr>
    <w:r w:rsidRPr="00747A7E">
      <w:rPr>
        <w:rStyle w:val="HideTWBExt"/>
        <w:noProof w:val="0"/>
      </w:rPr>
      <w:t>&lt;PathFdR&gt;</w:t>
    </w:r>
    <w:r w:rsidR="00D523C5" w:rsidRPr="00D523C5">
      <w:t>RE\1218403IT.docx</w:t>
    </w:r>
    <w:r w:rsidRPr="00747A7E">
      <w:rPr>
        <w:rStyle w:val="HideTWBExt"/>
        <w:noProof w:val="0"/>
      </w:rPr>
      <w:t>&lt;/PathFdR&gt;</w:t>
    </w:r>
    <w:r w:rsidRPr="00747A7E">
      <w:tab/>
    </w:r>
    <w:r w:rsidRPr="00747A7E">
      <w:tab/>
      <w:t>PE</w:t>
    </w:r>
    <w:r w:rsidRPr="00747A7E">
      <w:rPr>
        <w:rStyle w:val="HideTWBExt"/>
        <w:noProof w:val="0"/>
      </w:rPr>
      <w:t>&lt;NoPE&gt;</w:t>
    </w:r>
    <w:r w:rsidR="00D523C5" w:rsidRPr="00D523C5">
      <w:t>660.347</w:t>
    </w:r>
    <w:r w:rsidRPr="00747A7E">
      <w:rPr>
        <w:rStyle w:val="HideTWBExt"/>
        <w:noProof w:val="0"/>
      </w:rPr>
      <w:t>&lt;/NoPE&gt;&lt;Version&gt;</w:t>
    </w:r>
    <w:r w:rsidR="00747A7E" w:rsidRPr="00747A7E">
      <w:t>v</w:t>
    </w:r>
    <w:r w:rsidR="00D523C5" w:rsidRPr="00D523C5">
      <w:t>01-00</w:t>
    </w:r>
    <w:r w:rsidRPr="00747A7E">
      <w:rPr>
        <w:rStyle w:val="HideTWBExt"/>
        <w:noProof w:val="0"/>
      </w:rPr>
      <w:t>&lt;/Version&gt;</w:t>
    </w:r>
  </w:p>
  <w:p w:rsidR="00A90219" w:rsidRPr="00747A7E" w:rsidRDefault="00BA2FA8" w:rsidP="00907285">
    <w:pPr>
      <w:pStyle w:val="EPFooter2"/>
      <w:tabs>
        <w:tab w:val="clear" w:pos="4535"/>
        <w:tab w:val="center" w:pos="4536"/>
      </w:tabs>
    </w:pPr>
    <w:fldSimple w:instr=" DOCPROPERTY &quot;&lt;Extension&gt;&quot; ">
      <w:r w:rsidR="005440C7">
        <w:t>IT</w:t>
      </w:r>
    </w:fldSimple>
    <w:r w:rsidR="00A90219" w:rsidRPr="00747A7E">
      <w:tab/>
    </w:r>
    <w:r w:rsidR="00D523C5">
      <w:rPr>
        <w:b w:val="0"/>
        <w:i/>
        <w:color w:val="C0C0C0"/>
        <w:sz w:val="22"/>
        <w:szCs w:val="22"/>
      </w:rPr>
      <w:t>Unita nella diversità</w:t>
    </w:r>
    <w:r w:rsidR="00A90219" w:rsidRPr="00747A7E">
      <w:tab/>
    </w:r>
    <w:fldSimple w:instr=" DOCPROPERTY &quot;&lt;Extension&gt;&quot; ">
      <w:r w:rsidR="005440C7">
        <w:t>IT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A7E" w:rsidRPr="00747A7E" w:rsidRDefault="00747A7E">
      <w:r w:rsidRPr="00747A7E">
        <w:separator/>
      </w:r>
    </w:p>
  </w:footnote>
  <w:footnote w:type="continuationSeparator" w:id="0">
    <w:p w:rsidR="00747A7E" w:rsidRPr="00747A7E" w:rsidRDefault="00747A7E">
      <w:r w:rsidRPr="00747A7E">
        <w:continuationSeparator/>
      </w:r>
    </w:p>
  </w:footnote>
  <w:footnote w:id="1">
    <w:p w:rsidR="00D523C5" w:rsidRDefault="00D523C5" w:rsidP="00D523C5">
      <w:pPr>
        <w:pStyle w:val="FootnoteText"/>
      </w:pPr>
      <w:r>
        <w:rPr>
          <w:rStyle w:val="FootnoteReference"/>
        </w:rPr>
        <w:footnoteRef/>
      </w:r>
      <w:r>
        <w:t xml:space="preserve"> GU L 119 del 4.5.2016, pagg. 1-88.</w:t>
      </w:r>
    </w:p>
  </w:footnote>
  <w:footnote w:id="2">
    <w:p w:rsidR="00D523C5" w:rsidRDefault="00D523C5" w:rsidP="00D523C5">
      <w:pPr>
        <w:pStyle w:val="FootnoteText"/>
      </w:pPr>
      <w:r>
        <w:rPr>
          <w:rStyle w:val="FootnoteReference"/>
        </w:rPr>
        <w:footnoteRef/>
      </w:r>
      <w:r>
        <w:t xml:space="preserve"> COM(2020) 264 del 24.6.2020.</w:t>
      </w:r>
    </w:p>
  </w:footnote>
  <w:footnote w:id="3">
    <w:p w:rsidR="00D523C5" w:rsidRDefault="00D523C5" w:rsidP="00D523C5">
      <w:pPr>
        <w:pStyle w:val="FootnoteText"/>
      </w:pPr>
      <w:r>
        <w:rPr>
          <w:rStyle w:val="FootnoteReference"/>
        </w:rPr>
        <w:footnoteRef/>
      </w:r>
      <w:r>
        <w:t xml:space="preserve"> COM(2020) 264 del 24.6.2020.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3C5" w:rsidRDefault="00D52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3C5" w:rsidRDefault="00D523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3C5" w:rsidRDefault="00D52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22A8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C0E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B40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525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309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26A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120C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2AA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427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KEY" w:val="LIBE"/>
    <w:docVar w:name="DOCTYPEMNU" w:val=" 1"/>
    <w:docVar w:name="LastEditedSection" w:val=" 1"/>
    <w:docVar w:name="STATMNU" w:val=" 1"/>
    <w:docVar w:name="strDocTypeID" w:val="RE_Statements"/>
    <w:docVar w:name="strSubDir" w:val="1218"/>
    <w:docVar w:name="TXTLANGUE" w:val="IT"/>
    <w:docVar w:name="TXTLANGUEMIN" w:val="it"/>
    <w:docVar w:name="TXTNRPE" w:val="660.347"/>
    <w:docVar w:name="TXTNRRSP" w:val="2020/2717"/>
    <w:docVar w:name="TXTPEorAP" w:val="PE"/>
    <w:docVar w:name="TXTROUTE" w:val="RE\1218403IT.docx"/>
    <w:docVar w:name="TXTVERSION" w:val="01-00"/>
  </w:docVars>
  <w:rsids>
    <w:rsidRoot w:val="00747A7E"/>
    <w:rsid w:val="00037F46"/>
    <w:rsid w:val="00094DDA"/>
    <w:rsid w:val="00117781"/>
    <w:rsid w:val="00167F93"/>
    <w:rsid w:val="001B49A3"/>
    <w:rsid w:val="001B7CFB"/>
    <w:rsid w:val="001C16A7"/>
    <w:rsid w:val="001C62C5"/>
    <w:rsid w:val="001E2450"/>
    <w:rsid w:val="00222BBB"/>
    <w:rsid w:val="002574AA"/>
    <w:rsid w:val="002C7767"/>
    <w:rsid w:val="00303413"/>
    <w:rsid w:val="003772FA"/>
    <w:rsid w:val="00411D03"/>
    <w:rsid w:val="00412503"/>
    <w:rsid w:val="00471D62"/>
    <w:rsid w:val="004B5166"/>
    <w:rsid w:val="004C7207"/>
    <w:rsid w:val="00516BD3"/>
    <w:rsid w:val="005440C7"/>
    <w:rsid w:val="0058312A"/>
    <w:rsid w:val="005D6861"/>
    <w:rsid w:val="00654CBD"/>
    <w:rsid w:val="006726A1"/>
    <w:rsid w:val="006A27B7"/>
    <w:rsid w:val="006F48B8"/>
    <w:rsid w:val="00706BC0"/>
    <w:rsid w:val="00723A0B"/>
    <w:rsid w:val="00747A7E"/>
    <w:rsid w:val="00780A7D"/>
    <w:rsid w:val="007E1E11"/>
    <w:rsid w:val="00814BC6"/>
    <w:rsid w:val="008278C0"/>
    <w:rsid w:val="00866D70"/>
    <w:rsid w:val="008A4052"/>
    <w:rsid w:val="008D7B31"/>
    <w:rsid w:val="008F5EFB"/>
    <w:rsid w:val="00907285"/>
    <w:rsid w:val="00910F7E"/>
    <w:rsid w:val="00981ED6"/>
    <w:rsid w:val="009D24DE"/>
    <w:rsid w:val="00A32337"/>
    <w:rsid w:val="00A4763A"/>
    <w:rsid w:val="00A516B8"/>
    <w:rsid w:val="00A90219"/>
    <w:rsid w:val="00B34A46"/>
    <w:rsid w:val="00B90331"/>
    <w:rsid w:val="00BA2FA8"/>
    <w:rsid w:val="00BC3002"/>
    <w:rsid w:val="00BF2C2D"/>
    <w:rsid w:val="00C23264"/>
    <w:rsid w:val="00CC09D8"/>
    <w:rsid w:val="00D12F64"/>
    <w:rsid w:val="00D44718"/>
    <w:rsid w:val="00D523C5"/>
    <w:rsid w:val="00D878D4"/>
    <w:rsid w:val="00D90D37"/>
    <w:rsid w:val="00DF7943"/>
    <w:rsid w:val="00E53167"/>
    <w:rsid w:val="00EA43FB"/>
    <w:rsid w:val="00EC05E9"/>
    <w:rsid w:val="00ED22B8"/>
    <w:rsid w:val="00F02A2C"/>
    <w:rsid w:val="00F26DE8"/>
    <w:rsid w:val="00F4455A"/>
    <w:rsid w:val="00F7050A"/>
    <w:rsid w:val="00F9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60FED-762A-4631-A734-CE47F7D6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semiHidden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718"/>
    <w:pPr>
      <w:widowControl w:val="0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semiHidden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semiHidden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semiHidden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semiHidden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semiHidden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semiHidden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semiHidden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semiHidden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deTWBExt">
    <w:name w:val="HideTWBExt"/>
    <w:rPr>
      <w:rFonts w:ascii="Arial" w:hAnsi="Arial"/>
      <w:noProof/>
      <w:vanish/>
      <w:color w:val="000080"/>
      <w:sz w:val="20"/>
    </w:rPr>
  </w:style>
  <w:style w:type="paragraph" w:customStyle="1" w:styleId="EPFooter2">
    <w:name w:val="EPFooter2"/>
    <w:basedOn w:val="Normal"/>
    <w:next w:val="Normal"/>
    <w:pPr>
      <w:widowControl/>
      <w:tabs>
        <w:tab w:val="center" w:pos="4535"/>
        <w:tab w:val="right" w:pos="9921"/>
      </w:tabs>
      <w:ind w:left="-850" w:right="-850"/>
    </w:pPr>
    <w:rPr>
      <w:rFonts w:ascii="Arial" w:hAnsi="Arial" w:cs="Arial"/>
      <w:b/>
      <w:sz w:val="48"/>
    </w:rPr>
  </w:style>
  <w:style w:type="paragraph" w:customStyle="1" w:styleId="EPComma">
    <w:name w:val="EPComma"/>
    <w:basedOn w:val="Normal"/>
    <w:rsid w:val="00DF7943"/>
    <w:pPr>
      <w:spacing w:before="480" w:after="240"/>
    </w:pPr>
  </w:style>
  <w:style w:type="paragraph" w:styleId="TOC1">
    <w:name w:val="toc 1"/>
    <w:basedOn w:val="EPComma"/>
    <w:next w:val="EPComma"/>
    <w:autoRedefine/>
    <w:semiHidden/>
  </w:style>
  <w:style w:type="paragraph" w:styleId="TOCHeading">
    <w:name w:val="TOC Heading"/>
    <w:basedOn w:val="Normal"/>
    <w:next w:val="Normal"/>
    <w:semiHidden/>
    <w:qFormat/>
    <w:pPr>
      <w:keepNext/>
      <w:spacing w:before="240" w:after="240"/>
      <w:jc w:val="center"/>
    </w:pPr>
    <w:rPr>
      <w:rFonts w:ascii="Arial" w:hAnsi="Arial"/>
      <w:b/>
    </w:rPr>
  </w:style>
  <w:style w:type="character" w:customStyle="1" w:styleId="HideTWBInt">
    <w:name w:val="HideTWBInt"/>
    <w:rPr>
      <w:rFonts w:ascii="Arial" w:hAnsi="Arial" w:cs="Arial"/>
      <w:vanish/>
      <w:color w:val="808080"/>
      <w:sz w:val="20"/>
    </w:rPr>
  </w:style>
  <w:style w:type="paragraph" w:customStyle="1" w:styleId="NormalBold">
    <w:name w:val="NormalBold"/>
    <w:basedOn w:val="Normal"/>
    <w:rPr>
      <w:b/>
    </w:rPr>
  </w:style>
  <w:style w:type="paragraph" w:customStyle="1" w:styleId="NormalBold12a">
    <w:name w:val="NormalBold12a"/>
    <w:basedOn w:val="Normal"/>
    <w:pPr>
      <w:spacing w:after="240"/>
    </w:pPr>
    <w:rPr>
      <w:b/>
    </w:rPr>
  </w:style>
  <w:style w:type="paragraph" w:customStyle="1" w:styleId="NormalHanging12a">
    <w:name w:val="NormalHanging12a"/>
    <w:basedOn w:val="Normal"/>
    <w:pPr>
      <w:spacing w:after="240"/>
      <w:ind w:left="567" w:hanging="567"/>
    </w:pPr>
  </w:style>
  <w:style w:type="paragraph" w:customStyle="1" w:styleId="CoverBold">
    <w:name w:val="CoverBold"/>
    <w:basedOn w:val="Normal"/>
    <w:rsid w:val="00B90331"/>
    <w:pPr>
      <w:ind w:left="1417"/>
    </w:pPr>
    <w:rPr>
      <w:b/>
    </w:rPr>
  </w:style>
  <w:style w:type="paragraph" w:customStyle="1" w:styleId="CoverNormal">
    <w:name w:val="CoverNormal"/>
    <w:basedOn w:val="Normal"/>
    <w:pPr>
      <w:ind w:left="1418"/>
    </w:pPr>
  </w:style>
  <w:style w:type="paragraph" w:customStyle="1" w:styleId="CoverNormal12a">
    <w:name w:val="CoverNormal12a"/>
    <w:basedOn w:val="Normal"/>
    <w:rsid w:val="00B90331"/>
    <w:pPr>
      <w:spacing w:after="240"/>
      <w:ind w:left="1418"/>
    </w:pPr>
  </w:style>
  <w:style w:type="paragraph" w:customStyle="1" w:styleId="CoverNormal24a">
    <w:name w:val="CoverNormal24a"/>
    <w:basedOn w:val="Normal"/>
    <w:rsid w:val="00B90331"/>
    <w:pPr>
      <w:spacing w:after="480"/>
      <w:ind w:left="1417"/>
    </w:pPr>
  </w:style>
  <w:style w:type="paragraph" w:customStyle="1" w:styleId="CoverDocType24a">
    <w:name w:val="CoverDocType24a"/>
    <w:basedOn w:val="Normal"/>
    <w:rsid w:val="00EC05E9"/>
    <w:pPr>
      <w:spacing w:after="480"/>
      <w:ind w:left="1418"/>
    </w:pPr>
    <w:rPr>
      <w:rFonts w:ascii="Arial" w:hAnsi="Arial"/>
      <w:b/>
      <w:sz w:val="48"/>
    </w:rPr>
  </w:style>
  <w:style w:type="paragraph" w:styleId="Header">
    <w:name w:val="header"/>
    <w:basedOn w:val="Normal"/>
    <w:link w:val="HeaderChar"/>
    <w:semiHidden/>
    <w:rsid w:val="007E1E1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E53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Body">
    <w:name w:val="EPBody"/>
    <w:basedOn w:val="Normal"/>
    <w:rsid w:val="00E53167"/>
    <w:pPr>
      <w:jc w:val="center"/>
    </w:pPr>
    <w:rPr>
      <w:rFonts w:ascii="Arial" w:hAnsi="Arial" w:cs="Arial"/>
      <w:i/>
      <w:sz w:val="22"/>
      <w:szCs w:val="22"/>
    </w:rPr>
  </w:style>
  <w:style w:type="paragraph" w:customStyle="1" w:styleId="LineTop">
    <w:name w:val="LineTop"/>
    <w:basedOn w:val="Normal"/>
    <w:next w:val="Normal"/>
    <w:rsid w:val="00E53167"/>
    <w:pPr>
      <w:pBdr>
        <w:top w:val="single" w:sz="4" w:space="1" w:color="auto"/>
      </w:pBdr>
      <w:jc w:val="center"/>
    </w:pPr>
    <w:rPr>
      <w:rFonts w:ascii="Arial" w:hAnsi="Arial" w:cs="Arial"/>
      <w:sz w:val="16"/>
      <w:szCs w:val="16"/>
    </w:rPr>
  </w:style>
  <w:style w:type="paragraph" w:customStyle="1" w:styleId="LineBottom">
    <w:name w:val="LineBottom"/>
    <w:basedOn w:val="Normal"/>
    <w:next w:val="Normal"/>
    <w:rsid w:val="00094DDA"/>
    <w:pPr>
      <w:pBdr>
        <w:bottom w:val="single" w:sz="4" w:space="1" w:color="auto"/>
      </w:pBdr>
      <w:spacing w:after="240"/>
      <w:jc w:val="center"/>
    </w:pPr>
    <w:rPr>
      <w:rFonts w:ascii="Arial" w:hAnsi="Arial" w:cs="Arial"/>
      <w:sz w:val="16"/>
      <w:szCs w:val="16"/>
    </w:rPr>
  </w:style>
  <w:style w:type="paragraph" w:customStyle="1" w:styleId="EPName">
    <w:name w:val="EPName"/>
    <w:basedOn w:val="Normal"/>
    <w:rsid w:val="00706BC0"/>
    <w:pPr>
      <w:spacing w:before="80" w:after="80"/>
    </w:pPr>
    <w:rPr>
      <w:rFonts w:ascii="Arial Narrow" w:hAnsi="Arial Narrow" w:cs="Arial"/>
      <w:b/>
      <w:sz w:val="32"/>
      <w:szCs w:val="22"/>
    </w:rPr>
  </w:style>
  <w:style w:type="paragraph" w:customStyle="1" w:styleId="EPTerm">
    <w:name w:val="EPTerm"/>
    <w:basedOn w:val="Normal"/>
    <w:next w:val="Normal"/>
    <w:rsid w:val="00706BC0"/>
    <w:pPr>
      <w:spacing w:after="80"/>
    </w:pPr>
    <w:rPr>
      <w:rFonts w:ascii="Arial" w:hAnsi="Arial" w:cs="Arial"/>
      <w:sz w:val="20"/>
      <w:szCs w:val="22"/>
    </w:rPr>
  </w:style>
  <w:style w:type="paragraph" w:customStyle="1" w:styleId="EPLogo">
    <w:name w:val="EPLogo"/>
    <w:basedOn w:val="Normal"/>
    <w:qFormat/>
    <w:rsid w:val="00706BC0"/>
    <w:pPr>
      <w:jc w:val="right"/>
    </w:pPr>
  </w:style>
  <w:style w:type="paragraph" w:customStyle="1" w:styleId="CoverReference">
    <w:name w:val="CoverReference"/>
    <w:basedOn w:val="Normal"/>
    <w:rsid w:val="00094DDA"/>
    <w:pPr>
      <w:spacing w:before="1080"/>
      <w:jc w:val="right"/>
    </w:pPr>
    <w:rPr>
      <w:rFonts w:ascii="Arial" w:hAnsi="Arial" w:cs="Arial"/>
      <w:b/>
    </w:rPr>
  </w:style>
  <w:style w:type="paragraph" w:customStyle="1" w:styleId="CoverDate">
    <w:name w:val="CoverDate"/>
    <w:basedOn w:val="Normal"/>
    <w:rsid w:val="00094DDA"/>
    <w:pPr>
      <w:spacing w:before="240" w:after="1200"/>
    </w:pPr>
  </w:style>
  <w:style w:type="paragraph" w:customStyle="1" w:styleId="EPFooter">
    <w:name w:val="EPFooter"/>
    <w:basedOn w:val="Normal"/>
    <w:rsid w:val="00EC05E9"/>
    <w:pPr>
      <w:tabs>
        <w:tab w:val="center" w:pos="4535"/>
        <w:tab w:val="right" w:pos="9071"/>
      </w:tabs>
      <w:spacing w:before="240" w:after="240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7E1E11"/>
    <w:rPr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523C5"/>
    <w:pPr>
      <w:widowControl/>
      <w:jc w:val="both"/>
    </w:pPr>
    <w:rPr>
      <w:rFonts w:eastAsiaTheme="minorHAns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23C5"/>
    <w:rPr>
      <w:rFonts w:eastAsiaTheme="minorHAns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D523C5"/>
    <w:rPr>
      <w:vertAlign w:val="superscript"/>
    </w:rPr>
  </w:style>
  <w:style w:type="paragraph" w:styleId="Footer">
    <w:name w:val="footer"/>
    <w:basedOn w:val="Normal"/>
    <w:link w:val="FooterChar"/>
    <w:semiHidden/>
    <w:rsid w:val="00D523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D523C5"/>
    <w:rPr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1693</Words>
  <Characters>10151</Characters>
  <Application>Microsoft Office Word</Application>
  <DocSecurity>0</DocSecurity>
  <Lines>178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RE_Statements</vt:lpstr>
    </vt:vector>
  </TitlesOfParts>
  <Company/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RE_Statements</dc:title>
  <dc:subject/>
  <dc:creator>GRIFFINI Ivana</dc:creator>
  <cp:keywords/>
  <dc:description/>
  <cp:lastModifiedBy>MICHELINI Valentina</cp:lastModifiedBy>
  <cp:revision>2</cp:revision>
  <cp:lastPrinted>2004-11-19T15:55:00Z</cp:lastPrinted>
  <dcterms:created xsi:type="dcterms:W3CDTF">2020-11-30T16:40:00Z</dcterms:created>
  <dcterms:modified xsi:type="dcterms:W3CDTF">2020-11-30T16:40:00Z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with">
    <vt:lpwstr>9.9.1 Build [20200705]</vt:lpwstr>
  </property>
  <property fmtid="{D5CDD505-2E9C-101B-9397-08002B2CF9AE}" pid="3" name="LastEdited with">
    <vt:lpwstr>9.9.1 Build [20200705]</vt:lpwstr>
  </property>
  <property fmtid="{D5CDD505-2E9C-101B-9397-08002B2CF9AE}" pid="4" name="&lt;FdR&gt;">
    <vt:lpwstr>1218403</vt:lpwstr>
  </property>
  <property fmtid="{D5CDD505-2E9C-101B-9397-08002B2CF9AE}" pid="5" name="&lt;Type&gt;">
    <vt:lpwstr>RE</vt:lpwstr>
  </property>
  <property fmtid="{D5CDD505-2E9C-101B-9397-08002B2CF9AE}" pid="6" name="&lt;ModelCod&gt;">
    <vt:lpwstr>\\eiciLUXpr1\pdocep$\DocEP\DOCS\General\RE\RE_Statements.dotx(17/04/2020 18:29:07)</vt:lpwstr>
  </property>
  <property fmtid="{D5CDD505-2E9C-101B-9397-08002B2CF9AE}" pid="7" name="&lt;ModelTra&gt;">
    <vt:lpwstr>\\eiciLUXpr1\pdocep$\DocEP\TRANSFIL\IT\RE_Statements.IT(27/06/2019 14:50:02)</vt:lpwstr>
  </property>
  <property fmtid="{D5CDD505-2E9C-101B-9397-08002B2CF9AE}" pid="8" name="&lt;Model&gt;">
    <vt:lpwstr>RE_Statements</vt:lpwstr>
  </property>
  <property fmtid="{D5CDD505-2E9C-101B-9397-08002B2CF9AE}" pid="9" name="FooterPath">
    <vt:lpwstr>RE\1218403IT.docx</vt:lpwstr>
  </property>
  <property fmtid="{D5CDD505-2E9C-101B-9397-08002B2CF9AE}" pid="10" name="PE number">
    <vt:lpwstr>660.347</vt:lpwstr>
  </property>
  <property fmtid="{D5CDD505-2E9C-101B-9397-08002B2CF9AE}" pid="11" name="Bookout">
    <vt:lpwstr>OK - 2020/11/30 17:40</vt:lpwstr>
  </property>
  <property fmtid="{D5CDD505-2E9C-101B-9397-08002B2CF9AE}" pid="12" name="SDLStudio">
    <vt:lpwstr/>
  </property>
  <property fmtid="{D5CDD505-2E9C-101B-9397-08002B2CF9AE}" pid="13" name="&lt;Extension&gt;">
    <vt:lpwstr>IT</vt:lpwstr>
  </property>
</Properties>
</file>