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3C5AC2" w:rsidTr="00C85D0F">
        <w:trPr>
          <w:trHeight w:hRule="exact" w:val="1418"/>
        </w:trPr>
        <w:tc>
          <w:tcPr>
            <w:tcW w:w="6804" w:type="dxa"/>
            <w:shd w:val="clear" w:color="auto" w:fill="auto"/>
            <w:vAlign w:val="center"/>
          </w:tcPr>
          <w:p w:rsidR="008F5EFB" w:rsidRPr="003C5AC2" w:rsidRDefault="00674856" w:rsidP="00C85D0F">
            <w:pPr>
              <w:pStyle w:val="EPName"/>
            </w:pPr>
            <w:r w:rsidRPr="003C5AC2">
              <w:t>Európai Parlament</w:t>
            </w:r>
          </w:p>
          <w:p w:rsidR="008F5EFB" w:rsidRPr="003C5AC2" w:rsidRDefault="002C1F91" w:rsidP="002C1F91">
            <w:pPr>
              <w:pStyle w:val="EPTerm"/>
            </w:pPr>
            <w:r w:rsidRPr="003C5AC2">
              <w:t>2019-2024</w:t>
            </w:r>
          </w:p>
        </w:tc>
        <w:tc>
          <w:tcPr>
            <w:tcW w:w="2268" w:type="dxa"/>
            <w:shd w:val="clear" w:color="auto" w:fill="auto"/>
          </w:tcPr>
          <w:p w:rsidR="008F5EFB" w:rsidRPr="003C5AC2" w:rsidRDefault="008F5EFB" w:rsidP="00C85D0F">
            <w:pPr>
              <w:pStyle w:val="EPLogo"/>
            </w:pPr>
            <w:r w:rsidRPr="003C5AC2">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3C5AC2" w:rsidRDefault="00E53167" w:rsidP="00E53167">
      <w:pPr>
        <w:pStyle w:val="LineTop"/>
      </w:pPr>
    </w:p>
    <w:p w:rsidR="00E53167" w:rsidRPr="003C5AC2" w:rsidRDefault="002C1F91" w:rsidP="00E53167">
      <w:pPr>
        <w:pStyle w:val="EPBody"/>
      </w:pPr>
      <w:r w:rsidRPr="003C5AC2">
        <w:rPr>
          <w:rStyle w:val="HideTWBInt"/>
        </w:rPr>
        <w:t>{LIBE}</w:t>
      </w:r>
      <w:r w:rsidRPr="003C5AC2">
        <w:t>Állampolgári Jogi, Bel- és Igazságügyi Bizottság</w:t>
      </w:r>
    </w:p>
    <w:p w:rsidR="00094DDA" w:rsidRPr="003C5AC2" w:rsidRDefault="00094DDA" w:rsidP="00094DDA">
      <w:pPr>
        <w:pStyle w:val="LineBottom"/>
      </w:pPr>
    </w:p>
    <w:p w:rsidR="00094DDA" w:rsidRPr="003C5AC2" w:rsidRDefault="00094DDA" w:rsidP="00094DDA">
      <w:pPr>
        <w:pStyle w:val="CoverReference"/>
      </w:pPr>
      <w:r w:rsidRPr="003C5AC2">
        <w:rPr>
          <w:rStyle w:val="HideTWBExt"/>
          <w:b w:val="0"/>
          <w:noProof w:val="0"/>
        </w:rPr>
        <w:t>&lt;NoDocSe&gt;</w:t>
      </w:r>
      <w:r w:rsidRPr="003C5AC2">
        <w:t>2020/2717(RSP)</w:t>
      </w:r>
      <w:r w:rsidRPr="003C5AC2">
        <w:rPr>
          <w:rStyle w:val="HideTWBExt"/>
          <w:b w:val="0"/>
          <w:noProof w:val="0"/>
        </w:rPr>
        <w:t>&lt;/NoDocSe&gt;</w:t>
      </w:r>
    </w:p>
    <w:p w:rsidR="00094DDA" w:rsidRPr="003C5AC2" w:rsidRDefault="00094DDA" w:rsidP="00094DDA">
      <w:pPr>
        <w:pStyle w:val="CoverDate"/>
      </w:pPr>
      <w:r w:rsidRPr="003C5AC2">
        <w:rPr>
          <w:rStyle w:val="HideTWBExt"/>
          <w:noProof w:val="0"/>
        </w:rPr>
        <w:t>&lt;Date&gt;</w:t>
      </w:r>
      <w:r w:rsidRPr="003C5AC2">
        <w:t>...</w:t>
      </w:r>
      <w:r w:rsidRPr="003C5AC2">
        <w:rPr>
          <w:rStyle w:val="HideTWBExt"/>
          <w:noProof w:val="0"/>
        </w:rPr>
        <w:t>&lt;/Date&gt;</w:t>
      </w:r>
    </w:p>
    <w:p w:rsidR="00814BC6" w:rsidRPr="003C5AC2" w:rsidRDefault="00814BC6">
      <w:pPr>
        <w:pStyle w:val="CoverDocType24a"/>
      </w:pPr>
      <w:r w:rsidRPr="003C5AC2">
        <w:rPr>
          <w:rStyle w:val="HideTWBExt"/>
          <w:b w:val="0"/>
          <w:noProof w:val="0"/>
        </w:rPr>
        <w:t>&lt;TitreType&gt;</w:t>
      </w:r>
      <w:r w:rsidRPr="003C5AC2">
        <w:t>ÁLLÁSFOGLALÁSI INDÍTVÁNY TERVEZETE</w:t>
      </w:r>
      <w:r w:rsidRPr="003C5AC2">
        <w:rPr>
          <w:rStyle w:val="HideTWBExt"/>
          <w:b w:val="0"/>
          <w:noProof w:val="0"/>
        </w:rPr>
        <w:t>&lt;/TitreType&gt;</w:t>
      </w:r>
    </w:p>
    <w:p w:rsidR="00814BC6" w:rsidRPr="003C5AC2" w:rsidRDefault="00814BC6">
      <w:pPr>
        <w:pStyle w:val="CoverNormal12a"/>
      </w:pPr>
      <w:r w:rsidRPr="003C5AC2">
        <w:rPr>
          <w:rStyle w:val="HideTWBExt"/>
          <w:noProof w:val="0"/>
        </w:rPr>
        <w:t>&lt;TitreSuite&gt;</w:t>
      </w:r>
      <w:r w:rsidRPr="003C5AC2">
        <w:t>benyújtva a Bizottság nyilatkozatát követően</w:t>
      </w:r>
      <w:r w:rsidRPr="003C5AC2">
        <w:rPr>
          <w:rStyle w:val="HideTWBExt"/>
          <w:noProof w:val="0"/>
        </w:rPr>
        <w:t>&lt;/TitreSuite&gt;</w:t>
      </w:r>
    </w:p>
    <w:p w:rsidR="00814BC6" w:rsidRPr="003C5AC2" w:rsidRDefault="00814BC6">
      <w:pPr>
        <w:pStyle w:val="CoverNormal12a"/>
      </w:pPr>
      <w:r w:rsidRPr="003C5AC2">
        <w:rPr>
          <w:rStyle w:val="HideTWBExt"/>
          <w:noProof w:val="0"/>
        </w:rPr>
        <w:t>&lt;TitreRecueil&gt;</w:t>
      </w:r>
      <w:r w:rsidRPr="003C5AC2">
        <w:t>az eljárási szabályzat 132. cikkének (2) bekezdése alapján</w:t>
      </w:r>
      <w:r w:rsidRPr="003C5AC2">
        <w:rPr>
          <w:rStyle w:val="HideTWBExt"/>
          <w:noProof w:val="0"/>
        </w:rPr>
        <w:t>&lt;/TitreRecueil&gt;</w:t>
      </w:r>
    </w:p>
    <w:p w:rsidR="00C23264" w:rsidRPr="003C5AC2" w:rsidRDefault="00C23264" w:rsidP="00C23264">
      <w:pPr>
        <w:pStyle w:val="CoverNormal"/>
      </w:pPr>
      <w:r w:rsidRPr="003C5AC2">
        <w:rPr>
          <w:rStyle w:val="HideTWBExt"/>
          <w:noProof w:val="0"/>
        </w:rPr>
        <w:t>&lt;Titre&gt;</w:t>
      </w:r>
      <w:r w:rsidRPr="003C5AC2">
        <w:t>az általános adatvédelmi rendelet végrehajtásáról szóló bizottsági értékelő jelentésről – a rendelet alkalmazásának két éve</w:t>
      </w:r>
      <w:r w:rsidRPr="003C5AC2">
        <w:rPr>
          <w:rStyle w:val="HideTWBExt"/>
          <w:noProof w:val="0"/>
        </w:rPr>
        <w:t>&lt;/Titre&gt;</w:t>
      </w:r>
    </w:p>
    <w:p w:rsidR="00C23264" w:rsidRPr="003C5AC2" w:rsidRDefault="00C23264" w:rsidP="00C23264">
      <w:pPr>
        <w:pStyle w:val="CoverNormal24a"/>
      </w:pPr>
      <w:r w:rsidRPr="003C5AC2">
        <w:rPr>
          <w:rStyle w:val="HideTWBExt"/>
          <w:noProof w:val="0"/>
        </w:rPr>
        <w:t>&lt;DocRef&gt;</w:t>
      </w:r>
      <w:r w:rsidRPr="003C5AC2">
        <w:t>(2020/2717(RSP))</w:t>
      </w:r>
      <w:r w:rsidRPr="003C5AC2">
        <w:rPr>
          <w:rStyle w:val="HideTWBExt"/>
          <w:noProof w:val="0"/>
        </w:rPr>
        <w:t>&lt;/DocRef&gt;</w:t>
      </w:r>
    </w:p>
    <w:p w:rsidR="002574AA" w:rsidRPr="003C5AC2" w:rsidRDefault="002574AA" w:rsidP="002574AA">
      <w:pPr>
        <w:pStyle w:val="CoverBold"/>
      </w:pPr>
      <w:r w:rsidRPr="003C5AC2">
        <w:rPr>
          <w:rStyle w:val="HideTWBExt"/>
          <w:b w:val="0"/>
          <w:noProof w:val="0"/>
        </w:rPr>
        <w:t>&lt;RepeatBlock-By&gt;&lt;Depute&gt;</w:t>
      </w:r>
      <w:r w:rsidRPr="003C5AC2">
        <w:t>Juan Fernando López Aguilar</w:t>
      </w:r>
      <w:r w:rsidRPr="003C5AC2">
        <w:rPr>
          <w:rStyle w:val="HideTWBExt"/>
          <w:b w:val="0"/>
          <w:noProof w:val="0"/>
          <w:color w:val="auto"/>
        </w:rPr>
        <w:t>&lt;/Depute&gt;</w:t>
      </w:r>
    </w:p>
    <w:p w:rsidR="002574AA" w:rsidRPr="003C5AC2" w:rsidRDefault="002574AA" w:rsidP="002574AA">
      <w:pPr>
        <w:pStyle w:val="CoverNormal"/>
      </w:pPr>
      <w:r w:rsidRPr="003C5AC2">
        <w:rPr>
          <w:rStyle w:val="HideTWBExt"/>
          <w:noProof w:val="0"/>
        </w:rPr>
        <w:t>&lt;Commission&gt;</w:t>
      </w:r>
      <w:r w:rsidRPr="003C5AC2">
        <w:rPr>
          <w:rStyle w:val="HideTWBInt"/>
        </w:rPr>
        <w:t>{LIBE}</w:t>
      </w:r>
      <w:r w:rsidRPr="003C5AC2">
        <w:t>az Állampolgári Jogi, Bel- és Igazságügyi Bizottság nevében</w:t>
      </w:r>
      <w:r w:rsidRPr="003C5AC2">
        <w:rPr>
          <w:rStyle w:val="HideTWBExt"/>
          <w:noProof w:val="0"/>
        </w:rPr>
        <w:t>&lt;/Commission&gt;</w:t>
      </w:r>
    </w:p>
    <w:p w:rsidR="002574AA" w:rsidRPr="003C5AC2" w:rsidRDefault="002574AA" w:rsidP="002574AA">
      <w:pPr>
        <w:pStyle w:val="CoverNormal"/>
      </w:pPr>
      <w:r w:rsidRPr="003C5AC2">
        <w:rPr>
          <w:rStyle w:val="HideTWBExt"/>
          <w:noProof w:val="0"/>
        </w:rPr>
        <w:t>&lt;/RepeatBlock-By&gt;</w:t>
      </w:r>
    </w:p>
    <w:p w:rsidR="00814BC6" w:rsidRPr="003C5AC2" w:rsidRDefault="00814BC6">
      <w:pPr>
        <w:pStyle w:val="NormalBold12a"/>
      </w:pPr>
      <w:r w:rsidRPr="003C5AC2">
        <w:br w:type="page"/>
      </w:r>
      <w:r w:rsidRPr="003C5AC2">
        <w:lastRenderedPageBreak/>
        <w:t>B9</w:t>
      </w:r>
      <w:r w:rsidRPr="003C5AC2">
        <w:noBreakHyphen/>
        <w:t>0000/2020</w:t>
      </w:r>
    </w:p>
    <w:p w:rsidR="00C23264" w:rsidRPr="003C5AC2" w:rsidRDefault="00674856" w:rsidP="00C23264">
      <w:pPr>
        <w:pStyle w:val="NormalBold"/>
      </w:pPr>
      <w:r w:rsidRPr="003C5AC2">
        <w:t>Az Európai Parlament állásfoglalása az általános adatvédelmi rendelet végrehajtásáról szóló bizottsági értékelő jelentésről – a rendelet alkalmazásának két éve</w:t>
      </w:r>
    </w:p>
    <w:p w:rsidR="00C23264" w:rsidRPr="003C5AC2" w:rsidRDefault="00674856" w:rsidP="00DF7943">
      <w:pPr>
        <w:pStyle w:val="NormalBold"/>
      </w:pPr>
      <w:r w:rsidRPr="003C5AC2">
        <w:t>(2020/2717(RSP))</w:t>
      </w:r>
    </w:p>
    <w:p w:rsidR="00814BC6" w:rsidRPr="003C5AC2" w:rsidRDefault="00674856">
      <w:pPr>
        <w:pStyle w:val="EPComma"/>
      </w:pPr>
      <w:r w:rsidRPr="003C5AC2">
        <w:rPr>
          <w:i/>
        </w:rPr>
        <w:t>Az Európai Parlament,</w:t>
      </w:r>
    </w:p>
    <w:p w:rsidR="002C1F91" w:rsidRPr="003C5AC2" w:rsidRDefault="00814BC6" w:rsidP="00FD65B9">
      <w:pPr>
        <w:widowControl/>
        <w:ind w:left="567" w:hanging="567"/>
        <w:rPr>
          <w:szCs w:val="24"/>
        </w:rPr>
      </w:pPr>
      <w:r w:rsidRPr="003C5AC2">
        <w:t>–</w:t>
      </w:r>
      <w:r w:rsidRPr="003C5AC2">
        <w:tab/>
        <w:t>tekintettel a természetes személyeknek a személyes adatok kezelése tekintetében történő védelméről és az ilyen adatok szabad áramlásáról, valamint a 95/46/EK irányelv visszavonásáról szóló, 2016. április 24-i (EU) 2016/679 rendeletre (általános adatvédelmi rendelet)</w:t>
      </w:r>
      <w:r w:rsidR="002C1F91" w:rsidRPr="003C5AC2">
        <w:rPr>
          <w:rStyle w:val="FootnoteReference"/>
        </w:rPr>
        <w:footnoteReference w:id="1"/>
      </w:r>
      <w:r w:rsidRPr="003C5AC2">
        <w:t xml:space="preserve">; </w:t>
      </w:r>
    </w:p>
    <w:p w:rsidR="002C1F91" w:rsidRPr="003C5AC2" w:rsidRDefault="00CC09D8" w:rsidP="00FD65B9">
      <w:pPr>
        <w:widowControl/>
        <w:spacing w:before="240"/>
        <w:ind w:left="567" w:hanging="567"/>
        <w:rPr>
          <w:szCs w:val="24"/>
        </w:rPr>
      </w:pPr>
      <w:r w:rsidRPr="003C5AC2">
        <w:t>–</w:t>
      </w:r>
      <w:r w:rsidRPr="003C5AC2">
        <w:tab/>
        <w:t>tekintettel „A polgárok szerepe erősítésének és az EU digitális átállással kapcsolatos megközelítésének pillérét képező adatvédelem – az általános adatvédelmi rendelet alkalmazásának két éve” című, az Európai Parlamentnek és a Tanácsnak címzett, 2020. június 24-i bizottsági közleményről szóló bizottsági nyilatkozatra</w:t>
      </w:r>
      <w:r w:rsidR="002C1F91" w:rsidRPr="003C5AC2">
        <w:rPr>
          <w:rStyle w:val="FootnoteReference"/>
        </w:rPr>
        <w:footnoteReference w:id="2"/>
      </w:r>
      <w:r w:rsidRPr="003C5AC2">
        <w:t xml:space="preserve">; </w:t>
      </w:r>
    </w:p>
    <w:p w:rsidR="002C1F91" w:rsidRPr="003C5AC2" w:rsidRDefault="002C1F91" w:rsidP="00FD65B9">
      <w:pPr>
        <w:widowControl/>
        <w:spacing w:before="240"/>
        <w:ind w:left="567" w:hanging="567"/>
        <w:rPr>
          <w:szCs w:val="24"/>
        </w:rPr>
      </w:pPr>
      <w:r w:rsidRPr="003C5AC2">
        <w:t>–</w:t>
      </w:r>
      <w:r w:rsidRPr="003C5AC2">
        <w:tab/>
        <w:t>tekintettel „A polgárok szerepe erősítésének és az EU digitális átállással kapcsolatos megközelítésének pillérét képező adatvédelem – az általános adatvédelmi rendelet alkalmazásának két éve” című, az Európai Parlamentnek és a Tanácsnak címzett, 2020. június 24-i bizottsági közleményre</w:t>
      </w:r>
      <w:r w:rsidRPr="003C5AC2">
        <w:rPr>
          <w:rStyle w:val="FootnoteReference"/>
        </w:rPr>
        <w:footnoteReference w:id="3"/>
      </w:r>
      <w:r w:rsidRPr="003C5AC2">
        <w:t xml:space="preserve">; </w:t>
      </w:r>
    </w:p>
    <w:p w:rsidR="00ED22B8" w:rsidRPr="003C5AC2" w:rsidRDefault="00ED22B8" w:rsidP="00FD65B9">
      <w:pPr>
        <w:pStyle w:val="NormalHanging12a"/>
        <w:spacing w:before="240"/>
      </w:pPr>
      <w:r w:rsidRPr="003C5AC2">
        <w:t>–</w:t>
      </w:r>
      <w:r w:rsidRPr="003C5AC2">
        <w:tab/>
        <w:t>tekintettel eljárási szabályzata 132. cikkének (2) bekezdésére,</w:t>
      </w:r>
    </w:p>
    <w:p w:rsidR="00780A7D" w:rsidRPr="003C5AC2" w:rsidRDefault="00780A7D" w:rsidP="00FD65B9">
      <w:pPr>
        <w:pStyle w:val="NormalHanging12a"/>
      </w:pPr>
      <w:r w:rsidRPr="003C5AC2">
        <w:t>–</w:t>
      </w:r>
      <w:r w:rsidRPr="003C5AC2">
        <w:tab/>
        <w:t>tekintettel az Állampolgári Jogi, Bel- és Igazságügyi Bizottság állásfoglalási indítványára,</w:t>
      </w:r>
    </w:p>
    <w:p w:rsidR="00814BC6" w:rsidRPr="003C5AC2" w:rsidRDefault="002C1F91" w:rsidP="002C1F91">
      <w:pPr>
        <w:pStyle w:val="NormalHanging12a"/>
        <w:ind w:hanging="566"/>
      </w:pPr>
      <w:r w:rsidRPr="003C5AC2">
        <w:t>A.</w:t>
      </w:r>
      <w:r w:rsidRPr="003C5AC2">
        <w:tab/>
        <w:t>mivel az általános adatvédelmi rendeletet 2018. május 25. óta kell alkalmazni; mivel Szlovénia kivételével valamennyi tagállam új jogszabályt fogadott el vagy kiigazította nemzeti adatvédelmi jogszabályait;</w:t>
      </w:r>
    </w:p>
    <w:p w:rsidR="002C1F91" w:rsidRPr="003C5AC2" w:rsidRDefault="002C1F91" w:rsidP="002C1F91">
      <w:pPr>
        <w:pStyle w:val="NormalHanging12a"/>
        <w:ind w:hanging="566"/>
      </w:pPr>
      <w:r w:rsidRPr="003C5AC2">
        <w:t>B.</w:t>
      </w:r>
      <w:r w:rsidRPr="003C5AC2">
        <w:tab/>
        <w:t>mivel az általános adatvédelmi rendelet alkalmazásának kezdete óta a felügyeleti hatóságoknál jelentősen megnőtt a panaszok száma; mivel ez azt mutatja, hogy az érintettek jobban tisztában vannak jogaikkal, és az általános adatvédelmi rendelettel összhangban védeni kívánják személyes adataikat; mivel ez azt is mutatja, hogy továbbra is nagy mennyiségű illegális adatfeldolgozási műveletre kerül sor;</w:t>
      </w:r>
    </w:p>
    <w:p w:rsidR="002C1F91" w:rsidRPr="003C5AC2" w:rsidRDefault="002C1F91" w:rsidP="002C1F91">
      <w:pPr>
        <w:pStyle w:val="NormalHanging12a"/>
        <w:ind w:left="1" w:firstLine="0"/>
        <w:rPr>
          <w:b/>
          <w:i/>
        </w:rPr>
      </w:pPr>
      <w:r w:rsidRPr="003C5AC2">
        <w:rPr>
          <w:b/>
          <w:i/>
        </w:rPr>
        <w:t>ÁLTALÁNOS ÉSZREVÉTELEK</w:t>
      </w:r>
    </w:p>
    <w:p w:rsidR="002C1F91" w:rsidRPr="003C5AC2" w:rsidRDefault="002C1F91" w:rsidP="002C1F91">
      <w:pPr>
        <w:pStyle w:val="NormalHanging12a"/>
        <w:ind w:hanging="566"/>
      </w:pPr>
      <w:r w:rsidRPr="003C5AC2">
        <w:t>1.</w:t>
      </w:r>
      <w:r w:rsidRPr="003C5AC2">
        <w:tab/>
        <w:t>üdvözli, hogy az általános adatvédelmi rendelet a személyes adatok védelmének globális standardjává és a normák konvergenciájának egyik tényezőjévé vált; üdvözli, hogy az általános adatvédelmi rendelet folytán az adatvédelemről folytatott nemzetközi vitákban az EU játssza a főszerepet, és számos harmadik ország az általános adatvédelmi rendelettel hangolta össze adatvédelmi jogszabályait;</w:t>
      </w:r>
    </w:p>
    <w:p w:rsidR="002C1F91" w:rsidRPr="003C5AC2" w:rsidRDefault="002C1F91" w:rsidP="002C1F91">
      <w:pPr>
        <w:pStyle w:val="NormalHanging12a"/>
        <w:ind w:hanging="566"/>
      </w:pPr>
      <w:r w:rsidRPr="003C5AC2">
        <w:lastRenderedPageBreak/>
        <w:t>2.</w:t>
      </w:r>
      <w:r w:rsidRPr="003C5AC2">
        <w:tab/>
        <w:t>megállapítja, hogy két évvel az általános adatvédelmi rendelet alkalmazása után elmondható, hogy a rendelet összességében sikeres, és egyetért az Európai Bizottsággal abban, hogy ebben a szakaszban nincs szükség a jogszabály naprakésszé tételére vagy felülvizsgálatára;</w:t>
      </w:r>
    </w:p>
    <w:p w:rsidR="002C1F91" w:rsidRPr="003C5AC2" w:rsidRDefault="002C1F91" w:rsidP="002C1F91">
      <w:pPr>
        <w:pStyle w:val="NormalHanging12a"/>
        <w:ind w:hanging="566"/>
      </w:pPr>
      <w:r w:rsidRPr="003C5AC2">
        <w:t>3.</w:t>
      </w:r>
      <w:r w:rsidRPr="003C5AC2">
        <w:tab/>
        <w:t>elismeri, hogy az elkövetkező években továbbra is a végrehajtás javítására és az általános adatvédelmi rendelet megerősítését célzó intézkedésekre kell összpontosítani;</w:t>
      </w:r>
    </w:p>
    <w:p w:rsidR="002C1F91" w:rsidRPr="003C5AC2" w:rsidRDefault="00FD65B9" w:rsidP="002C1F91">
      <w:pPr>
        <w:pStyle w:val="NormalHanging12a"/>
        <w:ind w:hanging="566"/>
      </w:pPr>
      <w:r w:rsidRPr="003C5AC2">
        <w:t>4.</w:t>
      </w:r>
      <w:r w:rsidRPr="003C5AC2">
        <w:tab/>
        <w:t>elismeri, hogy a nagy digitális platformokkal és az integrált vállalkozásokkal szemben az általános adatvédelmi rendeletet erőteljesen és hatékonyan kell végrehajtani, ideértve az olyan területeket is, mint az online hirdetések és a mikrotargetálás;</w:t>
      </w:r>
    </w:p>
    <w:p w:rsidR="002C1F91" w:rsidRPr="003C5AC2" w:rsidRDefault="002C1F91" w:rsidP="002C1F91">
      <w:pPr>
        <w:spacing w:after="240"/>
        <w:rPr>
          <w:rFonts w:eastAsia="DejaVu Sans"/>
          <w:kern w:val="2"/>
        </w:rPr>
      </w:pPr>
      <w:r w:rsidRPr="003C5AC2">
        <w:rPr>
          <w:b/>
          <w:i/>
        </w:rPr>
        <w:t>A FELDOLGOZÁS JOGALAPJA</w:t>
      </w:r>
    </w:p>
    <w:p w:rsidR="002C1F91" w:rsidRPr="003C5AC2" w:rsidRDefault="00FD65B9" w:rsidP="002C1F91">
      <w:pPr>
        <w:pStyle w:val="NormalHanging12a"/>
        <w:ind w:hanging="566"/>
      </w:pPr>
      <w:r w:rsidRPr="003C5AC2">
        <w:t>5.</w:t>
      </w:r>
      <w:r w:rsidRPr="003C5AC2">
        <w:tab/>
        <w:t>emlékeztet arra, hogy az általános adatvédelmi rendelet alkalmazásának kezdete óta a „hozzájárulás” az érintett akaratának önkéntes, konkrét és megfelelő tájékoztatáson alapuló és egyértelmű kinyilvánítását jelenti, hangsúlyozza, hogy ez az elektronikus hírközlési adatvédelmi irányelvre is vonatkozik; megjegyzi, hogy az érvényes hozzájárulás végrehajtását továbbra is veszélyezteti a sötét foltok, a kereskedelmi célú nyomkövetés és más etikátlan gyakorlatok alkalmazása; aggodalmát fejezi ki amiatt, hogy az egyénekre gyakran olyan gazdasági nyomás nehezedik, hogy árengedményekért vagy egyéb kereskedelmi ajánlatokért cserébe hozzájárulásukat adják, vagy arra kényszerülnek, hogy árukapcsolásra vonatkozó rendelkezések révén hozzájárulásuk megadásához kötik egy szolgáltatáshoz való hozzáférésüket, ami sérti az általános adatvédelmi rendelet 7. cikkét;</w:t>
      </w:r>
    </w:p>
    <w:p w:rsidR="002C1F91" w:rsidRPr="003C5AC2" w:rsidRDefault="002C1F91" w:rsidP="002C1F91">
      <w:pPr>
        <w:spacing w:after="240"/>
        <w:rPr>
          <w:rFonts w:eastAsia="DejaVu Sans"/>
          <w:b/>
          <w:i/>
          <w:kern w:val="2"/>
        </w:rPr>
      </w:pPr>
      <w:r w:rsidRPr="003C5AC2">
        <w:rPr>
          <w:b/>
          <w:i/>
        </w:rPr>
        <w:t>AZ ÉRINTETTEK JOGAI</w:t>
      </w:r>
    </w:p>
    <w:p w:rsidR="002C1F91" w:rsidRPr="003C5AC2" w:rsidRDefault="00FD65B9" w:rsidP="002C1F91">
      <w:pPr>
        <w:pStyle w:val="NormalHanging12a"/>
        <w:ind w:hanging="566"/>
      </w:pPr>
      <w:r w:rsidRPr="003C5AC2">
        <w:t>6.</w:t>
      </w:r>
      <w:r w:rsidRPr="003C5AC2">
        <w:tab/>
        <w:t>hangsúlyozza, hogy elő kell segíteni az általános adatvédelmi rendelet által biztosított egyéni jogok – például az adathordozhatóság vagy az automatizált adatkezeléssel, többek között a profilalkotással kapcsolatos jogok – gyakorlását; felhívja az Európai Adatvédelmi Testületet, hogy adjon ki további iránymutatást az automatizált döntéshozatalról;</w:t>
      </w:r>
    </w:p>
    <w:p w:rsidR="002C1F91" w:rsidRPr="003C5AC2" w:rsidRDefault="002C1F91" w:rsidP="002C1F91">
      <w:pPr>
        <w:pStyle w:val="NormalHanging12a"/>
        <w:ind w:left="1" w:firstLine="0"/>
      </w:pPr>
      <w:r w:rsidRPr="003C5AC2">
        <w:rPr>
          <w:b/>
          <w:i/>
        </w:rPr>
        <w:t>KISVÁLLALKOZÁSOK ÉS SZERVEZETEK</w:t>
      </w:r>
    </w:p>
    <w:p w:rsidR="002C1F91" w:rsidRPr="003C5AC2" w:rsidRDefault="00FD65B9" w:rsidP="002C1F91">
      <w:pPr>
        <w:pStyle w:val="NormalHanging12a"/>
        <w:ind w:hanging="566"/>
      </w:pPr>
      <w:r w:rsidRPr="003C5AC2">
        <w:t>7.</w:t>
      </w:r>
      <w:r w:rsidRPr="003C5AC2">
        <w:tab/>
        <w:t>megjegyzi, hogy egyes érdekelt felek arról számoltak be, hogy az általános adatvédelmi rendelet alkalmazása különösen a kis- és középvállalkozások (kkv-k) számára jelent kihívást;</w:t>
      </w:r>
    </w:p>
    <w:p w:rsidR="002C1F91" w:rsidRPr="003C5AC2" w:rsidRDefault="00FD65B9" w:rsidP="002C1F91">
      <w:pPr>
        <w:pStyle w:val="NormalHanging12a"/>
        <w:ind w:hanging="566"/>
      </w:pPr>
      <w:r w:rsidRPr="003C5AC2">
        <w:t>8.</w:t>
      </w:r>
      <w:r w:rsidRPr="003C5AC2">
        <w:tab/>
        <w:t>felhívja a figyelmet arra, hogy a kkv-k esetében nem szabad eltérést alkalmazni; felhívja az Európai Adatvédelmi Testületet, hogy gondoskodjon gyakorlati eszközökről, hogy megkönnyítse az általános adatvédelmi rendelet alacsony kockázatú adatfeldolgozási tevékenységet folytató kkv-k általi végrehajtását;</w:t>
      </w:r>
    </w:p>
    <w:p w:rsidR="002C1F91" w:rsidRPr="003C5AC2" w:rsidRDefault="002C1F91" w:rsidP="002C1F91">
      <w:pPr>
        <w:pStyle w:val="NormalHanging12a"/>
        <w:spacing w:before="240"/>
        <w:ind w:left="1" w:firstLine="0"/>
      </w:pPr>
      <w:r w:rsidRPr="003C5AC2">
        <w:rPr>
          <w:b/>
          <w:i/>
        </w:rPr>
        <w:t>VÉGREHAJTÁS</w:t>
      </w:r>
    </w:p>
    <w:p w:rsidR="002C1F91" w:rsidRPr="003C5AC2" w:rsidRDefault="00FD65B9" w:rsidP="002C1F91">
      <w:pPr>
        <w:pStyle w:val="NormalHanging12a"/>
        <w:ind w:hanging="566"/>
      </w:pPr>
      <w:r w:rsidRPr="003C5AC2">
        <w:t>9.</w:t>
      </w:r>
      <w:r w:rsidRPr="003C5AC2">
        <w:tab/>
        <w:t>aggasztja az általános adatvédelmi rendeletet a nemzeti adatvédelmi hatóságok nem egyenletes szinten hajtják végre;</w:t>
      </w:r>
    </w:p>
    <w:p w:rsidR="002C1F91" w:rsidRPr="003C5AC2" w:rsidRDefault="002C1F91" w:rsidP="002C1F91">
      <w:pPr>
        <w:pStyle w:val="NormalHanging12a"/>
        <w:ind w:hanging="566"/>
      </w:pPr>
      <w:r w:rsidRPr="003C5AC2">
        <w:t>10.</w:t>
      </w:r>
      <w:r w:rsidRPr="003C5AC2">
        <w:tab/>
        <w:t>megjegyzi, hogy bár az általános adatvédelmi rendelet alkalmazásának kezdete óta súlyos jogsértések esetén jelentős bírságokat szabtak ki, az általános adatvédelmi rendelet által e tekintetben biztosított lehetőségeket messze nem használták ki teljes mértékben, és az egyes tagállamokban alkalmazott szankciók súlyossága tekintetében eltérések mutatkoztak;</w:t>
      </w:r>
    </w:p>
    <w:p w:rsidR="002C1F91" w:rsidRPr="003C5AC2" w:rsidRDefault="002C1F91" w:rsidP="002C1F91">
      <w:pPr>
        <w:pStyle w:val="NormalHanging12a"/>
        <w:ind w:hanging="566"/>
      </w:pPr>
      <w:r w:rsidRPr="003C5AC2">
        <w:t>11.</w:t>
      </w:r>
      <w:r w:rsidRPr="003C5AC2">
        <w:tab/>
        <w:t>aggályosnak tartja az ügyek egyes adatvédelmi hatóságok általi kivizsgálásának hosszát és ennek a hatékony végrehajtásra és a polgárok bizalmára gyakorolt kedvezőtlen hatását; sürgeti az adatvédelmi hatóságokat, hogy gyorsítsák fel az ítélethozatalt, és éljenek az általános adatvédelmi rendelet értelmében rendelkezésükre álló valamennyi mechanizmussal, beleértve azt, hogy az adatkezelés ideiglenes vagy végleges korlátozásához vagy tilalmához folyamodjanak;</w:t>
      </w:r>
    </w:p>
    <w:p w:rsidR="002C1F91" w:rsidRPr="003C5AC2" w:rsidRDefault="002C1F91" w:rsidP="002C1F91">
      <w:pPr>
        <w:pStyle w:val="NormalHanging12a"/>
        <w:ind w:hanging="566"/>
      </w:pPr>
      <w:r w:rsidRPr="003C5AC2">
        <w:t>12.</w:t>
      </w:r>
      <w:r w:rsidRPr="003C5AC2">
        <w:tab/>
        <w:t>sajnálatának ad hangot amiatt, hogy 21 tagállam adatvédelmi hatóságai egyértelműen kijelentették, hogy nem rendelkeznek elegendő emberi, műszaki és pénzügyi erőforrással feladataik hatékony ellátásához és hatáskörük gyakorlásához; sürgeti az Európai Bizottságot, hogy tegye meg a megfelelő intézkedéseket, többek között haladéktalanul indítson kötelezettségszegési eljárást azon tagállamokkal szemben, amelyek nem tettek eleget e kötelezettségüknek;</w:t>
      </w:r>
    </w:p>
    <w:p w:rsidR="002C1F91" w:rsidRPr="003C5AC2" w:rsidRDefault="002C1F91" w:rsidP="002C1F91">
      <w:pPr>
        <w:pStyle w:val="NormalHanging12a"/>
        <w:ind w:hanging="566"/>
      </w:pPr>
      <w:r w:rsidRPr="003C5AC2">
        <w:t>13.</w:t>
      </w:r>
      <w:r w:rsidRPr="003C5AC2">
        <w:tab/>
        <w:t>üdvözli, hogy a kollektív jogorvoslat tekintetében a tagállamok többsége úgy döntött, hogy nem hajtja végre az általános adatvédelmi rendelet 80. cikkének (2) bekezdését; felhívja az összes tagállamot, hogy alkalmazzák a 80. cikk (2) bekezdését;</w:t>
      </w:r>
    </w:p>
    <w:p w:rsidR="002C1F91" w:rsidRPr="003C5AC2" w:rsidRDefault="002C1F91" w:rsidP="002C1F91">
      <w:pPr>
        <w:pStyle w:val="NormalHanging12a"/>
        <w:ind w:left="1" w:firstLine="0"/>
      </w:pPr>
      <w:r w:rsidRPr="003C5AC2">
        <w:rPr>
          <w:b/>
          <w:i/>
        </w:rPr>
        <w:t>EGYÜTTMŰKÖDÉS ÉS EGYSÉGESSÉG</w:t>
      </w:r>
    </w:p>
    <w:p w:rsidR="002C1F91" w:rsidRPr="003C5AC2" w:rsidRDefault="002C1F91" w:rsidP="002C1F91">
      <w:pPr>
        <w:pStyle w:val="NormalHanging12a"/>
        <w:ind w:hanging="566"/>
      </w:pPr>
      <w:r w:rsidRPr="003C5AC2">
        <w:t>14.</w:t>
      </w:r>
      <w:r w:rsidRPr="003C5AC2">
        <w:tab/>
        <w:t>rámutat arra, hogy a gyenge jogérvényesítés különösen nyilvánvaló a határokon átnyúló panaszok, azaz az együttműködési és egységességi mechanizmusok esetében; felhívja az Európai Adatvédelmi Testületet, hogy fokozza az általános adatvédelmi rendelet 60. és 63. cikkének helyes alkalmazására irányuló erőfeszítéseit, és alkalmazza az általános adatvédelmi rendelet 66. cikkében foglalt sürgősségi eljárást;</w:t>
      </w:r>
    </w:p>
    <w:p w:rsidR="002C1F91" w:rsidRPr="003C5AC2" w:rsidRDefault="002C1F91" w:rsidP="002C1F91">
      <w:pPr>
        <w:pStyle w:val="NormalHanging12a"/>
        <w:ind w:hanging="566"/>
      </w:pPr>
      <w:r w:rsidRPr="003C5AC2">
        <w:t>15.</w:t>
      </w:r>
      <w:r w:rsidRPr="003C5AC2">
        <w:tab/>
        <w:t>rámutat a nemzeti iránymutatások és az Európai Adatvédelmi Testület iránymutatásai közötti következetlenségekre;</w:t>
      </w:r>
    </w:p>
    <w:p w:rsidR="002C1F91" w:rsidRPr="003C5AC2" w:rsidRDefault="002C1F91" w:rsidP="002C1F91">
      <w:pPr>
        <w:pStyle w:val="NormalHanging12a"/>
        <w:ind w:hanging="566"/>
      </w:pPr>
      <w:r w:rsidRPr="003C5AC2">
        <w:t>16.</w:t>
      </w:r>
      <w:r w:rsidRPr="003C5AC2">
        <w:tab/>
        <w:t>felszólítja az összes tagállamot, hogy alakítsanak ki külön támogatást a határokon átnyúló panaszokban érintettek vagy az őket képviselő szervezetek számára; rámutat, hogy az érintettek jogainak gyakorlásához kapcsolódó magas eljárási költségek visszatartó erejűek lehetnek; felhívja a tagállamokat, hogy nemzeti közigazgatási eljárásjoguk keretében korlátozzák ezeket a költségeket;</w:t>
      </w:r>
    </w:p>
    <w:p w:rsidR="002C1F91" w:rsidRPr="003C5AC2" w:rsidRDefault="002C1F91" w:rsidP="002C1F91">
      <w:pPr>
        <w:pStyle w:val="NormalHanging12a"/>
        <w:ind w:left="1" w:firstLine="0"/>
      </w:pPr>
      <w:r w:rsidRPr="003C5AC2">
        <w:rPr>
          <w:b/>
          <w:i/>
        </w:rPr>
        <w:t>AZ ÁLTALÁNOS ADATVÉDELMI RENDELET VÉGREHAJTÁSÁNAK SZÉTTAGOLTSÁGA</w:t>
      </w:r>
    </w:p>
    <w:p w:rsidR="002C1F91" w:rsidRPr="003C5AC2" w:rsidRDefault="002C1F91" w:rsidP="002C1F91">
      <w:pPr>
        <w:pStyle w:val="NormalHanging12a"/>
        <w:ind w:hanging="566"/>
      </w:pPr>
      <w:r w:rsidRPr="003C5AC2">
        <w:t>17.</w:t>
      </w:r>
      <w:r w:rsidRPr="003C5AC2">
        <w:tab/>
        <w:t>figyelmeztet a széttagoltságra, ami elsősorban a fakultatív pontosítási rendelkezések széles körű alkalmazásának tudható be; aggodalmát fejezi ki amiatt, hogy az általános adatvédelmi rendelet védelmét aláássa az, ahogyan a tagállamok végrehajtották ezeket a pontosítási eltéréseket (pl. a gyermekek kora hozzájárulásuk megadásához);</w:t>
      </w:r>
    </w:p>
    <w:p w:rsidR="002C1F91" w:rsidRPr="003C5AC2" w:rsidRDefault="002C1F91" w:rsidP="002C1F91">
      <w:pPr>
        <w:pStyle w:val="NormalHanging12a"/>
        <w:ind w:left="1" w:firstLine="0"/>
      </w:pPr>
      <w:r w:rsidRPr="003C5AC2">
        <w:rPr>
          <w:b/>
          <w:i/>
        </w:rPr>
        <w:t>BEÉPÍTETT ADATVÉDELEM</w:t>
      </w:r>
    </w:p>
    <w:p w:rsidR="002C1F91" w:rsidRPr="003C5AC2" w:rsidRDefault="00E403A7" w:rsidP="002C1F91">
      <w:pPr>
        <w:pStyle w:val="NormalHanging12a"/>
        <w:ind w:hanging="566"/>
      </w:pPr>
      <w:r w:rsidRPr="003C5AC2">
        <w:t>18.</w:t>
      </w:r>
      <w:r w:rsidRPr="003C5AC2">
        <w:tab/>
        <w:t>felhívja a felügyeleti hatóságokat, hogy értékeljék a beépített és alapértelmezett adatvédelemről szóló 25. cikk végrehajtását, különösen az adatminimalizálás és a célhoz kötöttség elveinek az Európai Adatvédelmi Testület iránymutatásaival összhangban történő végrehajtása céljából;</w:t>
      </w:r>
    </w:p>
    <w:p w:rsidR="002C1F91" w:rsidRPr="003C5AC2" w:rsidRDefault="002C1F91" w:rsidP="002C1F91">
      <w:pPr>
        <w:pStyle w:val="NormalHanging12a"/>
        <w:ind w:left="1" w:firstLine="0"/>
      </w:pPr>
      <w:r w:rsidRPr="003C5AC2">
        <w:rPr>
          <w:b/>
          <w:i/>
        </w:rPr>
        <w:t>IRÁNYMUTATÁSOK</w:t>
      </w:r>
    </w:p>
    <w:p w:rsidR="002C1F91" w:rsidRPr="003C5AC2" w:rsidRDefault="00FD65B9" w:rsidP="002C1F91">
      <w:pPr>
        <w:pStyle w:val="NormalHanging12a"/>
        <w:ind w:hanging="566"/>
      </w:pPr>
      <w:r w:rsidRPr="003C5AC2">
        <w:t>19.</w:t>
      </w:r>
      <w:r w:rsidRPr="003C5AC2">
        <w:tab/>
        <w:t>felhívja az Európai Adatvédelmi Testületet, hogy dolgozzon ki olyan normákat és iránymutatásokat, amelyek segítik az adatvédelmi követelmények gyakorlatban történő megvalósítását, többek között az adatvédelmi hatásvizsgálatokra (35. cikk), az érintettek tájékoztatására (12–14. cikk), az érintettek jogainak gyakorlására (15–18. cikk, 20–21. cikk) és az adatkezelési tevékenységek nyilvántartására (30. cikk) vonatkozóan;</w:t>
      </w:r>
    </w:p>
    <w:p w:rsidR="002C1F91" w:rsidRPr="003C5AC2" w:rsidRDefault="002C1F91" w:rsidP="002C1F91">
      <w:pPr>
        <w:pStyle w:val="NormalHanging12a"/>
        <w:ind w:left="1" w:firstLine="0"/>
      </w:pPr>
      <w:r w:rsidRPr="003C5AC2">
        <w:rPr>
          <w:b/>
          <w:i/>
        </w:rPr>
        <w:t>A SZEMÉLYES ADATOK NEMZETKÖZI ÁRAMLÁSA ÉS EGYÜTTMŰKÖDÉS</w:t>
      </w:r>
    </w:p>
    <w:p w:rsidR="002C1F91" w:rsidRPr="003C5AC2" w:rsidRDefault="00E403A7" w:rsidP="002C1F91">
      <w:pPr>
        <w:pStyle w:val="NormalHanging12a"/>
        <w:ind w:hanging="566"/>
      </w:pPr>
      <w:r w:rsidRPr="003C5AC2">
        <w:t>20.</w:t>
      </w:r>
      <w:r w:rsidRPr="003C5AC2">
        <w:tab/>
        <w:t>hangsúlyozza annak fontosságát, hogy nemzetközi szinten lehetővé kell tenni a személyes adatok szabad áramlását az általános adatvédelmi rendelet által biztosított védelem szintjének csökkentése nélkül; támogatja az Európai Bizottság azon gyakorlatát, hogy a kereskedelmi megállapodásoktól elkülönítve kezeli az adatvédelmet és a személyes adatok áramlását;</w:t>
      </w:r>
    </w:p>
    <w:p w:rsidR="002C1F91" w:rsidRPr="003C5AC2" w:rsidRDefault="002C1F91" w:rsidP="002C1F91">
      <w:pPr>
        <w:pStyle w:val="NormalHanging12a"/>
        <w:ind w:hanging="566"/>
      </w:pPr>
      <w:r w:rsidRPr="003C5AC2">
        <w:t>21.</w:t>
      </w:r>
      <w:r w:rsidRPr="003C5AC2">
        <w:tab/>
        <w:t>hangsúlyozza, hogy a megfelelőségi határozatoknak nem politikai, hanem jogi határozatoknak kell lenniük;</w:t>
      </w:r>
    </w:p>
    <w:p w:rsidR="002C1F91" w:rsidRPr="003C5AC2" w:rsidRDefault="002C1F91" w:rsidP="002C1F91">
      <w:pPr>
        <w:pStyle w:val="NormalHanging12a"/>
        <w:ind w:hanging="566"/>
      </w:pPr>
      <w:r w:rsidRPr="003C5AC2">
        <w:t>22.</w:t>
      </w:r>
      <w:r w:rsidRPr="003C5AC2">
        <w:tab/>
        <w:t>felhívja az Európai Bizottságot, hogy tegye közzé azokat a kritériumokat, amelyek alapján eldönthető, hogy egy harmadik ország az EU-n belül biztosított védelemmel „lényegében egyenértékű” védelmi szintet biztosít-e, különösen a jogorvoslathoz való hozzáférés és az adatokhoz való kormányzati hozzáférés tekintetében;</w:t>
      </w:r>
    </w:p>
    <w:p w:rsidR="002C1F91" w:rsidRPr="003C5AC2" w:rsidRDefault="002C1F91" w:rsidP="002C1F91">
      <w:pPr>
        <w:pStyle w:val="NormalHanging12a"/>
        <w:ind w:hanging="566"/>
      </w:pPr>
      <w:r w:rsidRPr="003C5AC2">
        <w:t>23.</w:t>
      </w:r>
      <w:r w:rsidRPr="003C5AC2">
        <w:tab/>
        <w:t>ismételten hangsúlyozza, hogy a tömeges adatgyűjtést magában foglaló tömeges megfigyelési programok megakadályozzák a megfelelőségre vonatkozó megállapításokat;</w:t>
      </w:r>
    </w:p>
    <w:p w:rsidR="002C1F91" w:rsidRPr="003C5AC2" w:rsidRDefault="002C1F91" w:rsidP="002C1F91">
      <w:pPr>
        <w:pStyle w:val="NormalHanging12a"/>
        <w:ind w:hanging="566"/>
      </w:pPr>
      <w:r w:rsidRPr="003C5AC2">
        <w:t>24.</w:t>
      </w:r>
      <w:r w:rsidRPr="003C5AC2">
        <w:tab/>
        <w:t>felhívja az adatvédelmi hatóságokat, hogy az Európai Bíróság ítélkezési gyakorlatával összhangban szisztematikusan értékeljék, hogy a gyakorlatban alkalmazzák-e az adatvédelmi szabályokat a harmadik országokban;</w:t>
      </w:r>
    </w:p>
    <w:p w:rsidR="002C1F91" w:rsidRPr="003C5AC2" w:rsidRDefault="002C1F91" w:rsidP="002C1F91">
      <w:pPr>
        <w:pStyle w:val="NormalHanging12a"/>
        <w:ind w:hanging="566"/>
      </w:pPr>
      <w:r w:rsidRPr="003C5AC2">
        <w:t>25.</w:t>
      </w:r>
      <w:r w:rsidRPr="003C5AC2">
        <w:tab/>
        <w:t>sürgeti a Bizottságot, hogy indokolatlan késedelem nélkül tegye közzé az 1995. évi irányelv alapján elfogadott megfelelőségi határozatok felülvizsgálatát;</w:t>
      </w:r>
    </w:p>
    <w:p w:rsidR="002C1F91" w:rsidRPr="003C5AC2" w:rsidRDefault="002C1F91" w:rsidP="002C1F91">
      <w:pPr>
        <w:pStyle w:val="NormalHanging12a"/>
        <w:ind w:left="1" w:firstLine="0"/>
      </w:pPr>
      <w:r w:rsidRPr="003C5AC2">
        <w:rPr>
          <w:b/>
          <w:i/>
        </w:rPr>
        <w:t>JÖVŐBELI UNIÓS JOGSZABÁLYOK</w:t>
      </w:r>
    </w:p>
    <w:p w:rsidR="002C1F91" w:rsidRPr="003C5AC2" w:rsidRDefault="002C1F91" w:rsidP="002C1F91">
      <w:pPr>
        <w:pStyle w:val="NormalHanging12a"/>
        <w:ind w:hanging="566"/>
      </w:pPr>
      <w:r w:rsidRPr="003C5AC2">
        <w:t>26.</w:t>
      </w:r>
      <w:r w:rsidRPr="003C5AC2">
        <w:tab/>
        <w:t>emlékezteti a Bizottságot azon kötelezettségére, hogy biztosítsa, hogy a soron következő jogalkotási javaslatokban előterjesztendő intézkedések – különösen az adatkormányzásra, az adatmegosztási jogszabályra, a digitális szolgáltatásokról szóló jogszabályra és a mesterséges intelligenciára vonatkozó intézkedések – megfeleljenek az (EU) 2016/679 általános adatvédelmi rendeletnek és az (EU) 2016/680 irányelvnek;</w:t>
      </w:r>
    </w:p>
    <w:p w:rsidR="002C1F91" w:rsidRPr="003C5AC2" w:rsidRDefault="002C1F91" w:rsidP="002C1F91">
      <w:pPr>
        <w:pStyle w:val="NormalHanging12a"/>
        <w:ind w:left="1" w:firstLine="0"/>
      </w:pPr>
      <w:r w:rsidRPr="003C5AC2">
        <w:rPr>
          <w:b/>
          <w:i/>
        </w:rPr>
        <w:t>AZ ELEKTRONIKUS HÍRKÖZLÉSI ADATVÉDELMI RENDELET</w:t>
      </w:r>
    </w:p>
    <w:p w:rsidR="002C1F91" w:rsidRPr="003C5AC2" w:rsidRDefault="002C1F91" w:rsidP="002C1F91">
      <w:pPr>
        <w:pStyle w:val="NormalHanging12a"/>
        <w:ind w:hanging="566"/>
      </w:pPr>
      <w:r w:rsidRPr="003C5AC2">
        <w:t>27.</w:t>
      </w:r>
      <w:r w:rsidRPr="003C5AC2">
        <w:tab/>
        <w:t>mélységes aggodalmát fejezi ki amiatt, hogy a tagállamok nem hajtják végre az elektronikus hírközlési adatvédelmi irányelvet, tekintettel az általános adatvédelmi rendelet által bevezetett változásokra; felhívja a Bizottságot, hogy gyorsítsa fel értékelését, és indítson kötelezettségszegési eljárást azon tagállamok ellen, amelyek nem hajtották végre megfelelően az elektronikus hírközlési adatvédelmi irányelvet;</w:t>
      </w:r>
    </w:p>
    <w:p w:rsidR="00866D70" w:rsidRPr="003C5AC2" w:rsidRDefault="00FD65B9" w:rsidP="00F632FC">
      <w:pPr>
        <w:pStyle w:val="NormalHanging12a"/>
        <w:ind w:hanging="566"/>
      </w:pPr>
      <w:r w:rsidRPr="003C5AC2">
        <w:t>28.</w:t>
      </w:r>
      <w:r w:rsidRPr="003C5AC2">
        <w:tab/>
        <w:t>utasítja elnökét, hogy továbbítsa ezt az állásfoglalást a Bizottságnak, az Európai Tanácsnak, a kormányoknak és a nemzeti parlamenteknek, az Európai Adatvédelmi Testületnek</w:t>
      </w:r>
      <w:bookmarkStart w:id="0" w:name="_GoBack"/>
      <w:bookmarkEnd w:id="0"/>
      <w:r w:rsidRPr="003C5AC2">
        <w:t xml:space="preserve"> és az európai adatvédelmi biztosnak.</w:t>
      </w:r>
    </w:p>
    <w:sectPr w:rsidR="00866D70" w:rsidRPr="003C5AC2" w:rsidSect="0002595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025958" w:rsidRDefault="00674856">
      <w:r w:rsidRPr="00025958">
        <w:separator/>
      </w:r>
    </w:p>
  </w:endnote>
  <w:endnote w:type="continuationSeparator" w:id="0">
    <w:p w:rsidR="00674856" w:rsidRPr="00025958" w:rsidRDefault="00674856">
      <w:r w:rsidRPr="000259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58" w:rsidRPr="00025958" w:rsidRDefault="00025958" w:rsidP="00025958">
    <w:pPr>
      <w:pStyle w:val="EPFooter"/>
    </w:pPr>
    <w:r w:rsidRPr="00025958">
      <w:t>PE</w:t>
    </w:r>
    <w:r w:rsidRPr="00025958">
      <w:rPr>
        <w:rStyle w:val="HideTWBExt"/>
        <w:noProof w:val="0"/>
      </w:rPr>
      <w:t>&lt;NoPE&gt;</w:t>
    </w:r>
    <w:r w:rsidRPr="00025958">
      <w:t>660.347</w:t>
    </w:r>
    <w:r w:rsidRPr="00025958">
      <w:rPr>
        <w:rStyle w:val="HideTWBExt"/>
        <w:noProof w:val="0"/>
      </w:rPr>
      <w:t>&lt;/NoPE&gt;&lt;Version&gt;</w:t>
    </w:r>
    <w:r w:rsidRPr="00025958">
      <w:t>v01-00</w:t>
    </w:r>
    <w:r w:rsidRPr="00025958">
      <w:rPr>
        <w:rStyle w:val="HideTWBExt"/>
        <w:noProof w:val="0"/>
      </w:rPr>
      <w:t>&lt;/Version&gt;</w:t>
    </w:r>
    <w:r w:rsidRPr="00025958">
      <w:tab/>
    </w:r>
    <w:r w:rsidRPr="00025958">
      <w:fldChar w:fldCharType="begin"/>
    </w:r>
    <w:r w:rsidRPr="00025958">
      <w:instrText xml:space="preserve"> PAGE  \* MERGEFORMAT </w:instrText>
    </w:r>
    <w:r w:rsidRPr="00025958">
      <w:fldChar w:fldCharType="separate"/>
    </w:r>
    <w:r w:rsidR="003C5AC2">
      <w:rPr>
        <w:noProof/>
      </w:rPr>
      <w:t>6</w:t>
    </w:r>
    <w:r w:rsidRPr="00025958">
      <w:fldChar w:fldCharType="end"/>
    </w:r>
    <w:r w:rsidRPr="00025958">
      <w:t>/</w:t>
    </w:r>
    <w:fldSimple w:instr=" NUMPAGES  \* MERGEFORMAT ">
      <w:r w:rsidR="003C5AC2">
        <w:rPr>
          <w:noProof/>
        </w:rPr>
        <w:t>6</w:t>
      </w:r>
    </w:fldSimple>
    <w:r w:rsidRPr="00025958">
      <w:tab/>
    </w:r>
    <w:r w:rsidRPr="00025958">
      <w:rPr>
        <w:rStyle w:val="HideTWBExt"/>
        <w:noProof w:val="0"/>
      </w:rPr>
      <w:t>&lt;PathFdR&gt;</w:t>
    </w:r>
    <w:r w:rsidRPr="00025958">
      <w:t>RE\1218403HU.docx</w:t>
    </w:r>
    <w:r w:rsidRPr="00025958">
      <w:rPr>
        <w:rStyle w:val="HideTWBExt"/>
        <w:noProof w:val="0"/>
      </w:rPr>
      <w:t>&lt;/PathFdR&gt;</w:t>
    </w:r>
  </w:p>
  <w:p w:rsidR="00A90219" w:rsidRPr="00025958" w:rsidRDefault="00025958" w:rsidP="00025958">
    <w:pPr>
      <w:pStyle w:val="EPFooter2"/>
    </w:pPr>
    <w:r w:rsidRPr="00025958">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58" w:rsidRPr="00025958" w:rsidRDefault="00025958" w:rsidP="00025958">
    <w:pPr>
      <w:pStyle w:val="EPFooter"/>
    </w:pPr>
    <w:r w:rsidRPr="00025958">
      <w:rPr>
        <w:rStyle w:val="HideTWBExt"/>
        <w:noProof w:val="0"/>
      </w:rPr>
      <w:t>&lt;PathFdR&gt;</w:t>
    </w:r>
    <w:r w:rsidRPr="00025958">
      <w:t>RE\1218403HU.docx</w:t>
    </w:r>
    <w:r w:rsidRPr="00025958">
      <w:rPr>
        <w:rStyle w:val="HideTWBExt"/>
        <w:noProof w:val="0"/>
      </w:rPr>
      <w:t>&lt;/PathFdR&gt;</w:t>
    </w:r>
    <w:r w:rsidRPr="00025958">
      <w:tab/>
    </w:r>
    <w:r w:rsidRPr="00025958">
      <w:fldChar w:fldCharType="begin"/>
    </w:r>
    <w:r w:rsidRPr="00025958">
      <w:instrText xml:space="preserve"> PAGE  \* MERGEFORMAT </w:instrText>
    </w:r>
    <w:r w:rsidRPr="00025958">
      <w:fldChar w:fldCharType="separate"/>
    </w:r>
    <w:r w:rsidR="003C5AC2">
      <w:rPr>
        <w:noProof/>
      </w:rPr>
      <w:t>5</w:t>
    </w:r>
    <w:r w:rsidRPr="00025958">
      <w:fldChar w:fldCharType="end"/>
    </w:r>
    <w:r w:rsidRPr="00025958">
      <w:t>/</w:t>
    </w:r>
    <w:fldSimple w:instr=" NUMPAGES  \* MERGEFORMAT ">
      <w:r w:rsidR="003C5AC2">
        <w:rPr>
          <w:noProof/>
        </w:rPr>
        <w:t>6</w:t>
      </w:r>
    </w:fldSimple>
    <w:r w:rsidRPr="00025958">
      <w:tab/>
      <w:t>PE</w:t>
    </w:r>
    <w:r w:rsidRPr="00025958">
      <w:rPr>
        <w:rStyle w:val="HideTWBExt"/>
        <w:noProof w:val="0"/>
      </w:rPr>
      <w:t>&lt;NoPE&gt;</w:t>
    </w:r>
    <w:r w:rsidRPr="00025958">
      <w:t>660.347</w:t>
    </w:r>
    <w:r w:rsidRPr="00025958">
      <w:rPr>
        <w:rStyle w:val="HideTWBExt"/>
        <w:noProof w:val="0"/>
      </w:rPr>
      <w:t>&lt;/NoPE&gt;&lt;Version&gt;</w:t>
    </w:r>
    <w:r w:rsidRPr="00025958">
      <w:t>v01-00</w:t>
    </w:r>
    <w:r w:rsidRPr="00025958">
      <w:rPr>
        <w:rStyle w:val="HideTWBExt"/>
        <w:noProof w:val="0"/>
      </w:rPr>
      <w:t>&lt;/Version&gt;</w:t>
    </w:r>
  </w:p>
  <w:p w:rsidR="00A90219" w:rsidRPr="00025958" w:rsidRDefault="00025958" w:rsidP="00025958">
    <w:pPr>
      <w:pStyle w:val="EPFooter2"/>
    </w:pPr>
    <w:r w:rsidRPr="00025958">
      <w:tab/>
    </w:r>
    <w:r w:rsidRPr="00025958">
      <w:tab/>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58" w:rsidRPr="00025958" w:rsidRDefault="00025958" w:rsidP="00025958">
    <w:pPr>
      <w:pStyle w:val="EPFooter"/>
    </w:pPr>
    <w:r w:rsidRPr="00025958">
      <w:rPr>
        <w:rStyle w:val="HideTWBExt"/>
        <w:noProof w:val="0"/>
      </w:rPr>
      <w:t>&lt;PathFdR&gt;</w:t>
    </w:r>
    <w:r w:rsidRPr="00025958">
      <w:t>RE\1218403HU.docx</w:t>
    </w:r>
    <w:r w:rsidRPr="00025958">
      <w:rPr>
        <w:rStyle w:val="HideTWBExt"/>
        <w:noProof w:val="0"/>
      </w:rPr>
      <w:t>&lt;/PathFdR&gt;</w:t>
    </w:r>
    <w:r w:rsidRPr="00025958">
      <w:tab/>
    </w:r>
    <w:r w:rsidRPr="00025958">
      <w:tab/>
      <w:t>PE</w:t>
    </w:r>
    <w:r w:rsidRPr="00025958">
      <w:rPr>
        <w:rStyle w:val="HideTWBExt"/>
        <w:noProof w:val="0"/>
      </w:rPr>
      <w:t>&lt;NoPE&gt;</w:t>
    </w:r>
    <w:r w:rsidRPr="00025958">
      <w:t>660.347</w:t>
    </w:r>
    <w:r w:rsidRPr="00025958">
      <w:rPr>
        <w:rStyle w:val="HideTWBExt"/>
        <w:noProof w:val="0"/>
      </w:rPr>
      <w:t>&lt;/NoPE&gt;&lt;Version&gt;</w:t>
    </w:r>
    <w:r w:rsidRPr="00025958">
      <w:t>v01-00</w:t>
    </w:r>
    <w:r w:rsidRPr="00025958">
      <w:rPr>
        <w:rStyle w:val="HideTWBExt"/>
        <w:noProof w:val="0"/>
      </w:rPr>
      <w:t>&lt;/Version&gt;</w:t>
    </w:r>
  </w:p>
  <w:p w:rsidR="00A90219" w:rsidRPr="00025958" w:rsidRDefault="00025958" w:rsidP="00025958">
    <w:pPr>
      <w:pStyle w:val="EPFooter2"/>
    </w:pPr>
    <w:r w:rsidRPr="00025958">
      <w:t>HU</w:t>
    </w:r>
    <w:r w:rsidRPr="00025958">
      <w:tab/>
    </w:r>
    <w:r w:rsidRPr="00025958">
      <w:rPr>
        <w:b w:val="0"/>
        <w:i/>
        <w:color w:val="C0C0C0"/>
        <w:sz w:val="22"/>
      </w:rPr>
      <w:t>Egyesülve a sokféleségben</w:t>
    </w:r>
    <w:r w:rsidRPr="00025958">
      <w:tab/>
      <w:t>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025958" w:rsidRDefault="00674856">
      <w:r w:rsidRPr="00025958">
        <w:separator/>
      </w:r>
    </w:p>
  </w:footnote>
  <w:footnote w:type="continuationSeparator" w:id="0">
    <w:p w:rsidR="00674856" w:rsidRPr="00025958" w:rsidRDefault="00674856">
      <w:r w:rsidRPr="00025958">
        <w:continuationSeparator/>
      </w:r>
    </w:p>
  </w:footnote>
  <w:footnote w:id="1">
    <w:p w:rsidR="002C1F91" w:rsidRPr="00025958" w:rsidRDefault="002C1F91" w:rsidP="002C1F91">
      <w:pPr>
        <w:pStyle w:val="FootnoteText"/>
      </w:pPr>
      <w:r w:rsidRPr="00025958">
        <w:rPr>
          <w:rStyle w:val="FootnoteReference"/>
        </w:rPr>
        <w:footnoteRef/>
      </w:r>
      <w:r w:rsidRPr="00025958">
        <w:t xml:space="preserve"> HL L 119., 2016.5.4., 1–88. o.</w:t>
      </w:r>
    </w:p>
  </w:footnote>
  <w:footnote w:id="2">
    <w:p w:rsidR="002C1F91" w:rsidRPr="00025958" w:rsidRDefault="002C1F91" w:rsidP="002C1F91">
      <w:pPr>
        <w:pStyle w:val="FootnoteText"/>
      </w:pPr>
      <w:r w:rsidRPr="00025958">
        <w:rPr>
          <w:rStyle w:val="FootnoteReference"/>
        </w:rPr>
        <w:footnoteRef/>
      </w:r>
      <w:r w:rsidRPr="00025958">
        <w:t xml:space="preserve"> COM(2020) 264, 2020. június 24.</w:t>
      </w:r>
    </w:p>
  </w:footnote>
  <w:footnote w:id="3">
    <w:p w:rsidR="002C1F91" w:rsidRPr="00025958" w:rsidRDefault="002C1F91" w:rsidP="002C1F91">
      <w:pPr>
        <w:pStyle w:val="FootnoteText"/>
      </w:pPr>
      <w:r w:rsidRPr="00025958">
        <w:rPr>
          <w:rStyle w:val="FootnoteReference"/>
        </w:rPr>
        <w:footnoteRef/>
      </w:r>
      <w:r w:rsidRPr="00025958">
        <w:t xml:space="preserve"> COM(2020) 264, 2020. június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C2" w:rsidRDefault="003C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C2" w:rsidRDefault="003C5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C2" w:rsidRDefault="003C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HU"/>
    <w:docVar w:name="TXTLANGUEMIN" w:val="hu"/>
    <w:docVar w:name="TXTNRPE" w:val="660.347"/>
    <w:docVar w:name="TXTNRRSP" w:val="2020/2727"/>
    <w:docVar w:name="TXTPEorAP" w:val="PE"/>
    <w:docVar w:name="TXTROUTE" w:val="RE\1218403HU.docx"/>
    <w:docVar w:name="TXTTITLE" w:val="the Commission evaluation report on the implementation of the General Data Protection Regulation two years after its application"/>
    <w:docVar w:name="TXTVERSION" w:val="01-00"/>
  </w:docVars>
  <w:rsids>
    <w:rsidRoot w:val="00674856"/>
    <w:rsid w:val="00025958"/>
    <w:rsid w:val="00037F46"/>
    <w:rsid w:val="00094DDA"/>
    <w:rsid w:val="0010559F"/>
    <w:rsid w:val="00117781"/>
    <w:rsid w:val="00173DA4"/>
    <w:rsid w:val="001B49A3"/>
    <w:rsid w:val="001B7CFB"/>
    <w:rsid w:val="001C16A7"/>
    <w:rsid w:val="001C62C5"/>
    <w:rsid w:val="001E2450"/>
    <w:rsid w:val="00222BBB"/>
    <w:rsid w:val="002574AA"/>
    <w:rsid w:val="002C1F91"/>
    <w:rsid w:val="002C7767"/>
    <w:rsid w:val="00303413"/>
    <w:rsid w:val="00304E12"/>
    <w:rsid w:val="003772FA"/>
    <w:rsid w:val="003C5AC2"/>
    <w:rsid w:val="00411D03"/>
    <w:rsid w:val="00412503"/>
    <w:rsid w:val="00471D62"/>
    <w:rsid w:val="004B5166"/>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10344</Characters>
  <Application>Microsoft Office Word</Application>
  <DocSecurity>0</DocSecurity>
  <Lines>181</Lines>
  <Paragraphs>72</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TAKACS Tamas</cp:lastModifiedBy>
  <cp:revision>2</cp:revision>
  <cp:lastPrinted>2004-11-19T15:55:00Z</cp:lastPrinted>
  <dcterms:created xsi:type="dcterms:W3CDTF">2020-12-01T10:05:00Z</dcterms:created>
  <dcterms:modified xsi:type="dcterms:W3CDTF">2020-12-01T10:05:00Z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RE\1218403HU.docx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HU</vt:lpwstr>
  </property>
  <property fmtid="{D5CDD505-2E9C-101B-9397-08002B2CF9AE}" pid="14" name="Bookout">
    <vt:lpwstr>OK - 2020/12/01 11:05</vt:lpwstr>
  </property>
</Properties>
</file>