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9E689D" w:rsidTr="00C85D0F">
        <w:trPr>
          <w:trHeight w:hRule="exact" w:val="1418"/>
        </w:trPr>
        <w:tc>
          <w:tcPr>
            <w:tcW w:w="6804" w:type="dxa"/>
            <w:shd w:val="clear" w:color="auto" w:fill="auto"/>
            <w:vAlign w:val="center"/>
          </w:tcPr>
          <w:p w:rsidR="008F5EFB" w:rsidRPr="009E689D" w:rsidRDefault="00674856" w:rsidP="00C85D0F">
            <w:pPr>
              <w:pStyle w:val="EPName"/>
            </w:pPr>
            <w:r w:rsidRPr="009E689D">
              <w:t>Euroopan parlamentti</w:t>
            </w:r>
          </w:p>
          <w:p w:rsidR="008F5EFB" w:rsidRPr="009E689D" w:rsidRDefault="002C1F91" w:rsidP="002C1F91">
            <w:pPr>
              <w:pStyle w:val="EPTerm"/>
            </w:pPr>
            <w:r w:rsidRPr="009E689D">
              <w:t>2019-2024</w:t>
            </w:r>
          </w:p>
        </w:tc>
        <w:tc>
          <w:tcPr>
            <w:tcW w:w="2268" w:type="dxa"/>
            <w:shd w:val="clear" w:color="auto" w:fill="auto"/>
          </w:tcPr>
          <w:p w:rsidR="008F5EFB" w:rsidRPr="009E689D" w:rsidRDefault="008F5EFB" w:rsidP="00C85D0F">
            <w:pPr>
              <w:pStyle w:val="EPLogo"/>
            </w:pPr>
            <w:r w:rsidRPr="009E689D">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9E689D" w:rsidRDefault="00E53167" w:rsidP="00E53167">
      <w:pPr>
        <w:pStyle w:val="LineTop"/>
      </w:pPr>
    </w:p>
    <w:p w:rsidR="00E53167" w:rsidRPr="009E689D" w:rsidRDefault="002C1F91" w:rsidP="00E53167">
      <w:pPr>
        <w:pStyle w:val="EPBody"/>
      </w:pPr>
      <w:r w:rsidRPr="009E689D">
        <w:rPr>
          <w:rStyle w:val="HideTWBInt"/>
        </w:rPr>
        <w:t>{LIBE}</w:t>
      </w:r>
      <w:r w:rsidRPr="009E689D">
        <w:t>Kansalaisvapauksien sekä oikeus- ja sisäasioiden valiokunta</w:t>
      </w:r>
    </w:p>
    <w:p w:rsidR="00094DDA" w:rsidRPr="009E689D" w:rsidRDefault="00094DDA" w:rsidP="00094DDA">
      <w:pPr>
        <w:pStyle w:val="LineBottom"/>
      </w:pPr>
    </w:p>
    <w:p w:rsidR="00094DDA" w:rsidRPr="009E689D" w:rsidRDefault="00094DDA" w:rsidP="00094DDA">
      <w:pPr>
        <w:pStyle w:val="CoverReference"/>
      </w:pPr>
      <w:r w:rsidRPr="009E689D">
        <w:rPr>
          <w:rStyle w:val="HideTWBExt"/>
          <w:b w:val="0"/>
          <w:noProof w:val="0"/>
        </w:rPr>
        <w:t>&lt;NoDocSe&gt;</w:t>
      </w:r>
      <w:r w:rsidRPr="009E689D">
        <w:t>2020/2717(RSP)</w:t>
      </w:r>
      <w:r w:rsidRPr="009E689D">
        <w:rPr>
          <w:rStyle w:val="HideTWBExt"/>
          <w:b w:val="0"/>
          <w:noProof w:val="0"/>
        </w:rPr>
        <w:t>&lt;/NoDocSe&gt;</w:t>
      </w:r>
    </w:p>
    <w:p w:rsidR="00094DDA" w:rsidRPr="009E689D" w:rsidRDefault="00094DDA" w:rsidP="00094DDA">
      <w:pPr>
        <w:pStyle w:val="CoverDate"/>
      </w:pPr>
      <w:r w:rsidRPr="009E689D">
        <w:rPr>
          <w:rStyle w:val="HideTWBExt"/>
          <w:noProof w:val="0"/>
        </w:rPr>
        <w:t>&lt;Date&gt;</w:t>
      </w:r>
      <w:r w:rsidRPr="009E689D">
        <w:t>...</w:t>
      </w:r>
      <w:r w:rsidRPr="009E689D">
        <w:rPr>
          <w:rStyle w:val="HideTWBExt"/>
          <w:noProof w:val="0"/>
        </w:rPr>
        <w:t>&lt;/Date&gt;</w:t>
      </w:r>
    </w:p>
    <w:p w:rsidR="00814BC6" w:rsidRPr="009E689D" w:rsidRDefault="00814BC6">
      <w:pPr>
        <w:pStyle w:val="CoverDocType24a"/>
      </w:pPr>
      <w:r w:rsidRPr="009E689D">
        <w:rPr>
          <w:rStyle w:val="HideTWBExt"/>
          <w:b w:val="0"/>
          <w:noProof w:val="0"/>
        </w:rPr>
        <w:t>&lt;TitreType&gt;</w:t>
      </w:r>
      <w:r w:rsidRPr="009E689D">
        <w:t>LUONNOS PÄÄTÖSLAUSELMA</w:t>
      </w:r>
      <w:r w:rsidR="009E689D" w:rsidRPr="009E689D">
        <w:t>-</w:t>
      </w:r>
      <w:bookmarkStart w:id="0" w:name="_GoBack"/>
      <w:bookmarkEnd w:id="0"/>
      <w:r w:rsidRPr="009E689D">
        <w:t>ESITYKSEKSI</w:t>
      </w:r>
      <w:r w:rsidRPr="009E689D">
        <w:rPr>
          <w:rStyle w:val="HideTWBExt"/>
          <w:b w:val="0"/>
          <w:noProof w:val="0"/>
        </w:rPr>
        <w:t>&lt;/TitreType&gt;</w:t>
      </w:r>
    </w:p>
    <w:p w:rsidR="00814BC6" w:rsidRPr="009E689D" w:rsidRDefault="00814BC6">
      <w:pPr>
        <w:pStyle w:val="CoverNormal12a"/>
      </w:pPr>
      <w:r w:rsidRPr="009E689D">
        <w:rPr>
          <w:rStyle w:val="HideTWBExt"/>
          <w:noProof w:val="0"/>
        </w:rPr>
        <w:t>&lt;TitreSuite&gt;</w:t>
      </w:r>
      <w:r w:rsidRPr="009E689D">
        <w:t>komission julkilausuman johdosta</w:t>
      </w:r>
      <w:r w:rsidRPr="009E689D">
        <w:rPr>
          <w:rStyle w:val="HideTWBExt"/>
          <w:noProof w:val="0"/>
        </w:rPr>
        <w:t>&lt;/TitreSuite&gt;</w:t>
      </w:r>
    </w:p>
    <w:p w:rsidR="00814BC6" w:rsidRPr="009E689D" w:rsidRDefault="00814BC6">
      <w:pPr>
        <w:pStyle w:val="CoverNormal12a"/>
      </w:pPr>
      <w:r w:rsidRPr="009E689D">
        <w:rPr>
          <w:rStyle w:val="HideTWBExt"/>
          <w:noProof w:val="0"/>
        </w:rPr>
        <w:t>&lt;TitreRecueil&gt;</w:t>
      </w:r>
      <w:r w:rsidRPr="009E689D">
        <w:t>työjärjestyksen 132 artiklan 2 kohdan mukaisesti</w:t>
      </w:r>
      <w:r w:rsidRPr="009E689D">
        <w:rPr>
          <w:rStyle w:val="HideTWBExt"/>
          <w:noProof w:val="0"/>
        </w:rPr>
        <w:t>&lt;/TitreRecueil&gt;</w:t>
      </w:r>
    </w:p>
    <w:p w:rsidR="00C23264" w:rsidRPr="009E689D" w:rsidRDefault="00C23264" w:rsidP="00C23264">
      <w:pPr>
        <w:pStyle w:val="CoverNormal"/>
      </w:pPr>
      <w:r w:rsidRPr="009E689D">
        <w:rPr>
          <w:rStyle w:val="HideTWBExt"/>
          <w:noProof w:val="0"/>
        </w:rPr>
        <w:t>&lt;Titre&gt;</w:t>
      </w:r>
      <w:r w:rsidRPr="009E689D">
        <w:t>komission kertomuksesta yleisen tietosuoja-asetuksen täytäntöönpanosta kaksi vuotta sen soveltamisen aloittamisesta</w:t>
      </w:r>
      <w:r w:rsidRPr="009E689D">
        <w:rPr>
          <w:rStyle w:val="HideTWBExt"/>
          <w:noProof w:val="0"/>
        </w:rPr>
        <w:t>&lt;/Titre&gt;</w:t>
      </w:r>
    </w:p>
    <w:p w:rsidR="00C23264" w:rsidRPr="009E689D" w:rsidRDefault="00C23264" w:rsidP="00C23264">
      <w:pPr>
        <w:pStyle w:val="CoverNormal24a"/>
      </w:pPr>
      <w:r w:rsidRPr="009E689D">
        <w:rPr>
          <w:rStyle w:val="HideTWBExt"/>
          <w:noProof w:val="0"/>
        </w:rPr>
        <w:t>&lt;DocRef&gt;</w:t>
      </w:r>
      <w:r w:rsidRPr="009E689D">
        <w:t>(2020/2717(RSP))</w:t>
      </w:r>
      <w:r w:rsidRPr="009E689D">
        <w:rPr>
          <w:rStyle w:val="HideTWBExt"/>
          <w:noProof w:val="0"/>
        </w:rPr>
        <w:t>&lt;/DocRef&gt;</w:t>
      </w:r>
    </w:p>
    <w:p w:rsidR="002574AA" w:rsidRPr="009E689D" w:rsidRDefault="002574AA" w:rsidP="002574AA">
      <w:pPr>
        <w:pStyle w:val="CoverBold"/>
      </w:pPr>
      <w:r w:rsidRPr="009E689D">
        <w:rPr>
          <w:rStyle w:val="HideTWBExt"/>
          <w:b w:val="0"/>
          <w:noProof w:val="0"/>
        </w:rPr>
        <w:t>&lt;RepeatBlock-By&gt;&lt;Depute&gt;</w:t>
      </w:r>
      <w:r w:rsidRPr="009E689D">
        <w:t>Juan Fernando López Aguilar</w:t>
      </w:r>
      <w:r w:rsidRPr="009E689D">
        <w:rPr>
          <w:rStyle w:val="HideTWBExt"/>
          <w:b w:val="0"/>
          <w:noProof w:val="0"/>
          <w:color w:val="auto"/>
        </w:rPr>
        <w:t>&lt;/Depute&gt;</w:t>
      </w:r>
    </w:p>
    <w:p w:rsidR="002574AA" w:rsidRPr="009E689D" w:rsidRDefault="002574AA" w:rsidP="002574AA">
      <w:pPr>
        <w:pStyle w:val="CoverNormal"/>
      </w:pPr>
      <w:r w:rsidRPr="009E689D">
        <w:rPr>
          <w:rStyle w:val="HideTWBExt"/>
          <w:noProof w:val="0"/>
        </w:rPr>
        <w:t>&lt;Commission&gt;</w:t>
      </w:r>
      <w:r w:rsidRPr="009E689D">
        <w:rPr>
          <w:rStyle w:val="HideTWBInt"/>
        </w:rPr>
        <w:t>{LIBE}</w:t>
      </w:r>
      <w:r w:rsidRPr="009E689D">
        <w:t>kansalaisvapauksien sekä oikeus- ja sisäasioiden valiokunnan puolesta</w:t>
      </w:r>
      <w:r w:rsidRPr="009E689D">
        <w:rPr>
          <w:rStyle w:val="HideTWBExt"/>
          <w:noProof w:val="0"/>
        </w:rPr>
        <w:t>&lt;/Commission&gt;</w:t>
      </w:r>
    </w:p>
    <w:p w:rsidR="002574AA" w:rsidRPr="009E689D" w:rsidRDefault="002574AA" w:rsidP="002574AA">
      <w:pPr>
        <w:pStyle w:val="CoverNormal"/>
      </w:pPr>
      <w:r w:rsidRPr="009E689D">
        <w:rPr>
          <w:rStyle w:val="HideTWBExt"/>
          <w:noProof w:val="0"/>
        </w:rPr>
        <w:t>&lt;/RepeatBlock-By&gt;</w:t>
      </w:r>
    </w:p>
    <w:p w:rsidR="00814BC6" w:rsidRPr="009E689D" w:rsidRDefault="00814BC6">
      <w:pPr>
        <w:pStyle w:val="NormalBold12a"/>
      </w:pPr>
      <w:r w:rsidRPr="009E689D">
        <w:br w:type="page"/>
      </w:r>
      <w:r w:rsidRPr="009E689D">
        <w:lastRenderedPageBreak/>
        <w:t>B9</w:t>
      </w:r>
      <w:r w:rsidRPr="009E689D">
        <w:noBreakHyphen/>
        <w:t>0000/2020</w:t>
      </w:r>
    </w:p>
    <w:p w:rsidR="00C23264" w:rsidRPr="009E689D" w:rsidRDefault="00674856" w:rsidP="00C23264">
      <w:pPr>
        <w:pStyle w:val="NormalBold"/>
      </w:pPr>
      <w:r w:rsidRPr="009E689D">
        <w:t>Euroopan parlamentin päätöslauselma komission kertomuksesta yleisen tietosuoja-asetuksen täytäntöönpanosta kaksi vuotta sen soveltamisen aloittamisesta</w:t>
      </w:r>
    </w:p>
    <w:p w:rsidR="00C23264" w:rsidRPr="009E689D" w:rsidRDefault="00674856" w:rsidP="00DF7943">
      <w:pPr>
        <w:pStyle w:val="NormalBold"/>
      </w:pPr>
      <w:r w:rsidRPr="009E689D">
        <w:t>(2020/2717(RSP))</w:t>
      </w:r>
    </w:p>
    <w:p w:rsidR="00814BC6" w:rsidRPr="009E689D" w:rsidRDefault="00674856">
      <w:pPr>
        <w:pStyle w:val="EPComma"/>
      </w:pPr>
      <w:r w:rsidRPr="009E689D">
        <w:rPr>
          <w:i/>
        </w:rPr>
        <w:t>Euroopan parlamentti</w:t>
      </w:r>
      <w:r w:rsidRPr="009E689D">
        <w:t>, joka</w:t>
      </w:r>
    </w:p>
    <w:p w:rsidR="002C1F91" w:rsidRPr="009E689D" w:rsidRDefault="00814BC6" w:rsidP="00FD65B9">
      <w:pPr>
        <w:widowControl/>
        <w:ind w:left="567" w:hanging="567"/>
        <w:rPr>
          <w:szCs w:val="24"/>
        </w:rPr>
      </w:pPr>
      <w:r w:rsidRPr="009E689D">
        <w:t>–</w:t>
      </w:r>
      <w:r w:rsidRPr="009E689D">
        <w:tab/>
        <w:t>ottaa huomioon luonnollisten henkilöiden suojelusta henkilötietojen käsittelyssä sekä näiden tietojen vapaasta liikkuvuudesta ja direktiivin 95/46/EY kumoamisesta (yleinen tietosuoja-asetus) 24. huhtikuuta 2016 annetun Euroopan parlamentin ja neuvoston asetuksen (EU) 2016/679</w:t>
      </w:r>
      <w:r w:rsidR="002C1F91" w:rsidRPr="009E689D">
        <w:rPr>
          <w:rStyle w:val="FootnoteReference"/>
        </w:rPr>
        <w:footnoteReference w:id="1"/>
      </w:r>
      <w:r w:rsidRPr="009E689D">
        <w:t xml:space="preserve">; </w:t>
      </w:r>
    </w:p>
    <w:p w:rsidR="002C1F91" w:rsidRPr="009E689D" w:rsidRDefault="00CC09D8" w:rsidP="00FD65B9">
      <w:pPr>
        <w:widowControl/>
        <w:spacing w:before="240"/>
        <w:ind w:left="567" w:hanging="567"/>
        <w:rPr>
          <w:szCs w:val="24"/>
        </w:rPr>
      </w:pPr>
      <w:r w:rsidRPr="009E689D">
        <w:t>–</w:t>
      </w:r>
      <w:r w:rsidRPr="009E689D">
        <w:tab/>
        <w:t>ottaa huomioon komission 24. kesäkuuta 2020 antaman julkilausuman komission tiedonannosta Euroopan parlamentille ja neuvostolle aiheesta ”Tietosuojasäännöt kansalaisten vaikutusmahdollisuuksien ja EU:n digitaalisen muutoksen edistäjänä – yleistä tietosuoja-asetusta sovellettu kaksi vuotta”</w:t>
      </w:r>
      <w:r w:rsidR="002C1F91" w:rsidRPr="009E689D">
        <w:rPr>
          <w:rStyle w:val="FootnoteReference"/>
        </w:rPr>
        <w:footnoteReference w:id="2"/>
      </w:r>
      <w:r w:rsidRPr="009E689D">
        <w:t xml:space="preserve">; </w:t>
      </w:r>
    </w:p>
    <w:p w:rsidR="002C1F91" w:rsidRPr="009E689D" w:rsidRDefault="002C1F91" w:rsidP="00FD65B9">
      <w:pPr>
        <w:widowControl/>
        <w:spacing w:before="240"/>
        <w:ind w:left="567" w:hanging="567"/>
        <w:rPr>
          <w:szCs w:val="24"/>
        </w:rPr>
      </w:pPr>
      <w:r w:rsidRPr="009E689D">
        <w:t>–</w:t>
      </w:r>
      <w:r w:rsidRPr="009E689D">
        <w:tab/>
        <w:t>ottaa huomioon komission 24. kesäkuuta 2020 antaman tiedonannon Euroopan parlamentille ja neuvostolle aiheesta ”Tietosuojasäännöt kansalaisten vaikutusmahdollisuuksien ja EU:n digitaalisen muutoksen edistäjänä – yleistä tietosuoja-asetusta sovellettu kaksi vuotta”</w:t>
      </w:r>
      <w:r w:rsidRPr="009E689D">
        <w:rPr>
          <w:rStyle w:val="FootnoteReference"/>
        </w:rPr>
        <w:footnoteReference w:id="3"/>
      </w:r>
      <w:r w:rsidRPr="009E689D">
        <w:t xml:space="preserve">; </w:t>
      </w:r>
    </w:p>
    <w:p w:rsidR="00ED22B8" w:rsidRPr="009E689D" w:rsidRDefault="00ED22B8" w:rsidP="00FD65B9">
      <w:pPr>
        <w:pStyle w:val="NormalHanging12a"/>
        <w:spacing w:before="240"/>
      </w:pPr>
      <w:r w:rsidRPr="009E689D">
        <w:t>–</w:t>
      </w:r>
      <w:r w:rsidRPr="009E689D">
        <w:tab/>
        <w:t>ottaa huomioon työjärjestyksen 132 artiklan 2 kohdan,</w:t>
      </w:r>
    </w:p>
    <w:p w:rsidR="00780A7D" w:rsidRPr="009E689D" w:rsidRDefault="00780A7D" w:rsidP="00FD65B9">
      <w:pPr>
        <w:pStyle w:val="NormalHanging12a"/>
      </w:pPr>
      <w:r w:rsidRPr="009E689D">
        <w:t>–</w:t>
      </w:r>
      <w:r w:rsidRPr="009E689D">
        <w:tab/>
        <w:t>ottaa huomioon kansalaisvapauksien sekä oikeus- ja sisäasioiden valiokunnan päätöslauselmaesityksen,</w:t>
      </w:r>
    </w:p>
    <w:p w:rsidR="00814BC6" w:rsidRPr="009E689D" w:rsidRDefault="002C1F91" w:rsidP="002C1F91">
      <w:pPr>
        <w:pStyle w:val="NormalHanging12a"/>
        <w:ind w:hanging="566"/>
      </w:pPr>
      <w:r w:rsidRPr="009E689D">
        <w:t>A.</w:t>
      </w:r>
      <w:r w:rsidRPr="009E689D">
        <w:tab/>
        <w:t>ottaa huomioon, että yleistä tietosuoja-asetusta on sovellettu 25. toukokuuta 2018 lähtien; ottaa huomioon, että Sloveniaa lukuun ottamatta kaikki jäsenvaltiot ovat hyväksyneet uuden lainsäädännön tai mukauttaneet kansallista tietosuojalainsäädäntöään;</w:t>
      </w:r>
    </w:p>
    <w:p w:rsidR="002C1F91" w:rsidRPr="009E689D" w:rsidRDefault="002C1F91" w:rsidP="002C1F91">
      <w:pPr>
        <w:pStyle w:val="NormalHanging12a"/>
        <w:ind w:hanging="566"/>
      </w:pPr>
      <w:r w:rsidRPr="009E689D">
        <w:t>B.</w:t>
      </w:r>
      <w:r w:rsidRPr="009E689D">
        <w:tab/>
        <w:t>ottaa huomioon, että yleisen tietosuoja-asetuksen soveltamisen alkamisen jälkeen valitusten määrä on kasvanut valtavasti; toteaa tämän osoittavan, että rekisteröidyt ovat paremmin tietoisia oikeuksistaan ja haluavat suojella henkilötietojaan yleisen tietosuoja-asetuksen mukaisesti; toteaa tämän osoittavan myös, että suuria määriä laitonta tietojenkäsittelyä tapahtuu edelleen;</w:t>
      </w:r>
    </w:p>
    <w:p w:rsidR="002C1F91" w:rsidRPr="009E689D" w:rsidRDefault="002C1F91" w:rsidP="002C1F91">
      <w:pPr>
        <w:pStyle w:val="NormalHanging12a"/>
        <w:ind w:left="1" w:firstLine="0"/>
        <w:rPr>
          <w:b/>
          <w:i/>
        </w:rPr>
      </w:pPr>
      <w:r w:rsidRPr="009E689D">
        <w:rPr>
          <w:b/>
          <w:i/>
        </w:rPr>
        <w:t>YLEISIÄ HUOMIOITA</w:t>
      </w:r>
    </w:p>
    <w:p w:rsidR="002C1F91" w:rsidRPr="009E689D" w:rsidRDefault="002C1F91" w:rsidP="009E689D">
      <w:pPr>
        <w:pStyle w:val="NormalHanging12a"/>
        <w:widowControl/>
      </w:pPr>
      <w:r w:rsidRPr="009E689D">
        <w:t>1.</w:t>
      </w:r>
      <w:r w:rsidRPr="009E689D">
        <w:tab/>
        <w:t xml:space="preserve">suhtautuu myönteisesti siihen, että yleisestä tietosuoja-asetuksesta on tullut henkilötietojen suojaa koskeva maailmanlaajuinen standardi ja että se edistää lähentymistä normien kehittämisessä; pitää myönteisenä, että yleinen tietosuoja-asetus on asettanut EU:n tietosuojaa koskevien kansainvälisten keskustelujen eturintamaan ja </w:t>
      </w:r>
      <w:r w:rsidRPr="009E689D">
        <w:lastRenderedPageBreak/>
        <w:t>että useat kolmannet maat ovat mukauttaneet tietosuojalainsäädäntönsä yleisen tietosuoja-asetuksen mukaiseksi;</w:t>
      </w:r>
    </w:p>
    <w:p w:rsidR="002C1F91" w:rsidRPr="009E689D" w:rsidRDefault="002C1F91" w:rsidP="002C1F91">
      <w:pPr>
        <w:pStyle w:val="NormalHanging12a"/>
        <w:ind w:hanging="566"/>
      </w:pPr>
      <w:r w:rsidRPr="009E689D">
        <w:t>2.</w:t>
      </w:r>
      <w:r w:rsidRPr="009E689D">
        <w:tab/>
        <w:t>toteaa, että kaksi vuotta sen soveltamisen alkamisen jälkeen yleinen tietosuoja-asetus on ollut yleisesti ottaen menestys, ja on samaa mieltä komission kanssa siitä, että tässä vaiheessa ei ole tarpeen päivittää tai tarkistaa lainsäädäntöä;</w:t>
      </w:r>
    </w:p>
    <w:p w:rsidR="002C1F91" w:rsidRPr="009E689D" w:rsidRDefault="002C1F91" w:rsidP="002C1F91">
      <w:pPr>
        <w:pStyle w:val="NormalHanging12a"/>
        <w:ind w:hanging="566"/>
      </w:pPr>
      <w:r w:rsidRPr="009E689D">
        <w:t>3.</w:t>
      </w:r>
      <w:r w:rsidRPr="009E689D">
        <w:tab/>
        <w:t>toteaa, että tulevina vuosina on keskityttävä edelleen täytäntöönpanon parantamiseen ja toimiin yleisen tietosuoja-asetuksen vahvistamiseksi;</w:t>
      </w:r>
    </w:p>
    <w:p w:rsidR="002C1F91" w:rsidRPr="009E689D" w:rsidRDefault="00FD65B9" w:rsidP="002C1F91">
      <w:pPr>
        <w:pStyle w:val="NormalHanging12a"/>
        <w:ind w:hanging="566"/>
      </w:pPr>
      <w:r w:rsidRPr="009E689D">
        <w:t>4.</w:t>
      </w:r>
      <w:r w:rsidRPr="009E689D">
        <w:tab/>
        <w:t>toteaa, että yleistä tietosuoja-asetusta on sovellettava voimakkaasti ja tehokkaasti suuriin digitaalisiin alustoihin ja integroituneisiin yrityksiin, myös verkkomainonnan ja mikrokohdentamisen kaltaisilla aloilla;</w:t>
      </w:r>
    </w:p>
    <w:p w:rsidR="002C1F91" w:rsidRPr="009E689D" w:rsidRDefault="002C1F91" w:rsidP="002C1F91">
      <w:pPr>
        <w:spacing w:after="240"/>
        <w:rPr>
          <w:rFonts w:eastAsia="DejaVu Sans"/>
          <w:kern w:val="2"/>
        </w:rPr>
      </w:pPr>
      <w:r w:rsidRPr="009E689D">
        <w:rPr>
          <w:b/>
          <w:i/>
        </w:rPr>
        <w:t>KÄSITTELYN OIKEUSPERUSTA</w:t>
      </w:r>
    </w:p>
    <w:p w:rsidR="002C1F91" w:rsidRPr="009E689D" w:rsidRDefault="00FD65B9" w:rsidP="002C1F91">
      <w:pPr>
        <w:pStyle w:val="NormalHanging12a"/>
        <w:ind w:hanging="566"/>
      </w:pPr>
      <w:r w:rsidRPr="009E689D">
        <w:t>5.</w:t>
      </w:r>
      <w:r w:rsidRPr="009E689D">
        <w:tab/>
        <w:t>muistuttaa, että yleisen tietosuoja-asetuksen soveltamisen alkamisesta lähtien ”suostumuksella” on tarkoitettu mitä tahansa vapaaehtoista, yksilöityä, tietoista ja yksiselitteistä rekisteröidyn toiveiden mukaista tahdonilmaisua, ja korostaa, että tämä koskee myös sähköisen viestinnän tietosuojadirektiiviä; toteaa, että pätevän suostumuksen täytäntöönpano vaarantuu edelleen, kun käytetään harhauttavia ”dark pattern” -tekniikoita, seurantaa kaupallisiin tarkoituksiin ja muita epäeettisiä käytäntöjä; on huolissaan siitä, että yksilöihin kohdistuu usein taloudellista painetta, jotta he antavat suostumuksensa alennuksia tai muita kaupallisia tarjouksia vastaan, tai että heidät pakotetaan antamaan suostumus asettamalla palvelun käytön ehdoksi sitovat määräykset, mikä on vastoin yleisen tietosuoja-asetuksen 7 artiklaa;</w:t>
      </w:r>
    </w:p>
    <w:p w:rsidR="002C1F91" w:rsidRPr="009E689D" w:rsidRDefault="002C1F91" w:rsidP="002C1F91">
      <w:pPr>
        <w:spacing w:after="240"/>
        <w:rPr>
          <w:rFonts w:eastAsia="DejaVu Sans"/>
          <w:b/>
          <w:i/>
          <w:kern w:val="2"/>
        </w:rPr>
      </w:pPr>
      <w:r w:rsidRPr="009E689D">
        <w:rPr>
          <w:b/>
          <w:i/>
        </w:rPr>
        <w:t>REKISTERÖITYJEN OIKEUDET</w:t>
      </w:r>
    </w:p>
    <w:p w:rsidR="002C1F91" w:rsidRPr="009E689D" w:rsidRDefault="00FD65B9" w:rsidP="002C1F91">
      <w:pPr>
        <w:pStyle w:val="NormalHanging12a"/>
        <w:ind w:hanging="566"/>
      </w:pPr>
      <w:r w:rsidRPr="009E689D">
        <w:t>6.</w:t>
      </w:r>
      <w:r w:rsidRPr="009E689D">
        <w:tab/>
        <w:t>korostaa, että on tarpeen helpottaa yleisessä tietosuoja-asetuksessa säädettyjen yksilöllisten oikeuksien käyttöä, kuten tietojen siirrettävyyttä tai oikeuksia automaattisen käsittelyn yhteydessä, profilointi mukaan luettuna; kehottaa Euroopan tietosuojaneuvostoa antamaan lisäohjeita automatisoidusta päätöksenteosta;</w:t>
      </w:r>
    </w:p>
    <w:p w:rsidR="002C1F91" w:rsidRPr="009E689D" w:rsidRDefault="002C1F91" w:rsidP="002C1F91">
      <w:pPr>
        <w:pStyle w:val="NormalHanging12a"/>
        <w:ind w:left="1" w:firstLine="0"/>
      </w:pPr>
      <w:r w:rsidRPr="009E689D">
        <w:rPr>
          <w:b/>
          <w:i/>
        </w:rPr>
        <w:t>PIENET YRITYKSET JA ORGANISAATIOT</w:t>
      </w:r>
    </w:p>
    <w:p w:rsidR="002C1F91" w:rsidRPr="009E689D" w:rsidRDefault="00FD65B9" w:rsidP="002C1F91">
      <w:pPr>
        <w:pStyle w:val="NormalHanging12a"/>
        <w:ind w:hanging="566"/>
      </w:pPr>
      <w:r w:rsidRPr="009E689D">
        <w:t>7.</w:t>
      </w:r>
      <w:r w:rsidRPr="009E689D">
        <w:tab/>
        <w:t>panee merkille, että joidenkin sidosryhmien mukaan yleisen tietosuoja-asetuksen soveltaminen on haastavaa erityisesti pienille ja keskisuurille yrityksille (pk-yrityksille);</w:t>
      </w:r>
    </w:p>
    <w:p w:rsidR="002C1F91" w:rsidRPr="009E689D" w:rsidRDefault="00FD65B9" w:rsidP="002C1F91">
      <w:pPr>
        <w:pStyle w:val="NormalHanging12a"/>
        <w:ind w:hanging="566"/>
      </w:pPr>
      <w:r w:rsidRPr="009E689D">
        <w:t>8.</w:t>
      </w:r>
      <w:r w:rsidRPr="009E689D">
        <w:tab/>
        <w:t>huomauttaa, että pk-yrityksille ei pitäisi myöntää poikkeusta; kehottaa Euroopan tietosuojaneuvostoa tarjoamaan käytännön välineitä, joilla helpotetaan yleisen tietosuoja-asetuksen täytäntöönpanoa pk-yrityksissä, joissa käsittelytoimet ovat vähäriskisiä;</w:t>
      </w:r>
    </w:p>
    <w:p w:rsidR="002C1F91" w:rsidRPr="009E689D" w:rsidRDefault="002C1F91" w:rsidP="002C1F91">
      <w:pPr>
        <w:pStyle w:val="NormalHanging12a"/>
        <w:spacing w:before="240"/>
        <w:ind w:left="1" w:firstLine="0"/>
      </w:pPr>
      <w:r w:rsidRPr="009E689D">
        <w:rPr>
          <w:b/>
          <w:i/>
        </w:rPr>
        <w:t>TÄYTÄNTÖÖNPANO</w:t>
      </w:r>
    </w:p>
    <w:p w:rsidR="002C1F91" w:rsidRPr="009E689D" w:rsidRDefault="00FD65B9" w:rsidP="002C1F91">
      <w:pPr>
        <w:pStyle w:val="NormalHanging12a"/>
        <w:ind w:hanging="566"/>
      </w:pPr>
      <w:r w:rsidRPr="009E689D">
        <w:t>9.</w:t>
      </w:r>
      <w:r w:rsidRPr="009E689D">
        <w:tab/>
        <w:t>on huolissaan siitä, että kansalliset tietosuojaviranomaiset panevat yleisen tietosuoja-asetuksen täytäntöön epätasaisesti;</w:t>
      </w:r>
    </w:p>
    <w:p w:rsidR="002C1F91" w:rsidRPr="009E689D" w:rsidRDefault="002C1F91" w:rsidP="002C1F91">
      <w:pPr>
        <w:pStyle w:val="NormalHanging12a"/>
        <w:ind w:hanging="566"/>
      </w:pPr>
      <w:r w:rsidRPr="009E689D">
        <w:lastRenderedPageBreak/>
        <w:t>10.</w:t>
      </w:r>
      <w:r w:rsidRPr="009E689D">
        <w:tab/>
        <w:t>panee merkille, että vaikka yleisen tietosuoja-asetuksen soveltamisen alkamisen jälkeen on määrätty joitakin merkittäviä sakkoja vakavista rikkomistapauksista, yleisen tietosuoja-asetuksen tarjoamia mahdollisuuksia ei ole tässä suhteessa käytetty täysimääräisesti, ja jäsenvaltioiden soveltamien seuraamusten vakavuudessa on ollut eroja;</w:t>
      </w:r>
    </w:p>
    <w:p w:rsidR="002C1F91" w:rsidRPr="009E689D" w:rsidRDefault="002C1F91" w:rsidP="002C1F91">
      <w:pPr>
        <w:pStyle w:val="NormalHanging12a"/>
        <w:ind w:hanging="566"/>
      </w:pPr>
      <w:r w:rsidRPr="009E689D">
        <w:t>11.</w:t>
      </w:r>
      <w:r w:rsidRPr="009E689D">
        <w:tab/>
        <w:t>on huolissaan joidenkin tietosuojaviranomaisten tapausten tutkinnan pituudesta ja tämän kielteisistä vaikutuksista tehokkaaseen täytäntöönpanoon ja kansalaisten luottamukseen; kehottaa tietosuojaviranomaisia nopeuttamaan tapausten ratkaisemista ja hyödyntämään kaikkia yleisen tietosuoja-asetuksen mukaisia käytettävissään olevia mekanismeja, mukaan lukien turvautuminen väliaikaisiin tai lopullisiin rajoituksiin tai käsittelykieltoon;</w:t>
      </w:r>
    </w:p>
    <w:p w:rsidR="002C1F91" w:rsidRPr="009E689D" w:rsidRDefault="002C1F91" w:rsidP="002C1F91">
      <w:pPr>
        <w:pStyle w:val="NormalHanging12a"/>
        <w:ind w:hanging="566"/>
      </w:pPr>
      <w:r w:rsidRPr="009E689D">
        <w:t>12.</w:t>
      </w:r>
      <w:r w:rsidRPr="009E689D">
        <w:tab/>
        <w:t>pitää valitettavana, että 21 jäsenvaltion tietosuojaviranomaiset ovat nimenomaisesti todenneet, että niillä ei ole riittävästi henkilöstöä eikä</w:t>
      </w:r>
      <w:r w:rsidR="009E689D" w:rsidRPr="009E689D">
        <w:t xml:space="preserve"> </w:t>
      </w:r>
      <w:r w:rsidRPr="009E689D">
        <w:t>teknisiä ja taloudellisia resursseja, jotta ne voisivat hoitaa tehtävänsä ja käyttää toimivaltaansa tehokkaasti; kehottaa komissiota ryhtymään asianmukaisiin toimiin muun muassa käynnistämällä viipymättä rikkomusmenettelyt niitä jäsenvaltioita vastaan, jotka eivät ole täyttäneet tätä velvoitetta;</w:t>
      </w:r>
    </w:p>
    <w:p w:rsidR="002C1F91" w:rsidRPr="009E689D" w:rsidRDefault="002C1F91" w:rsidP="002C1F91">
      <w:pPr>
        <w:pStyle w:val="NormalHanging12a"/>
        <w:ind w:hanging="566"/>
      </w:pPr>
      <w:r w:rsidRPr="009E689D">
        <w:t>13.</w:t>
      </w:r>
      <w:r w:rsidRPr="009E689D">
        <w:tab/>
        <w:t xml:space="preserve">pitää valitettavana, että suurin osa jäsenvaltioista päätti kollektiivisten oikeussuojakeinojen osalta olla panematta täytäntöön </w:t>
      </w:r>
      <w:r w:rsidR="009E689D" w:rsidRPr="009E689D">
        <w:t>yleisen tietosuoja-asetuksen 80 </w:t>
      </w:r>
      <w:r w:rsidRPr="009E689D">
        <w:t>artiklan 2 kohtaa; kehottaa jäsenvaltioita hyödyntämään 80 artiklan 2 kohtaa;</w:t>
      </w:r>
    </w:p>
    <w:p w:rsidR="002C1F91" w:rsidRPr="009E689D" w:rsidRDefault="002C1F91" w:rsidP="002C1F91">
      <w:pPr>
        <w:pStyle w:val="NormalHanging12a"/>
        <w:ind w:left="1" w:firstLine="0"/>
      </w:pPr>
      <w:r w:rsidRPr="009E689D">
        <w:rPr>
          <w:b/>
          <w:i/>
        </w:rPr>
        <w:t>YHTEISTYÖ JA YHDENMUKAISUUS</w:t>
      </w:r>
    </w:p>
    <w:p w:rsidR="002C1F91" w:rsidRPr="009E689D" w:rsidRDefault="002C1F91" w:rsidP="002C1F91">
      <w:pPr>
        <w:pStyle w:val="NormalHanging12a"/>
        <w:ind w:hanging="566"/>
      </w:pPr>
      <w:r w:rsidRPr="009E689D">
        <w:t>14.</w:t>
      </w:r>
      <w:r w:rsidRPr="009E689D">
        <w:tab/>
        <w:t>huomauttaa, että heikko täytäntöönpano on erityisen ilmeistä rajat ylittävissä valituksissa eli yhteistyö- ja yhdenmukaisuusmekanismeissa; kehottaa tietosuojaneuvostoa lisäämään ponnistelujaan yleise</w:t>
      </w:r>
      <w:r w:rsidR="009E689D" w:rsidRPr="009E689D">
        <w:t>n tietosuoja-asetuksen 60 ja 63 </w:t>
      </w:r>
      <w:r w:rsidRPr="009E689D">
        <w:t>artiklan asianmukaisen soveltamisen varmistamiseksi ja käyttämään yleisen tietosuoja-asetuksen 66 artiklan mukaista kiireellisyysmenettelyä;</w:t>
      </w:r>
    </w:p>
    <w:p w:rsidR="002C1F91" w:rsidRPr="009E689D" w:rsidRDefault="002C1F91" w:rsidP="002C1F91">
      <w:pPr>
        <w:pStyle w:val="NormalHanging12a"/>
        <w:ind w:hanging="566"/>
      </w:pPr>
      <w:r w:rsidRPr="009E689D">
        <w:t>15.</w:t>
      </w:r>
      <w:r w:rsidRPr="009E689D">
        <w:tab/>
        <w:t>panee merkille epäjohdonmukaisuudet kansallisten ohjeiden ja Euroopan tietosuojaneuvoston ohjeiden välillä;</w:t>
      </w:r>
    </w:p>
    <w:p w:rsidR="002C1F91" w:rsidRPr="009E689D" w:rsidRDefault="002C1F91" w:rsidP="002C1F91">
      <w:pPr>
        <w:pStyle w:val="NormalHanging12a"/>
        <w:ind w:hanging="566"/>
      </w:pPr>
      <w:r w:rsidRPr="009E689D">
        <w:t>16.</w:t>
      </w:r>
      <w:r w:rsidRPr="009E689D">
        <w:tab/>
        <w:t>kehottaa kaikkia jäsenvaltioita tarjoamaan erityistä tukea rekisteröidyille tai heitä edustaville järjestöille, jotka osallistuvat rajat ylittävien valitusten käsittelyyn; huomauttaa, että rekisteröityjen oikeuksien käyttöön liittyvät korkeat menettelykustannukset voivat toimia pelotteena; kehottaa jäsenvaltioita rajoittamaan tällaisia kustannuksia kansallisessa hallintomenettelylainsäädännössään;</w:t>
      </w:r>
    </w:p>
    <w:p w:rsidR="002C1F91" w:rsidRPr="009E689D" w:rsidRDefault="002C1F91" w:rsidP="002C1F91">
      <w:pPr>
        <w:pStyle w:val="NormalHanging12a"/>
        <w:ind w:left="1" w:firstLine="0"/>
      </w:pPr>
      <w:r w:rsidRPr="009E689D">
        <w:rPr>
          <w:b/>
          <w:i/>
        </w:rPr>
        <w:t>YLEISEN TIETOSUOJA-ASETUKSEN TÄYTÄNTÖNTÖÖNPANON HAJANAISUUS</w:t>
      </w:r>
    </w:p>
    <w:p w:rsidR="002C1F91" w:rsidRPr="009E689D" w:rsidRDefault="002C1F91" w:rsidP="002C1F91">
      <w:pPr>
        <w:pStyle w:val="NormalHanging12a"/>
        <w:ind w:hanging="566"/>
      </w:pPr>
      <w:r w:rsidRPr="009E689D">
        <w:t>17.</w:t>
      </w:r>
      <w:r w:rsidRPr="009E689D">
        <w:tab/>
        <w:t>panee merkille jonkinasteisen hajanaisuuden, joka johtuu erityisesti vapaaehtoisia täsmennyksiä koskevien lausekkeiden laajasta käytöstä; on huolissaan siitä, että yleisen tietosuoja-asetuksen tarjoamaa suojaa heikentää tapa, jolla jäsenvaltiot ovat panneet täytäntöön näitä lausekkeita koskevat poikkeukset (esim. lapsen ikä suostumuksen saamiseksi);</w:t>
      </w:r>
    </w:p>
    <w:p w:rsidR="002C1F91" w:rsidRPr="009E689D" w:rsidRDefault="002C1F91" w:rsidP="009E689D">
      <w:pPr>
        <w:pStyle w:val="NormalHanging12a"/>
        <w:keepNext/>
        <w:ind w:left="0" w:firstLine="0"/>
      </w:pPr>
      <w:r w:rsidRPr="009E689D">
        <w:rPr>
          <w:b/>
          <w:i/>
        </w:rPr>
        <w:lastRenderedPageBreak/>
        <w:t>SISÄÄNRAKENNETTU TIETOSUOJA</w:t>
      </w:r>
    </w:p>
    <w:p w:rsidR="002C1F91" w:rsidRPr="009E689D" w:rsidRDefault="00E403A7" w:rsidP="009E689D">
      <w:pPr>
        <w:pStyle w:val="NormalHanging12a"/>
        <w:widowControl/>
      </w:pPr>
      <w:r w:rsidRPr="009E689D">
        <w:t>18.</w:t>
      </w:r>
      <w:r w:rsidRPr="009E689D">
        <w:tab/>
        <w:t>kehottaa valvontaviranomaisia arvioimaan sisäänrakennettua ja oletusarvoista tietosuojaa koskevan 25 artiklan täytäntöönpanoa erityisesti tietojen minimointia ja käyttötarkoituksen rajoittamista koskevien periaatteiden täytäntöönpanemiseksi tietosuojaneuvoston suuntaviivojen mukaisesti;</w:t>
      </w:r>
    </w:p>
    <w:p w:rsidR="002C1F91" w:rsidRPr="009E689D" w:rsidRDefault="002C1F91" w:rsidP="002C1F91">
      <w:pPr>
        <w:pStyle w:val="NormalHanging12a"/>
        <w:ind w:left="1" w:firstLine="0"/>
      </w:pPr>
      <w:r w:rsidRPr="009E689D">
        <w:rPr>
          <w:b/>
          <w:i/>
        </w:rPr>
        <w:t>SUUNTAVIIVAT</w:t>
      </w:r>
    </w:p>
    <w:p w:rsidR="002C1F91" w:rsidRPr="009E689D" w:rsidRDefault="00FD65B9" w:rsidP="002C1F91">
      <w:pPr>
        <w:pStyle w:val="NormalHanging12a"/>
        <w:ind w:hanging="566"/>
      </w:pPr>
      <w:r w:rsidRPr="009E689D">
        <w:t>19.</w:t>
      </w:r>
      <w:r w:rsidRPr="009E689D">
        <w:tab/>
        <w:t>kehottaa tietosuojaneuvostoa kehittämään standardeja ja ohjeita, jotka auttavat panemaan tietosuojavaatimukset täytäntöön käytännössä, muun muassa tietosuojaa koskevien vaikutustenarviointien (35 artikla), rekisteröidyille tiedottamisen (12–14 artikla), rekisteröityjen oikeuksien käytön (15–18 ja 20–21 artikla) ja käsittelytoimista laadittavien selosteiden (30 artikla) osalta;</w:t>
      </w:r>
    </w:p>
    <w:p w:rsidR="002C1F91" w:rsidRPr="009E689D" w:rsidRDefault="002C1F91" w:rsidP="002C1F91">
      <w:pPr>
        <w:pStyle w:val="NormalHanging12a"/>
        <w:ind w:left="1" w:firstLine="0"/>
      </w:pPr>
      <w:r w:rsidRPr="009E689D">
        <w:rPr>
          <w:b/>
          <w:i/>
        </w:rPr>
        <w:t>KANSAINVÄLISET HENKILÖTIETOJEN SIIRROT JA YHTEISTYÖ</w:t>
      </w:r>
    </w:p>
    <w:p w:rsidR="002C1F91" w:rsidRPr="009E689D" w:rsidRDefault="00E403A7" w:rsidP="002C1F91">
      <w:pPr>
        <w:pStyle w:val="NormalHanging12a"/>
        <w:ind w:hanging="566"/>
      </w:pPr>
      <w:r w:rsidRPr="009E689D">
        <w:t>20.</w:t>
      </w:r>
      <w:r w:rsidRPr="009E689D">
        <w:tab/>
        <w:t>korostaa, että on tärkeää sallia henkilötietojen vapaa liikkuvuus kansainvälisellä tasolla heikentämättä yleisessä tietosuoja-asetuksessa taattua suojan tasoa; tukee komission käytäntöä käsitellä tietosuojaa ja henkilötietoja erillään kauppasopimuksista;</w:t>
      </w:r>
    </w:p>
    <w:p w:rsidR="002C1F91" w:rsidRPr="009E689D" w:rsidRDefault="002C1F91" w:rsidP="002C1F91">
      <w:pPr>
        <w:pStyle w:val="NormalHanging12a"/>
        <w:ind w:hanging="566"/>
      </w:pPr>
      <w:r w:rsidRPr="009E689D">
        <w:t>21.</w:t>
      </w:r>
      <w:r w:rsidRPr="009E689D">
        <w:tab/>
        <w:t>korostaa, että tietosuojan tason riittävyyttä koskevien päätösten ei pitäisi olla poliittisia vaan oikeudellisia päätöksiä;</w:t>
      </w:r>
    </w:p>
    <w:p w:rsidR="002C1F91" w:rsidRPr="009E689D" w:rsidRDefault="002C1F91" w:rsidP="002C1F91">
      <w:pPr>
        <w:pStyle w:val="NormalHanging12a"/>
        <w:ind w:hanging="566"/>
      </w:pPr>
      <w:r w:rsidRPr="009E689D">
        <w:t>22.</w:t>
      </w:r>
      <w:r w:rsidRPr="009E689D">
        <w:tab/>
        <w:t>kehottaa komissiota julkaisemaan kriteerit, joita käytetään määritettäessä, katsotaanko kolmannen maan tarjoavan ”olennaisilta osin” EU:n suojaa vastaavan suojan tason, erityisesti kun on kyse oikeussuojakeinojen saatavuudesta ja viranomaisten pääsystä tietoihin;</w:t>
      </w:r>
    </w:p>
    <w:p w:rsidR="002C1F91" w:rsidRPr="009E689D" w:rsidRDefault="002C1F91" w:rsidP="002C1F91">
      <w:pPr>
        <w:pStyle w:val="NormalHanging12a"/>
        <w:ind w:hanging="566"/>
      </w:pPr>
      <w:r w:rsidRPr="009E689D">
        <w:t>23.</w:t>
      </w:r>
      <w:r w:rsidRPr="009E689D">
        <w:tab/>
        <w:t>toistaa, että laajamittaiseen tiedonkeruuseen sisältyvät laajamittaiset valvontaohjelmat estävät tietosuojan riittävyyden toteamisen;</w:t>
      </w:r>
    </w:p>
    <w:p w:rsidR="002C1F91" w:rsidRPr="009E689D" w:rsidRDefault="002C1F91" w:rsidP="002C1F91">
      <w:pPr>
        <w:pStyle w:val="NormalHanging12a"/>
        <w:ind w:hanging="566"/>
      </w:pPr>
      <w:r w:rsidRPr="009E689D">
        <w:t>24.</w:t>
      </w:r>
      <w:r w:rsidRPr="009E689D">
        <w:tab/>
        <w:t>kehottaa tietosuojaviranomaisia arvioimaan järjestelmällisesti, sovelletaanko tietosuojasääntöjä käytännössä kolmansissa maissa unionin tuomioistuimen oikeuskäytännön mukaisesti;</w:t>
      </w:r>
    </w:p>
    <w:p w:rsidR="002C1F91" w:rsidRPr="009E689D" w:rsidRDefault="002C1F91" w:rsidP="002C1F91">
      <w:pPr>
        <w:pStyle w:val="NormalHanging12a"/>
        <w:ind w:hanging="566"/>
      </w:pPr>
      <w:r w:rsidRPr="009E689D">
        <w:t>25.</w:t>
      </w:r>
      <w:r w:rsidRPr="009E689D">
        <w:tab/>
        <w:t>kehottaa komissiota julkaisemaan ilman aiheetonta viivytystä vuoden 1995 direktiivin nojalla tehtyjen tietosuojan tason riittävyyttä koskevien päätösten tilanteen uudelleentarkastelun;</w:t>
      </w:r>
    </w:p>
    <w:p w:rsidR="002C1F91" w:rsidRPr="009E689D" w:rsidRDefault="002C1F91" w:rsidP="002C1F91">
      <w:pPr>
        <w:pStyle w:val="NormalHanging12a"/>
        <w:ind w:left="1" w:firstLine="0"/>
      </w:pPr>
      <w:r w:rsidRPr="009E689D">
        <w:rPr>
          <w:b/>
          <w:i/>
        </w:rPr>
        <w:t>UNIONIN TULEVA LAINSÄÄDÄNTÖ</w:t>
      </w:r>
    </w:p>
    <w:p w:rsidR="002C1F91" w:rsidRPr="009E689D" w:rsidRDefault="002C1F91" w:rsidP="002C1F91">
      <w:pPr>
        <w:pStyle w:val="NormalHanging12a"/>
        <w:ind w:hanging="566"/>
      </w:pPr>
      <w:r w:rsidRPr="009E689D">
        <w:t>26.</w:t>
      </w:r>
      <w:r w:rsidRPr="009E689D">
        <w:tab/>
        <w:t>muistuttaa komissiota sen velvollisuudesta varmistaa, että tulevissa lainsäädäntöehdotuksissa esitettävien toimenpiteiden, erityisesti tietojen hallintaa, datasäädöstä, digitaalisia palveluja ja tekoälyä koskevien toimien, on oltava yleisen tietosuoja-asetuksen (EU) 2016/679 ja direktiivin (EU) 2016/680 mukaisia;</w:t>
      </w:r>
    </w:p>
    <w:p w:rsidR="002C1F91" w:rsidRPr="009E689D" w:rsidRDefault="002C1F91" w:rsidP="002C1F91">
      <w:pPr>
        <w:pStyle w:val="NormalHanging12a"/>
        <w:ind w:left="1" w:firstLine="0"/>
      </w:pPr>
      <w:r w:rsidRPr="009E689D">
        <w:rPr>
          <w:b/>
          <w:i/>
        </w:rPr>
        <w:t>SÄHKÖISEN VIESTINNÄN TIETOSUOJAA KOSKEVA ASETUS</w:t>
      </w:r>
    </w:p>
    <w:p w:rsidR="002C1F91" w:rsidRPr="009E689D" w:rsidRDefault="002C1F91" w:rsidP="002C1F91">
      <w:pPr>
        <w:pStyle w:val="NormalHanging12a"/>
        <w:ind w:hanging="566"/>
      </w:pPr>
      <w:r w:rsidRPr="009E689D">
        <w:t>27.</w:t>
      </w:r>
      <w:r w:rsidRPr="009E689D">
        <w:tab/>
        <w:t xml:space="preserve">ilmaisee syvän huolensa siitä, että jäsenvaltiot eivät ole panneet sähköisen viestinnän </w:t>
      </w:r>
      <w:r w:rsidRPr="009E689D">
        <w:lastRenderedPageBreak/>
        <w:t>tietosuojadirektiiviä täytäntöön, kun otetaan huomioon yleisen tietosuoja-asetuksen mukanaan tuomat muutokset; kehottaa komissiota nopeuttamaan arviointiaan ja käynnistämään rikkomusmenettelyjä niitä jäsenvaltioita vastaan, jotka eivät ole panneet sähköisen viestinnän tietosuojadirektiiviä asianmukaisesti täytäntöön;</w:t>
      </w:r>
    </w:p>
    <w:p w:rsidR="00866D70" w:rsidRPr="009E689D" w:rsidRDefault="00FD65B9" w:rsidP="009E689D">
      <w:pPr>
        <w:pStyle w:val="NormalHanging12a"/>
        <w:widowControl/>
      </w:pPr>
      <w:r w:rsidRPr="009E689D">
        <w:t>28.</w:t>
      </w:r>
      <w:r w:rsidRPr="009E689D">
        <w:tab/>
        <w:t>kehottaa puhemiestä välittämään tämän päätöslauselman komissiolle, Eurooppa-neuvostolle, hallituksille ja kansallisille parlamenteille, Euroopan tietosuojaneuvostolle ja Euroopan tietosuojavaltuutetulle.</w:t>
      </w:r>
    </w:p>
    <w:sectPr w:rsidR="00866D70" w:rsidRPr="009E689D" w:rsidSect="000D79B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56" w:rsidRPr="000D79B6" w:rsidRDefault="00674856">
      <w:r w:rsidRPr="000D79B6">
        <w:separator/>
      </w:r>
    </w:p>
  </w:endnote>
  <w:endnote w:type="continuationSeparator" w:id="0">
    <w:p w:rsidR="00674856" w:rsidRPr="000D79B6" w:rsidRDefault="00674856">
      <w:r w:rsidRPr="000D79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jaVu Sans">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B6" w:rsidRPr="000D79B6" w:rsidRDefault="000D79B6" w:rsidP="000D79B6">
    <w:pPr>
      <w:pStyle w:val="EPFooter"/>
    </w:pPr>
    <w:r w:rsidRPr="000D79B6">
      <w:t>PE</w:t>
    </w:r>
    <w:r w:rsidRPr="000D79B6">
      <w:rPr>
        <w:rStyle w:val="HideTWBExt"/>
        <w:noProof w:val="0"/>
      </w:rPr>
      <w:t>&lt;NoPE&gt;</w:t>
    </w:r>
    <w:r w:rsidRPr="000D79B6">
      <w:t>660.347</w:t>
    </w:r>
    <w:r w:rsidRPr="000D79B6">
      <w:rPr>
        <w:rStyle w:val="HideTWBExt"/>
        <w:noProof w:val="0"/>
      </w:rPr>
      <w:t>&lt;/NoPE&gt;&lt;Version&gt;</w:t>
    </w:r>
    <w:r w:rsidRPr="000D79B6">
      <w:t>v01-00</w:t>
    </w:r>
    <w:r w:rsidRPr="000D79B6">
      <w:rPr>
        <w:rStyle w:val="HideTWBExt"/>
        <w:noProof w:val="0"/>
      </w:rPr>
      <w:t>&lt;/Version&gt;</w:t>
    </w:r>
    <w:r w:rsidRPr="000D79B6">
      <w:tab/>
    </w:r>
    <w:r w:rsidRPr="000D79B6">
      <w:fldChar w:fldCharType="begin"/>
    </w:r>
    <w:r w:rsidRPr="000D79B6">
      <w:instrText xml:space="preserve"> PAGE  \* MERGEFORMAT </w:instrText>
    </w:r>
    <w:r w:rsidRPr="000D79B6">
      <w:fldChar w:fldCharType="separate"/>
    </w:r>
    <w:r w:rsidR="009E689D">
      <w:rPr>
        <w:noProof/>
      </w:rPr>
      <w:t>2</w:t>
    </w:r>
    <w:r w:rsidRPr="000D79B6">
      <w:fldChar w:fldCharType="end"/>
    </w:r>
    <w:r w:rsidRPr="000D79B6">
      <w:t>/</w:t>
    </w:r>
    <w:fldSimple w:instr=" NUMPAGES  \* MERGEFORMAT ">
      <w:r w:rsidR="009E689D">
        <w:rPr>
          <w:noProof/>
        </w:rPr>
        <w:t>6</w:t>
      </w:r>
    </w:fldSimple>
    <w:r w:rsidRPr="000D79B6">
      <w:tab/>
    </w:r>
    <w:r w:rsidRPr="000D79B6">
      <w:rPr>
        <w:rStyle w:val="HideTWBExt"/>
        <w:noProof w:val="0"/>
      </w:rPr>
      <w:t>&lt;PathFdR&gt;</w:t>
    </w:r>
    <w:r w:rsidRPr="000D79B6">
      <w:t>RE\1218403FI.docx</w:t>
    </w:r>
    <w:r w:rsidRPr="000D79B6">
      <w:rPr>
        <w:rStyle w:val="HideTWBExt"/>
        <w:noProof w:val="0"/>
      </w:rPr>
      <w:t>&lt;/PathFdR&gt;</w:t>
    </w:r>
  </w:p>
  <w:p w:rsidR="00A90219" w:rsidRPr="000D79B6" w:rsidRDefault="000D79B6" w:rsidP="000D79B6">
    <w:pPr>
      <w:pStyle w:val="EPFooter2"/>
    </w:pPr>
    <w:r w:rsidRPr="000D79B6">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B6" w:rsidRPr="000D79B6" w:rsidRDefault="000D79B6" w:rsidP="000D79B6">
    <w:pPr>
      <w:pStyle w:val="EPFooter"/>
    </w:pPr>
    <w:r w:rsidRPr="000D79B6">
      <w:rPr>
        <w:rStyle w:val="HideTWBExt"/>
        <w:noProof w:val="0"/>
      </w:rPr>
      <w:t>&lt;PathFdR&gt;</w:t>
    </w:r>
    <w:r w:rsidRPr="000D79B6">
      <w:t>RE\1218403FI.docx</w:t>
    </w:r>
    <w:r w:rsidRPr="000D79B6">
      <w:rPr>
        <w:rStyle w:val="HideTWBExt"/>
        <w:noProof w:val="0"/>
      </w:rPr>
      <w:t>&lt;/PathFdR&gt;</w:t>
    </w:r>
    <w:r w:rsidRPr="000D79B6">
      <w:tab/>
    </w:r>
    <w:r w:rsidRPr="000D79B6">
      <w:fldChar w:fldCharType="begin"/>
    </w:r>
    <w:r w:rsidRPr="000D79B6">
      <w:instrText xml:space="preserve"> PAGE  \* MERGEFORMAT </w:instrText>
    </w:r>
    <w:r w:rsidRPr="000D79B6">
      <w:fldChar w:fldCharType="separate"/>
    </w:r>
    <w:r w:rsidR="009E689D">
      <w:rPr>
        <w:noProof/>
      </w:rPr>
      <w:t>5</w:t>
    </w:r>
    <w:r w:rsidRPr="000D79B6">
      <w:fldChar w:fldCharType="end"/>
    </w:r>
    <w:r w:rsidRPr="000D79B6">
      <w:t>/</w:t>
    </w:r>
    <w:fldSimple w:instr=" NUMPAGES  \* MERGEFORMAT ">
      <w:r w:rsidR="009E689D">
        <w:rPr>
          <w:noProof/>
        </w:rPr>
        <w:t>5</w:t>
      </w:r>
    </w:fldSimple>
    <w:r w:rsidRPr="000D79B6">
      <w:tab/>
      <w:t>PE</w:t>
    </w:r>
    <w:r w:rsidRPr="000D79B6">
      <w:rPr>
        <w:rStyle w:val="HideTWBExt"/>
        <w:noProof w:val="0"/>
      </w:rPr>
      <w:t>&lt;NoPE&gt;</w:t>
    </w:r>
    <w:r w:rsidRPr="000D79B6">
      <w:t>660.347</w:t>
    </w:r>
    <w:r w:rsidRPr="000D79B6">
      <w:rPr>
        <w:rStyle w:val="HideTWBExt"/>
        <w:noProof w:val="0"/>
      </w:rPr>
      <w:t>&lt;/NoPE&gt;&lt;Version&gt;</w:t>
    </w:r>
    <w:r w:rsidRPr="000D79B6">
      <w:t>v01-00</w:t>
    </w:r>
    <w:r w:rsidRPr="000D79B6">
      <w:rPr>
        <w:rStyle w:val="HideTWBExt"/>
        <w:noProof w:val="0"/>
      </w:rPr>
      <w:t>&lt;/Version&gt;</w:t>
    </w:r>
  </w:p>
  <w:p w:rsidR="00A90219" w:rsidRPr="000D79B6" w:rsidRDefault="000D79B6" w:rsidP="000D79B6">
    <w:pPr>
      <w:pStyle w:val="EPFooter2"/>
    </w:pPr>
    <w:r w:rsidRPr="000D79B6">
      <w:tab/>
    </w:r>
    <w:r w:rsidRPr="000D79B6">
      <w:tab/>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9B6" w:rsidRPr="000D79B6" w:rsidRDefault="000D79B6" w:rsidP="000D79B6">
    <w:pPr>
      <w:pStyle w:val="EPFooter"/>
    </w:pPr>
    <w:r w:rsidRPr="000D79B6">
      <w:rPr>
        <w:rStyle w:val="HideTWBExt"/>
        <w:noProof w:val="0"/>
      </w:rPr>
      <w:t>&lt;PathFdR&gt;</w:t>
    </w:r>
    <w:r w:rsidRPr="000D79B6">
      <w:t>RE\1218403FI.docx</w:t>
    </w:r>
    <w:r w:rsidRPr="000D79B6">
      <w:rPr>
        <w:rStyle w:val="HideTWBExt"/>
        <w:noProof w:val="0"/>
      </w:rPr>
      <w:t>&lt;/PathFdR&gt;</w:t>
    </w:r>
    <w:r w:rsidRPr="000D79B6">
      <w:tab/>
    </w:r>
    <w:r w:rsidRPr="000D79B6">
      <w:tab/>
      <w:t>PE</w:t>
    </w:r>
    <w:r w:rsidRPr="000D79B6">
      <w:rPr>
        <w:rStyle w:val="HideTWBExt"/>
        <w:noProof w:val="0"/>
      </w:rPr>
      <w:t>&lt;NoPE&gt;</w:t>
    </w:r>
    <w:r w:rsidRPr="000D79B6">
      <w:t>660.347</w:t>
    </w:r>
    <w:r w:rsidRPr="000D79B6">
      <w:rPr>
        <w:rStyle w:val="HideTWBExt"/>
        <w:noProof w:val="0"/>
      </w:rPr>
      <w:t>&lt;/NoPE&gt;&lt;Version&gt;</w:t>
    </w:r>
    <w:r w:rsidRPr="000D79B6">
      <w:t>v01-00</w:t>
    </w:r>
    <w:r w:rsidRPr="000D79B6">
      <w:rPr>
        <w:rStyle w:val="HideTWBExt"/>
        <w:noProof w:val="0"/>
      </w:rPr>
      <w:t>&lt;/Version&gt;</w:t>
    </w:r>
  </w:p>
  <w:p w:rsidR="00A90219" w:rsidRPr="000D79B6" w:rsidRDefault="000D79B6" w:rsidP="000D79B6">
    <w:pPr>
      <w:pStyle w:val="EPFooter2"/>
    </w:pPr>
    <w:r w:rsidRPr="000D79B6">
      <w:t>FI</w:t>
    </w:r>
    <w:r w:rsidRPr="000D79B6">
      <w:tab/>
    </w:r>
    <w:r w:rsidRPr="000D79B6">
      <w:rPr>
        <w:b w:val="0"/>
        <w:i/>
        <w:color w:val="C0C0C0"/>
        <w:sz w:val="22"/>
      </w:rPr>
      <w:t>Moninaisuudessaan yhtenäinen</w:t>
    </w:r>
    <w:r w:rsidRPr="000D79B6">
      <w:tab/>
      <w:t>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56" w:rsidRPr="000D79B6" w:rsidRDefault="00674856">
      <w:r w:rsidRPr="000D79B6">
        <w:separator/>
      </w:r>
    </w:p>
  </w:footnote>
  <w:footnote w:type="continuationSeparator" w:id="0">
    <w:p w:rsidR="00674856" w:rsidRPr="000D79B6" w:rsidRDefault="00674856">
      <w:r w:rsidRPr="000D79B6">
        <w:continuationSeparator/>
      </w:r>
    </w:p>
  </w:footnote>
  <w:footnote w:id="1">
    <w:p w:rsidR="002C1F91" w:rsidRPr="000D79B6" w:rsidRDefault="002C1F91" w:rsidP="002C1F91">
      <w:pPr>
        <w:pStyle w:val="FootnoteText"/>
      </w:pPr>
      <w:r w:rsidRPr="000D79B6">
        <w:rPr>
          <w:rStyle w:val="FootnoteReference"/>
        </w:rPr>
        <w:footnoteRef/>
      </w:r>
      <w:r w:rsidRPr="000D79B6">
        <w:t xml:space="preserve"> EUVL L 119, 4.5.2016, s. 1–88.</w:t>
      </w:r>
    </w:p>
  </w:footnote>
  <w:footnote w:id="2">
    <w:p w:rsidR="002C1F91" w:rsidRPr="000D79B6" w:rsidRDefault="002C1F91" w:rsidP="002C1F91">
      <w:pPr>
        <w:pStyle w:val="FootnoteText"/>
      </w:pPr>
      <w:r w:rsidRPr="000D79B6">
        <w:rPr>
          <w:rStyle w:val="FootnoteReference"/>
        </w:rPr>
        <w:footnoteRef/>
      </w:r>
      <w:r w:rsidRPr="000D79B6">
        <w:t xml:space="preserve"> COM(2020)0264, 24.6.2020.</w:t>
      </w:r>
    </w:p>
  </w:footnote>
  <w:footnote w:id="3">
    <w:p w:rsidR="002C1F91" w:rsidRPr="000D79B6" w:rsidRDefault="002C1F91" w:rsidP="002C1F91">
      <w:pPr>
        <w:pStyle w:val="FootnoteText"/>
      </w:pPr>
      <w:r w:rsidRPr="000D79B6">
        <w:rPr>
          <w:rStyle w:val="FootnoteReference"/>
        </w:rPr>
        <w:footnoteRef/>
      </w:r>
      <w:r w:rsidRPr="000D79B6">
        <w:t xml:space="preserve"> COM(2020)0264, 24.6.2020.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9D" w:rsidRDefault="009E6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9D" w:rsidRDefault="009E6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9D" w:rsidRDefault="009E6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C6137"/>
    <w:multiLevelType w:val="hybridMultilevel"/>
    <w:tmpl w:val="0D68AE64"/>
    <w:lvl w:ilvl="0" w:tplc="8970022E">
      <w:start w:val="1"/>
      <w:numFmt w:val="upperLetter"/>
      <w:lvlText w:val="%1."/>
      <w:lvlJc w:val="left"/>
      <w:pPr>
        <w:ind w:left="926" w:hanging="566"/>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682406"/>
    <w:multiLevelType w:val="hybridMultilevel"/>
    <w:tmpl w:val="2564CCA6"/>
    <w:lvl w:ilvl="0" w:tplc="DF847724">
      <w:start w:val="1"/>
      <w:numFmt w:val="decimal"/>
      <w:lvlText w:val="%1."/>
      <w:lvlJc w:val="left"/>
      <w:pPr>
        <w:ind w:left="926" w:hanging="566"/>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LIBE"/>
    <w:docVar w:name="DOCTYPEMNU" w:val=" 1"/>
    <w:docVar w:name="LastEditedSection" w:val=" 1"/>
    <w:docVar w:name="STATMNU" w:val=" 1"/>
    <w:docVar w:name="strDocTypeID" w:val="RE_Statements"/>
    <w:docVar w:name="strSubDir" w:val="1218"/>
    <w:docVar w:name="TXTLANGUE" w:val="FI"/>
    <w:docVar w:name="TXTLANGUEMIN" w:val="fi"/>
    <w:docVar w:name="TXTNRPE" w:val="660.347"/>
    <w:docVar w:name="TXTNRRSP" w:val="2020/2727"/>
    <w:docVar w:name="TXTPEorAP" w:val="PE"/>
    <w:docVar w:name="TXTROUTE" w:val="RE\1218403FI.docx"/>
    <w:docVar w:name="TXTTITLE" w:val="the Commission evaluation report on the implementation of the General Data Protection Regulation two years after its application"/>
    <w:docVar w:name="TXTVERSION" w:val="01-00"/>
  </w:docVars>
  <w:rsids>
    <w:rsidRoot w:val="00674856"/>
    <w:rsid w:val="00037F46"/>
    <w:rsid w:val="00094DDA"/>
    <w:rsid w:val="000D79B6"/>
    <w:rsid w:val="0010559F"/>
    <w:rsid w:val="00117781"/>
    <w:rsid w:val="001B49A3"/>
    <w:rsid w:val="001B7CFB"/>
    <w:rsid w:val="001C16A7"/>
    <w:rsid w:val="001C62C5"/>
    <w:rsid w:val="001E2450"/>
    <w:rsid w:val="00222BBB"/>
    <w:rsid w:val="002574AA"/>
    <w:rsid w:val="002C1F91"/>
    <w:rsid w:val="002C7767"/>
    <w:rsid w:val="00303413"/>
    <w:rsid w:val="00304E12"/>
    <w:rsid w:val="003772FA"/>
    <w:rsid w:val="00411D03"/>
    <w:rsid w:val="00412503"/>
    <w:rsid w:val="00471D62"/>
    <w:rsid w:val="004B5166"/>
    <w:rsid w:val="00516BD3"/>
    <w:rsid w:val="0058312A"/>
    <w:rsid w:val="005D6861"/>
    <w:rsid w:val="00654CBD"/>
    <w:rsid w:val="006726A1"/>
    <w:rsid w:val="00674856"/>
    <w:rsid w:val="006A27B7"/>
    <w:rsid w:val="006F0FD2"/>
    <w:rsid w:val="006F48B8"/>
    <w:rsid w:val="00706BC0"/>
    <w:rsid w:val="00723A0B"/>
    <w:rsid w:val="00780A7D"/>
    <w:rsid w:val="007E1E11"/>
    <w:rsid w:val="00814BC6"/>
    <w:rsid w:val="008278C0"/>
    <w:rsid w:val="00866D70"/>
    <w:rsid w:val="008A4052"/>
    <w:rsid w:val="008D7B31"/>
    <w:rsid w:val="008F5EFB"/>
    <w:rsid w:val="00907285"/>
    <w:rsid w:val="00910F7E"/>
    <w:rsid w:val="00981ED6"/>
    <w:rsid w:val="009D24DE"/>
    <w:rsid w:val="009E689D"/>
    <w:rsid w:val="00A32337"/>
    <w:rsid w:val="00A345F8"/>
    <w:rsid w:val="00A4763A"/>
    <w:rsid w:val="00A516B8"/>
    <w:rsid w:val="00A90219"/>
    <w:rsid w:val="00AC3F0E"/>
    <w:rsid w:val="00B34A46"/>
    <w:rsid w:val="00B90331"/>
    <w:rsid w:val="00BC3002"/>
    <w:rsid w:val="00BF2C2D"/>
    <w:rsid w:val="00C23264"/>
    <w:rsid w:val="00CC09D8"/>
    <w:rsid w:val="00D12F64"/>
    <w:rsid w:val="00D44718"/>
    <w:rsid w:val="00D90D37"/>
    <w:rsid w:val="00DF7943"/>
    <w:rsid w:val="00E403A7"/>
    <w:rsid w:val="00E53167"/>
    <w:rsid w:val="00E65EE4"/>
    <w:rsid w:val="00EA43FB"/>
    <w:rsid w:val="00EC05E9"/>
    <w:rsid w:val="00ED22B8"/>
    <w:rsid w:val="00F02A2C"/>
    <w:rsid w:val="00F148F1"/>
    <w:rsid w:val="00F26DE8"/>
    <w:rsid w:val="00F4455A"/>
    <w:rsid w:val="00F632FC"/>
    <w:rsid w:val="00F7050A"/>
    <w:rsid w:val="00F9377B"/>
    <w:rsid w:val="00F959BA"/>
    <w:rsid w:val="00FA5E9E"/>
    <w:rsid w:val="00FD65B9"/>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4478A"/>
  <w15:chartTrackingRefBased/>
  <w15:docId w15:val="{0E15B4B2-DC15-411E-949B-0680070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paragraph" w:styleId="FootnoteText">
    <w:name w:val="footnote text"/>
    <w:basedOn w:val="Normal"/>
    <w:link w:val="FootnoteTextChar"/>
    <w:uiPriority w:val="99"/>
    <w:unhideWhenUsed/>
    <w:rsid w:val="002C1F91"/>
    <w:pPr>
      <w:widowControl/>
      <w:jc w:val="both"/>
    </w:pPr>
    <w:rPr>
      <w:rFonts w:eastAsiaTheme="minorHAnsi"/>
      <w:sz w:val="20"/>
      <w:lang w:eastAsia="en-US"/>
    </w:rPr>
  </w:style>
  <w:style w:type="character" w:customStyle="1" w:styleId="FootnoteTextChar">
    <w:name w:val="Footnote Text Char"/>
    <w:basedOn w:val="DefaultParagraphFont"/>
    <w:link w:val="FootnoteText"/>
    <w:uiPriority w:val="99"/>
    <w:rsid w:val="002C1F91"/>
    <w:rPr>
      <w:rFonts w:eastAsiaTheme="minorHAnsi"/>
      <w:lang w:eastAsia="en-US"/>
    </w:rPr>
  </w:style>
  <w:style w:type="character" w:styleId="FootnoteReference">
    <w:name w:val="footnote reference"/>
    <w:basedOn w:val="DefaultParagraphFont"/>
    <w:uiPriority w:val="99"/>
    <w:unhideWhenUsed/>
    <w:rsid w:val="002C1F91"/>
    <w:rPr>
      <w:vertAlign w:val="superscript"/>
    </w:rPr>
  </w:style>
  <w:style w:type="paragraph" w:styleId="Footer">
    <w:name w:val="footer"/>
    <w:basedOn w:val="Normal"/>
    <w:link w:val="FooterChar"/>
    <w:semiHidden/>
    <w:rsid w:val="002C1F91"/>
    <w:pPr>
      <w:tabs>
        <w:tab w:val="center" w:pos="4513"/>
        <w:tab w:val="right" w:pos="9026"/>
      </w:tabs>
    </w:pPr>
  </w:style>
  <w:style w:type="character" w:customStyle="1" w:styleId="FooterChar">
    <w:name w:val="Footer Char"/>
    <w:basedOn w:val="DefaultParagraphFont"/>
    <w:link w:val="Footer"/>
    <w:semiHidden/>
    <w:rsid w:val="002C1F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50050">
      <w:bodyDiv w:val="1"/>
      <w:marLeft w:val="0"/>
      <w:marRight w:val="0"/>
      <w:marTop w:val="0"/>
      <w:marBottom w:val="0"/>
      <w:divBdr>
        <w:top w:val="none" w:sz="0" w:space="0" w:color="auto"/>
        <w:left w:val="none" w:sz="0" w:space="0" w:color="auto"/>
        <w:bottom w:val="none" w:sz="0" w:space="0" w:color="auto"/>
        <w:right w:val="none" w:sz="0" w:space="0" w:color="auto"/>
      </w:divBdr>
    </w:div>
    <w:div w:id="904417056">
      <w:bodyDiv w:val="1"/>
      <w:marLeft w:val="0"/>
      <w:marRight w:val="0"/>
      <w:marTop w:val="0"/>
      <w:marBottom w:val="0"/>
      <w:divBdr>
        <w:top w:val="none" w:sz="0" w:space="0" w:color="auto"/>
        <w:left w:val="none" w:sz="0" w:space="0" w:color="auto"/>
        <w:bottom w:val="none" w:sz="0" w:space="0" w:color="auto"/>
        <w:right w:val="none" w:sz="0" w:space="0" w:color="auto"/>
      </w:divBdr>
    </w:div>
    <w:div w:id="1095901105">
      <w:bodyDiv w:val="1"/>
      <w:marLeft w:val="0"/>
      <w:marRight w:val="0"/>
      <w:marTop w:val="0"/>
      <w:marBottom w:val="0"/>
      <w:divBdr>
        <w:top w:val="none" w:sz="0" w:space="0" w:color="auto"/>
        <w:left w:val="none" w:sz="0" w:space="0" w:color="auto"/>
        <w:bottom w:val="none" w:sz="0" w:space="0" w:color="auto"/>
        <w:right w:val="none" w:sz="0" w:space="0" w:color="auto"/>
      </w:divBdr>
    </w:div>
    <w:div w:id="1310210812">
      <w:bodyDiv w:val="1"/>
      <w:marLeft w:val="0"/>
      <w:marRight w:val="0"/>
      <w:marTop w:val="0"/>
      <w:marBottom w:val="0"/>
      <w:divBdr>
        <w:top w:val="none" w:sz="0" w:space="0" w:color="auto"/>
        <w:left w:val="none" w:sz="0" w:space="0" w:color="auto"/>
        <w:bottom w:val="none" w:sz="0" w:space="0" w:color="auto"/>
        <w:right w:val="none" w:sz="0" w:space="0" w:color="auto"/>
      </w:divBdr>
    </w:div>
    <w:div w:id="21047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1121</Words>
  <Characters>10062</Characters>
  <Application>Microsoft Office Word</Application>
  <DocSecurity>0</DocSecurity>
  <Lines>176</Lines>
  <Paragraphs>71</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CUADRAT SEIX Iban</dc:creator>
  <cp:keywords/>
  <dc:description/>
  <cp:lastModifiedBy>SORMUNEN Eija</cp:lastModifiedBy>
  <cp:revision>2</cp:revision>
  <cp:lastPrinted>2004-11-19T15:55:00Z</cp:lastPrinted>
  <dcterms:created xsi:type="dcterms:W3CDTF">2020-12-01T07:52:00Z</dcterms:created>
  <dcterms:modified xsi:type="dcterms:W3CDTF">2020-12-01T07:52:00Z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9.9.1 Build [20200705]</vt:lpwstr>
  </property>
  <property fmtid="{D5CDD505-2E9C-101B-9397-08002B2CF9AE}" pid="3" name="LastEdited with">
    <vt:lpwstr>9.9.1 Build [20200705]</vt:lpwstr>
  </property>
  <property fmtid="{D5CDD505-2E9C-101B-9397-08002B2CF9AE}" pid="4" name="&lt;FdR&gt;">
    <vt:lpwstr>1218403</vt:lpwstr>
  </property>
  <property fmtid="{D5CDD505-2E9C-101B-9397-08002B2CF9AE}" pid="5" name="&lt;Type&gt;">
    <vt:lpwstr>RE</vt:lpwstr>
  </property>
  <property fmtid="{D5CDD505-2E9C-101B-9397-08002B2CF9AE}" pid="6" name="&lt;ModelCod&gt;">
    <vt:lpwstr>\\eiciBRUpr1\pdocep$\DocEP\DOCS\General\RE\RE_Statements.dotx(17/04/2020 18:29:07)</vt:lpwstr>
  </property>
  <property fmtid="{D5CDD505-2E9C-101B-9397-08002B2CF9AE}" pid="7" name="&lt;ModelTra&gt;">
    <vt:lpwstr>\\eiciBRUpr1\pdocep$\DocEP\TRANSFIL\EN\RE_Statements.EN(25/06/2019 11:01:00)</vt:lpwstr>
  </property>
  <property fmtid="{D5CDD505-2E9C-101B-9397-08002B2CF9AE}" pid="8" name="&lt;Model&gt;">
    <vt:lpwstr>RE_Statements</vt:lpwstr>
  </property>
  <property fmtid="{D5CDD505-2E9C-101B-9397-08002B2CF9AE}" pid="9" name="FooterPath">
    <vt:lpwstr>RE\1218403FI.docx</vt:lpwstr>
  </property>
  <property fmtid="{D5CDD505-2E9C-101B-9397-08002B2CF9AE}" pid="10" name="PE number">
    <vt:lpwstr>660.347</vt:lpwstr>
  </property>
  <property fmtid="{D5CDD505-2E9C-101B-9397-08002B2CF9AE}" pid="11" name="SendToEpades">
    <vt:lpwstr>OK - 2020/11/20 16:40</vt:lpwstr>
  </property>
  <property fmtid="{D5CDD505-2E9C-101B-9397-08002B2CF9AE}" pid="12" name="SDLStudio">
    <vt:lpwstr/>
  </property>
  <property fmtid="{D5CDD505-2E9C-101B-9397-08002B2CF9AE}" pid="13" name="&lt;Extension&gt;">
    <vt:lpwstr>FI</vt:lpwstr>
  </property>
  <property fmtid="{D5CDD505-2E9C-101B-9397-08002B2CF9AE}" pid="14" name="Bookout">
    <vt:lpwstr>OK - 2020/12/01 08:52</vt:lpwstr>
  </property>
</Properties>
</file>