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8F5EFB" w:rsidRPr="00650AE8" w:rsidTr="00C85D0F">
        <w:trPr>
          <w:trHeight w:hRule="exact" w:val="1418"/>
        </w:trPr>
        <w:tc>
          <w:tcPr>
            <w:tcW w:w="6804" w:type="dxa"/>
            <w:shd w:val="clear" w:color="auto" w:fill="auto"/>
            <w:vAlign w:val="center"/>
          </w:tcPr>
          <w:p w:rsidR="008F5EFB" w:rsidRPr="00650AE8" w:rsidRDefault="00674856" w:rsidP="00C85D0F">
            <w:pPr>
              <w:pStyle w:val="EPName"/>
            </w:pPr>
            <w:r w:rsidRPr="00650AE8">
              <w:t>Euroopa Parlament</w:t>
            </w:r>
          </w:p>
          <w:p w:rsidR="008F5EFB" w:rsidRPr="00650AE8" w:rsidRDefault="002C1F91" w:rsidP="002C1F91">
            <w:pPr>
              <w:pStyle w:val="EPTerm"/>
            </w:pPr>
            <w:r w:rsidRPr="00650AE8">
              <w:t>2019-2024</w:t>
            </w:r>
          </w:p>
        </w:tc>
        <w:tc>
          <w:tcPr>
            <w:tcW w:w="2268" w:type="dxa"/>
            <w:shd w:val="clear" w:color="auto" w:fill="auto"/>
          </w:tcPr>
          <w:p w:rsidR="008F5EFB" w:rsidRPr="00650AE8" w:rsidRDefault="008F5EFB" w:rsidP="00C85D0F">
            <w:pPr>
              <w:pStyle w:val="EPLogo"/>
            </w:pPr>
            <w:r w:rsidRPr="00650AE8">
              <w:rPr>
                <w:lang w:val="en-GB"/>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E53167" w:rsidRPr="00650AE8" w:rsidRDefault="00E53167" w:rsidP="00E53167">
      <w:pPr>
        <w:pStyle w:val="LineTop"/>
      </w:pPr>
    </w:p>
    <w:p w:rsidR="00E53167" w:rsidRPr="00650AE8" w:rsidRDefault="002C1F91" w:rsidP="00E53167">
      <w:pPr>
        <w:pStyle w:val="EPBody"/>
      </w:pPr>
      <w:r w:rsidRPr="00650AE8">
        <w:rPr>
          <w:rStyle w:val="HideTWBInt"/>
        </w:rPr>
        <w:t>{LIBE}</w:t>
      </w:r>
      <w:r w:rsidRPr="00650AE8">
        <w:t>Kodanikuvabaduste, justiits- ja siseasjade komisjon</w:t>
      </w:r>
    </w:p>
    <w:p w:rsidR="00094DDA" w:rsidRPr="00650AE8" w:rsidRDefault="00094DDA" w:rsidP="00094DDA">
      <w:pPr>
        <w:pStyle w:val="LineBottom"/>
      </w:pPr>
    </w:p>
    <w:p w:rsidR="00094DDA" w:rsidRPr="00650AE8" w:rsidRDefault="00094DDA" w:rsidP="00094DDA">
      <w:pPr>
        <w:pStyle w:val="CoverReference"/>
      </w:pPr>
      <w:r w:rsidRPr="00650AE8">
        <w:rPr>
          <w:rStyle w:val="HideTWBExt"/>
          <w:b w:val="0"/>
          <w:noProof w:val="0"/>
        </w:rPr>
        <w:t>&lt;NoDocSe&gt;</w:t>
      </w:r>
      <w:r w:rsidRPr="00650AE8">
        <w:t>2020/2717(RSP)</w:t>
      </w:r>
      <w:r w:rsidRPr="00650AE8">
        <w:rPr>
          <w:rStyle w:val="HideTWBExt"/>
          <w:b w:val="0"/>
          <w:noProof w:val="0"/>
        </w:rPr>
        <w:t>&lt;/NoDocSe&gt;</w:t>
      </w:r>
    </w:p>
    <w:p w:rsidR="00094DDA" w:rsidRPr="00650AE8" w:rsidRDefault="00094DDA" w:rsidP="00094DDA">
      <w:pPr>
        <w:pStyle w:val="CoverDate"/>
      </w:pPr>
      <w:r w:rsidRPr="00650AE8">
        <w:rPr>
          <w:rStyle w:val="HideTWBExt"/>
          <w:noProof w:val="0"/>
        </w:rPr>
        <w:t>&lt;Date&gt;</w:t>
      </w:r>
      <w:r w:rsidRPr="00650AE8">
        <w:t>...</w:t>
      </w:r>
      <w:r w:rsidRPr="00650AE8">
        <w:rPr>
          <w:rStyle w:val="HideTWBExt"/>
          <w:noProof w:val="0"/>
        </w:rPr>
        <w:t>&lt;/Date&gt;</w:t>
      </w:r>
    </w:p>
    <w:p w:rsidR="00814BC6" w:rsidRPr="00650AE8" w:rsidRDefault="00814BC6">
      <w:pPr>
        <w:pStyle w:val="CoverDocType24a"/>
      </w:pPr>
      <w:r w:rsidRPr="00650AE8">
        <w:rPr>
          <w:rStyle w:val="HideTWBExt"/>
          <w:b w:val="0"/>
          <w:noProof w:val="0"/>
        </w:rPr>
        <w:t>&lt;TitreType&gt;</w:t>
      </w:r>
      <w:r w:rsidRPr="00650AE8">
        <w:t>RESOLUTSIOONI ETTEPANEKU PROJEKT</w:t>
      </w:r>
      <w:r w:rsidRPr="00650AE8">
        <w:rPr>
          <w:rStyle w:val="HideTWBExt"/>
          <w:b w:val="0"/>
          <w:noProof w:val="0"/>
        </w:rPr>
        <w:t>&lt;/TitreType&gt;</w:t>
      </w:r>
    </w:p>
    <w:p w:rsidR="00814BC6" w:rsidRPr="00650AE8" w:rsidRDefault="00814BC6">
      <w:pPr>
        <w:pStyle w:val="CoverNormal12a"/>
      </w:pPr>
      <w:r w:rsidRPr="00650AE8">
        <w:rPr>
          <w:rStyle w:val="HideTWBExt"/>
          <w:noProof w:val="0"/>
        </w:rPr>
        <w:t>&lt;TitreSuite&gt;</w:t>
      </w:r>
      <w:r w:rsidRPr="00650AE8">
        <w:t>komisjoni avalduse alusel</w:t>
      </w:r>
      <w:r w:rsidRPr="00650AE8">
        <w:rPr>
          <w:rStyle w:val="HideTWBExt"/>
          <w:noProof w:val="0"/>
        </w:rPr>
        <w:t>&lt;/TitreSuite&gt;</w:t>
      </w:r>
    </w:p>
    <w:p w:rsidR="00814BC6" w:rsidRPr="00650AE8" w:rsidRDefault="00814BC6">
      <w:pPr>
        <w:pStyle w:val="CoverNormal12a"/>
      </w:pPr>
      <w:r w:rsidRPr="00650AE8">
        <w:rPr>
          <w:rStyle w:val="HideTWBExt"/>
          <w:noProof w:val="0"/>
        </w:rPr>
        <w:t>&lt;TitreRecueil&gt;</w:t>
      </w:r>
      <w:r w:rsidRPr="00650AE8">
        <w:t>vastavalt kodukorra artikli 132 lõikele 2</w:t>
      </w:r>
      <w:r w:rsidRPr="00650AE8">
        <w:rPr>
          <w:rStyle w:val="HideTWBExt"/>
          <w:noProof w:val="0"/>
        </w:rPr>
        <w:t>&lt;/TitreRecueil&gt;</w:t>
      </w:r>
    </w:p>
    <w:p w:rsidR="00C23264" w:rsidRPr="00650AE8" w:rsidRDefault="00C23264" w:rsidP="00C23264">
      <w:pPr>
        <w:pStyle w:val="CoverNormal"/>
      </w:pPr>
      <w:r w:rsidRPr="00650AE8">
        <w:rPr>
          <w:rStyle w:val="HideTWBExt"/>
          <w:noProof w:val="0"/>
        </w:rPr>
        <w:t>&lt;Titre&gt;</w:t>
      </w:r>
      <w:r w:rsidRPr="00650AE8">
        <w:t>mis käsitleb komisjoni hindamisaruannet isikuandmete kaitse üldmääruse rakendamise kohta kaks aastat pärast selle jõustumist</w:t>
      </w:r>
      <w:r w:rsidRPr="00650AE8">
        <w:rPr>
          <w:rStyle w:val="HideTWBExt"/>
          <w:noProof w:val="0"/>
        </w:rPr>
        <w:t>&lt;/Titre&gt;</w:t>
      </w:r>
    </w:p>
    <w:p w:rsidR="00C23264" w:rsidRPr="00650AE8" w:rsidRDefault="00C23264" w:rsidP="00C23264">
      <w:pPr>
        <w:pStyle w:val="CoverNormal24a"/>
      </w:pPr>
      <w:r w:rsidRPr="00650AE8">
        <w:rPr>
          <w:rStyle w:val="HideTWBExt"/>
          <w:noProof w:val="0"/>
        </w:rPr>
        <w:t>&lt;DocRef&gt;</w:t>
      </w:r>
      <w:r w:rsidRPr="00650AE8">
        <w:t>(2020/2717(RSP))</w:t>
      </w:r>
      <w:r w:rsidRPr="00650AE8">
        <w:rPr>
          <w:rStyle w:val="HideTWBExt"/>
          <w:noProof w:val="0"/>
        </w:rPr>
        <w:t>&lt;/DocRef&gt;</w:t>
      </w:r>
    </w:p>
    <w:p w:rsidR="002574AA" w:rsidRPr="00650AE8" w:rsidRDefault="002574AA" w:rsidP="002574AA">
      <w:pPr>
        <w:pStyle w:val="CoverBold"/>
      </w:pPr>
      <w:r w:rsidRPr="00650AE8">
        <w:rPr>
          <w:rStyle w:val="HideTWBExt"/>
          <w:b w:val="0"/>
          <w:noProof w:val="0"/>
        </w:rPr>
        <w:t>&lt;RepeatBlock-By&gt;&lt;Depute&gt;</w:t>
      </w:r>
      <w:r w:rsidRPr="00650AE8">
        <w:t>Juan Fernando López Aguilar</w:t>
      </w:r>
      <w:r w:rsidRPr="00650AE8">
        <w:rPr>
          <w:rStyle w:val="HideTWBExt"/>
          <w:b w:val="0"/>
          <w:noProof w:val="0"/>
          <w:color w:val="auto"/>
        </w:rPr>
        <w:t>&lt;/Depute&gt;</w:t>
      </w:r>
    </w:p>
    <w:p w:rsidR="002574AA" w:rsidRPr="00650AE8" w:rsidRDefault="002574AA" w:rsidP="002574AA">
      <w:pPr>
        <w:pStyle w:val="CoverNormal"/>
      </w:pPr>
      <w:r w:rsidRPr="00650AE8">
        <w:rPr>
          <w:rStyle w:val="HideTWBExt"/>
          <w:noProof w:val="0"/>
        </w:rPr>
        <w:t>&lt;Commission&gt;</w:t>
      </w:r>
      <w:r w:rsidRPr="00650AE8">
        <w:rPr>
          <w:rStyle w:val="HideTWBInt"/>
        </w:rPr>
        <w:t>{LIBE}</w:t>
      </w:r>
      <w:r w:rsidRPr="00650AE8">
        <w:t>kodanikuvabaduste, justiits- ja siseasjade komisjoni nimel</w:t>
      </w:r>
      <w:r w:rsidRPr="00650AE8">
        <w:rPr>
          <w:rStyle w:val="HideTWBExt"/>
          <w:noProof w:val="0"/>
        </w:rPr>
        <w:t>&lt;/Commission&gt;</w:t>
      </w:r>
    </w:p>
    <w:p w:rsidR="002574AA" w:rsidRPr="00650AE8" w:rsidRDefault="002574AA" w:rsidP="002574AA">
      <w:pPr>
        <w:pStyle w:val="CoverNormal"/>
      </w:pPr>
      <w:r w:rsidRPr="00650AE8">
        <w:rPr>
          <w:rStyle w:val="HideTWBExt"/>
          <w:noProof w:val="0"/>
        </w:rPr>
        <w:t>&lt;/RepeatBlock-By&gt;</w:t>
      </w:r>
    </w:p>
    <w:p w:rsidR="00814BC6" w:rsidRPr="00650AE8" w:rsidRDefault="00814BC6">
      <w:pPr>
        <w:pStyle w:val="NormalBold12a"/>
      </w:pPr>
      <w:r w:rsidRPr="00650AE8">
        <w:br w:type="page"/>
      </w:r>
      <w:r w:rsidRPr="00650AE8">
        <w:lastRenderedPageBreak/>
        <w:t>B9</w:t>
      </w:r>
      <w:r w:rsidRPr="00650AE8">
        <w:noBreakHyphen/>
        <w:t>0000/2020</w:t>
      </w:r>
    </w:p>
    <w:p w:rsidR="00C23264" w:rsidRPr="00650AE8" w:rsidRDefault="00674856" w:rsidP="00C23264">
      <w:pPr>
        <w:pStyle w:val="NormalBold"/>
      </w:pPr>
      <w:r w:rsidRPr="00650AE8">
        <w:t>Euroopa Parlamendi resolutsioon, mis käsitleb komisjoni hindamisaruannet isikuandmete kaitse üldmääruse rakendamise kohta kaks aastat pärast selle jõustumist</w:t>
      </w:r>
    </w:p>
    <w:p w:rsidR="00C23264" w:rsidRPr="00650AE8" w:rsidRDefault="00674856" w:rsidP="00DF7943">
      <w:pPr>
        <w:pStyle w:val="NormalBold"/>
      </w:pPr>
      <w:r w:rsidRPr="00650AE8">
        <w:t>(2020/2717(RSP))</w:t>
      </w:r>
    </w:p>
    <w:p w:rsidR="00814BC6" w:rsidRPr="00650AE8" w:rsidRDefault="00674856">
      <w:pPr>
        <w:pStyle w:val="EPComma"/>
      </w:pPr>
      <w:r w:rsidRPr="00650AE8">
        <w:rPr>
          <w:i/>
        </w:rPr>
        <w:t>Euroopa Parlament</w:t>
      </w:r>
      <w:r w:rsidRPr="00650AE8">
        <w:t>,</w:t>
      </w:r>
    </w:p>
    <w:p w:rsidR="002C1F91" w:rsidRPr="00650AE8" w:rsidRDefault="00814BC6" w:rsidP="00FD65B9">
      <w:pPr>
        <w:widowControl/>
        <w:ind w:left="567" w:hanging="567"/>
        <w:rPr>
          <w:szCs w:val="24"/>
        </w:rPr>
      </w:pPr>
      <w:r w:rsidRPr="00650AE8">
        <w:t>–</w:t>
      </w:r>
      <w:r w:rsidRPr="00650AE8">
        <w:tab/>
        <w:t>võttes arvesse Euroopa Parlamendi ja nõukogu 24. aprilli 2016. aasta määrust (EL) 2016/679 füüsiliste isikute kaitse kohta isikuandmete töötlemisel ja selliste andmete vaba liikumise ning direktiivi 95/46/EÜ kehtetuks tunnistamise kohta (isikuandmete kaitse üldmäärus)</w:t>
      </w:r>
      <w:r w:rsidR="002C1F91" w:rsidRPr="00650AE8">
        <w:rPr>
          <w:rStyle w:val="FootnoteReference"/>
        </w:rPr>
        <w:footnoteReference w:id="1"/>
      </w:r>
      <w:r w:rsidRPr="00650AE8">
        <w:t xml:space="preserve">, </w:t>
      </w:r>
    </w:p>
    <w:p w:rsidR="002C1F91" w:rsidRPr="00650AE8" w:rsidRDefault="00CC09D8" w:rsidP="00FD65B9">
      <w:pPr>
        <w:widowControl/>
        <w:spacing w:before="240"/>
        <w:ind w:left="567" w:hanging="567"/>
        <w:rPr>
          <w:szCs w:val="24"/>
        </w:rPr>
      </w:pPr>
      <w:r w:rsidRPr="00650AE8">
        <w:t>–</w:t>
      </w:r>
      <w:r w:rsidRPr="00650AE8">
        <w:tab/>
        <w:t>võttes arvesse komisjoni 24. juuni 2020. aasta avaldust oma teatise kohta Euroopa Parlamendile ja nõukogule „Andmekaitse kodanike võimestajana ja ELi valmistumine digiüleminekuks – isikuandmete kaitse üldmääruse kohaldamise kaks esimest aastat“</w:t>
      </w:r>
      <w:r w:rsidR="002C1F91" w:rsidRPr="00650AE8">
        <w:rPr>
          <w:rStyle w:val="FootnoteReference"/>
        </w:rPr>
        <w:footnoteReference w:id="2"/>
      </w:r>
      <w:r w:rsidRPr="00650AE8">
        <w:t xml:space="preserve">, </w:t>
      </w:r>
    </w:p>
    <w:p w:rsidR="002C1F91" w:rsidRPr="00650AE8" w:rsidRDefault="002C1F91" w:rsidP="00FD65B9">
      <w:pPr>
        <w:widowControl/>
        <w:spacing w:before="240"/>
        <w:ind w:left="567" w:hanging="567"/>
        <w:rPr>
          <w:szCs w:val="24"/>
        </w:rPr>
      </w:pPr>
      <w:r w:rsidRPr="00650AE8">
        <w:t>–</w:t>
      </w:r>
      <w:r w:rsidRPr="00650AE8">
        <w:tab/>
        <w:t>võttes arvesse komisjoni 24. juuni 2020. aasta teatist Euroopa Parlamendile ja nõukogule „Andmekaitse kodanike võimestajana ja ELi valmistumine digiüleminekuks – isikuandmete kaitse üldmääruse kohaldamise kaks esimest aastat“</w:t>
      </w:r>
      <w:r w:rsidRPr="00650AE8">
        <w:rPr>
          <w:rStyle w:val="FootnoteReference"/>
        </w:rPr>
        <w:footnoteReference w:id="3"/>
      </w:r>
      <w:r w:rsidRPr="00650AE8">
        <w:t xml:space="preserve">, </w:t>
      </w:r>
    </w:p>
    <w:p w:rsidR="00ED22B8" w:rsidRPr="00650AE8" w:rsidRDefault="00ED22B8" w:rsidP="00FD65B9">
      <w:pPr>
        <w:pStyle w:val="NormalHanging12a"/>
        <w:spacing w:before="240"/>
      </w:pPr>
      <w:r w:rsidRPr="00650AE8">
        <w:t>–</w:t>
      </w:r>
      <w:r w:rsidRPr="00650AE8">
        <w:tab/>
        <w:t>võttes arvesse kodukorra artikli 132 lõiget 2,</w:t>
      </w:r>
    </w:p>
    <w:p w:rsidR="00780A7D" w:rsidRPr="00650AE8" w:rsidRDefault="00780A7D" w:rsidP="00FD65B9">
      <w:pPr>
        <w:pStyle w:val="NormalHanging12a"/>
      </w:pPr>
      <w:r w:rsidRPr="00650AE8">
        <w:t>–</w:t>
      </w:r>
      <w:r w:rsidRPr="00650AE8">
        <w:tab/>
        <w:t>võttes arvesse kodanikuvabaduste, justiits- ja siseasjade komisjoni resolutsiooni ettepanekut,</w:t>
      </w:r>
    </w:p>
    <w:p w:rsidR="00814BC6" w:rsidRPr="00650AE8" w:rsidRDefault="002C1F91" w:rsidP="002C1F91">
      <w:pPr>
        <w:pStyle w:val="NormalHanging12a"/>
        <w:ind w:hanging="566"/>
      </w:pPr>
      <w:r w:rsidRPr="00650AE8">
        <w:t>A.</w:t>
      </w:r>
      <w:r w:rsidRPr="00650AE8">
        <w:tab/>
        <w:t>arvestades, et isikuandmete kaitse üldmäärust hakati kohaldama 25. maist 2018; arvestades, et kõik liikmesriigid peale Sloveenia võtsid vastu uued õigusaktid või kohandasid oma siseriiklikku andmekaitseõigust;</w:t>
      </w:r>
    </w:p>
    <w:p w:rsidR="002C1F91" w:rsidRPr="00650AE8" w:rsidRDefault="002C1F91" w:rsidP="002C1F91">
      <w:pPr>
        <w:pStyle w:val="NormalHanging12a"/>
        <w:ind w:hanging="566"/>
      </w:pPr>
      <w:r w:rsidRPr="00650AE8">
        <w:t>B.</w:t>
      </w:r>
      <w:r w:rsidRPr="00650AE8">
        <w:tab/>
        <w:t>arvestades, et alates isikuandmete kaitse üldmääruse jõustumisest on järelevalveasutustele esitatud kaebuste arv märkimisväärselt kasvanud; arvestades, et see näitab, et andmesubjektid on teadlikumad oma õigustest ja soovivad kaitsta oma isikuandmeid kooskõlas isikuandmete kaitse üldmäärusega; arvestades, et see näitab ka seda, et jätkuvalt tehakse suurel hulgal seadusevastaseid andmetöötlustoiminguid;</w:t>
      </w:r>
    </w:p>
    <w:p w:rsidR="002C1F91" w:rsidRPr="00650AE8" w:rsidRDefault="002C1F91" w:rsidP="002C1F91">
      <w:pPr>
        <w:pStyle w:val="NormalHanging12a"/>
        <w:ind w:left="1" w:firstLine="0"/>
        <w:rPr>
          <w:b/>
          <w:i/>
        </w:rPr>
      </w:pPr>
      <w:r w:rsidRPr="00650AE8">
        <w:rPr>
          <w:b/>
          <w:i/>
        </w:rPr>
        <w:t>ÜLDISED TÄHELEPANEKUD</w:t>
      </w:r>
    </w:p>
    <w:p w:rsidR="002C1F91" w:rsidRPr="00650AE8" w:rsidRDefault="002C1F91" w:rsidP="002C1F91">
      <w:pPr>
        <w:pStyle w:val="NormalHanging12a"/>
        <w:ind w:hanging="566"/>
      </w:pPr>
      <w:r w:rsidRPr="00650AE8">
        <w:t>1.</w:t>
      </w:r>
      <w:r w:rsidRPr="00650AE8">
        <w:tab/>
        <w:t>väljendab heameelt seoses asjaoluga, et isikuandmete kaitse üldmäärusest on saanud isikuandmete kaitse ülemaailmne standard ja see on õigusnormide väljatöötamisel lähendavaks teguriks; väljendab heameelt selle üle, et isikuandmete kaitse üldmäärus on andmekaitset käsitlevatel rahvusvahelistel aruteludel tõstnud ELi esiplaanile ning mitmed kolmandad riigid on oma andmekaitsealased õigusaktid isikuandmete kaitse üldmäärusega kooskõlla viinud;</w:t>
      </w:r>
    </w:p>
    <w:p w:rsidR="002C1F91" w:rsidRPr="00650AE8" w:rsidRDefault="002C1F91" w:rsidP="002C1F91">
      <w:pPr>
        <w:pStyle w:val="NormalHanging12a"/>
        <w:ind w:hanging="566"/>
      </w:pPr>
      <w:r w:rsidRPr="00650AE8">
        <w:lastRenderedPageBreak/>
        <w:t>2.</w:t>
      </w:r>
      <w:r w:rsidRPr="00650AE8">
        <w:tab/>
        <w:t>järeldab, et kaks aastat pärast jõustumist on isikuandmete kaitse üldmäärus olnud üldjoontes edukas, ja nõustub Euroopa Komisjoniga, et praeguses etapis ei ole vaja seda ajakohastada või läbi vaadata;</w:t>
      </w:r>
    </w:p>
    <w:p w:rsidR="002C1F91" w:rsidRPr="00650AE8" w:rsidRDefault="002C1F91" w:rsidP="002C1F91">
      <w:pPr>
        <w:pStyle w:val="NormalHanging12a"/>
        <w:ind w:hanging="566"/>
      </w:pPr>
      <w:r w:rsidRPr="00650AE8">
        <w:t>3.</w:t>
      </w:r>
      <w:r w:rsidRPr="00650AE8">
        <w:tab/>
        <w:t>tunnistab, et lähiaastatel tuleb jätkuvalt keskenduda isikuandmete kaitse üldmääruse rakendamise ja selle tugevdamiseks võetavate meetmete parandamisele;</w:t>
      </w:r>
    </w:p>
    <w:p w:rsidR="002C1F91" w:rsidRPr="00650AE8" w:rsidRDefault="00FD65B9" w:rsidP="002C1F91">
      <w:pPr>
        <w:pStyle w:val="NormalHanging12a"/>
        <w:ind w:hanging="566"/>
      </w:pPr>
      <w:r w:rsidRPr="00650AE8">
        <w:t>4.</w:t>
      </w:r>
      <w:r w:rsidRPr="00650AE8">
        <w:tab/>
        <w:t>tunnistab, et isikuandmete kaitse üldmäärust on vaja jõuliselt ja mõjusalt rakendada suurte digiplatvormide ja integreeritud ettevõtjate suhtes, sealhulgas sellistes valdkondades nagu internetireklaam ja täppissuunamine;</w:t>
      </w:r>
    </w:p>
    <w:p w:rsidR="002C1F91" w:rsidRPr="00650AE8" w:rsidRDefault="002C1F91" w:rsidP="002C1F91">
      <w:pPr>
        <w:spacing w:after="240"/>
        <w:rPr>
          <w:rFonts w:eastAsia="DejaVu Sans"/>
          <w:kern w:val="2"/>
        </w:rPr>
      </w:pPr>
      <w:r w:rsidRPr="00650AE8">
        <w:rPr>
          <w:b/>
          <w:i/>
        </w:rPr>
        <w:t>ISIKUANDMETE TÖÖTLEMISE ÕIGUSLIK ALUS</w:t>
      </w:r>
    </w:p>
    <w:p w:rsidR="002C1F91" w:rsidRPr="00650AE8" w:rsidRDefault="00FD65B9" w:rsidP="002C1F91">
      <w:pPr>
        <w:pStyle w:val="NormalHanging12a"/>
        <w:ind w:hanging="566"/>
      </w:pPr>
      <w:r w:rsidRPr="00650AE8">
        <w:t>5.</w:t>
      </w:r>
      <w:r w:rsidRPr="00650AE8">
        <w:tab/>
        <w:t>tuletab meelde, et isikuandmete kaitse üldmääruse jõustumise algusest alates on „nõusolek“ tähistanud andmesubjekti mis tahes vormis vabatahtlikku, konkreetset, teadlikku ja ühemõttelist tahteavaldust, ning rõhutab, et see käib ka e-privaatsuse direktiivi kohta; märgib, et kehtiva nõusoleku rakendamist ohustavad endiselt nn varjatud mustrite kasutamine, jälgimine ärilistel eesmärkidel ja muud ebaeetilised tavad; väljendab muret selle pärast, et üksikisikud satuvad sageli majandusliku surve alla anda oma nõusolek vastutasuks allahindluste või muude kaubanduslike pakkumiste eest, või on sunnitud andma nõusoleku, kuna juurdepääs teenusele on seatud sõltuvusse siduvatest sätetest, mis on vastuolus isikuandmete kaitse üldmääruse artikliga 7;</w:t>
      </w:r>
    </w:p>
    <w:p w:rsidR="002C1F91" w:rsidRPr="00650AE8" w:rsidRDefault="002C1F91" w:rsidP="002C1F91">
      <w:pPr>
        <w:spacing w:after="240"/>
        <w:rPr>
          <w:rFonts w:eastAsia="DejaVu Sans"/>
          <w:b/>
          <w:i/>
          <w:kern w:val="2"/>
        </w:rPr>
      </w:pPr>
      <w:r w:rsidRPr="00650AE8">
        <w:rPr>
          <w:b/>
          <w:i/>
        </w:rPr>
        <w:t>ANDMESUBJEKTI ÕIGUSED</w:t>
      </w:r>
    </w:p>
    <w:p w:rsidR="002C1F91" w:rsidRPr="00650AE8" w:rsidRDefault="00FD65B9" w:rsidP="002C1F91">
      <w:pPr>
        <w:pStyle w:val="NormalHanging12a"/>
        <w:ind w:hanging="566"/>
      </w:pPr>
      <w:r w:rsidRPr="00650AE8">
        <w:t>6.</w:t>
      </w:r>
      <w:r w:rsidRPr="00650AE8">
        <w:tab/>
        <w:t>rõhutab, et on vaja hõlbustada isikuandmete kaitse üldmäärusega ette nähtud üksikisikute õiguste, näiteks andmete ülekantavuse või automatiseeritud töötlemise, sealhulgas profiilianalüüsiga seotud õiguste kasutamist; kutsub Euroopa Andmekaitsenõukogu üles avaldama lisasuuniseid automatiseeritud otsuste tegemise kohta;</w:t>
      </w:r>
    </w:p>
    <w:p w:rsidR="002C1F91" w:rsidRPr="00650AE8" w:rsidRDefault="002C1F91" w:rsidP="002C1F91">
      <w:pPr>
        <w:pStyle w:val="NormalHanging12a"/>
        <w:ind w:left="1" w:firstLine="0"/>
      </w:pPr>
      <w:r w:rsidRPr="00650AE8">
        <w:rPr>
          <w:b/>
          <w:i/>
        </w:rPr>
        <w:t>VÄIKEETTEVÕTTED JA -ORGANISATSIOONID</w:t>
      </w:r>
    </w:p>
    <w:p w:rsidR="002C1F91" w:rsidRPr="00650AE8" w:rsidRDefault="00FD65B9" w:rsidP="002C1F91">
      <w:pPr>
        <w:pStyle w:val="NormalHanging12a"/>
        <w:ind w:hanging="566"/>
      </w:pPr>
      <w:r w:rsidRPr="00650AE8">
        <w:t>7.</w:t>
      </w:r>
      <w:r w:rsidRPr="00650AE8">
        <w:tab/>
        <w:t>märgib, et mõned sidusrühmad on teatanud, et isikuandmete kaitse üldmääruse kohaldamine on keeruline eelkõige väikeste ja keskmise suurusega ettevõtjate (VKEde) jaoks;</w:t>
      </w:r>
    </w:p>
    <w:p w:rsidR="002C1F91" w:rsidRPr="00650AE8" w:rsidRDefault="00FD65B9" w:rsidP="002C1F91">
      <w:pPr>
        <w:pStyle w:val="NormalHanging12a"/>
        <w:ind w:hanging="566"/>
      </w:pPr>
      <w:r w:rsidRPr="00650AE8">
        <w:t>8.</w:t>
      </w:r>
      <w:r w:rsidRPr="00650AE8">
        <w:tab/>
        <w:t>rõhutab, et VKEdele ei tohiks teha erandeid; kutsub Euroopa Andmekaitsenõukogu üles pakkuma praktilisi vahendeid, et hõlbustada isikuandmete kaitse üldmääruse rakendamist madala andmetöötlusriskiga VKEde poolt;</w:t>
      </w:r>
    </w:p>
    <w:p w:rsidR="002C1F91" w:rsidRPr="00650AE8" w:rsidRDefault="002C1F91" w:rsidP="002C1F91">
      <w:pPr>
        <w:pStyle w:val="NormalHanging12a"/>
        <w:spacing w:before="240"/>
        <w:ind w:left="1" w:firstLine="0"/>
      </w:pPr>
      <w:r w:rsidRPr="00650AE8">
        <w:rPr>
          <w:b/>
          <w:i/>
        </w:rPr>
        <w:t>TÄITMISE TAGAMINE</w:t>
      </w:r>
    </w:p>
    <w:p w:rsidR="002C1F91" w:rsidRPr="00650AE8" w:rsidRDefault="00FD65B9" w:rsidP="002C1F91">
      <w:pPr>
        <w:pStyle w:val="NormalHanging12a"/>
        <w:ind w:hanging="566"/>
      </w:pPr>
      <w:r w:rsidRPr="00650AE8">
        <w:t>9.</w:t>
      </w:r>
      <w:r w:rsidRPr="00650AE8">
        <w:tab/>
        <w:t>väljendab muret selle pärast, et riiklikud andmekaitseasutused tagavad isikuandmete kaitse üldmääruse täitmist ebaühtlaselt;</w:t>
      </w:r>
    </w:p>
    <w:p w:rsidR="002C1F91" w:rsidRPr="00650AE8" w:rsidRDefault="002C1F91" w:rsidP="002C1F91">
      <w:pPr>
        <w:pStyle w:val="NormalHanging12a"/>
        <w:ind w:hanging="566"/>
      </w:pPr>
      <w:r w:rsidRPr="00650AE8">
        <w:t>10.</w:t>
      </w:r>
      <w:r w:rsidRPr="00650AE8">
        <w:tab/>
        <w:t>märgib, et kuigi alates isikuandmete kaitse üldmääruse jõustumisest on tõsiste rikkumiste eest määratud mõned märkimisväärsed trahvid, ei ole isikuandmete kaitse üldmääruse vastavaid võimalusi kaugeltki täies ulatuses ära kasutatud ning kohaldatavate karistuste rangusaste on liikmesriigiti erinev;</w:t>
      </w:r>
    </w:p>
    <w:p w:rsidR="002C1F91" w:rsidRPr="00650AE8" w:rsidRDefault="002C1F91" w:rsidP="002C1F91">
      <w:pPr>
        <w:pStyle w:val="NormalHanging12a"/>
        <w:ind w:hanging="566"/>
      </w:pPr>
      <w:r w:rsidRPr="00650AE8">
        <w:t>11.</w:t>
      </w:r>
      <w:r w:rsidRPr="00650AE8">
        <w:tab/>
        <w:t>väljendab muret juhtumite uurimise kestuse pärast mõnedes andmekaitseasutuses ning selle kahjuliku mõju pärast tulemuslikule täitmise tagamisele ja kodanike usaldusele; nõuab tungivalt, et andmekaitseasutused kiirendaksid juhtumite lahendamist ja kasutaksid kõiki neile isikuandmete kaitse üldmääruse kohaselt kättesaadavaid mehhanisme, sealhulgas ajutisi või lõplikke piiranguid või töötlemiskeeldu;</w:t>
      </w:r>
    </w:p>
    <w:p w:rsidR="002C1F91" w:rsidRPr="00650AE8" w:rsidRDefault="002C1F91" w:rsidP="002C1F91">
      <w:pPr>
        <w:pStyle w:val="NormalHanging12a"/>
        <w:ind w:hanging="566"/>
      </w:pPr>
      <w:r w:rsidRPr="00650AE8">
        <w:t>12.</w:t>
      </w:r>
      <w:r w:rsidRPr="00650AE8">
        <w:tab/>
        <w:t>väljendab nördimust seoses asjaoluga, et 21 liikmesriigi andmekaitseasutused on sõnaselgelt teatanud, et neil ei ole oma ülesannete tõhusaks täitmiseks ja volituste kasutamiseks piisavalt inim-, tehnilisi ega rahalisi ressursse; nõuab tungivalt, et Euroopa Komisjon võtaks asjakohaseid meetmeid, sealhulgas algataks viivitamata rikkumismenetlused nende liikmesriikide suhtes, kes ei ole oma kohustusi täitnud;</w:t>
      </w:r>
    </w:p>
    <w:p w:rsidR="002C1F91" w:rsidRPr="00650AE8" w:rsidRDefault="002C1F91" w:rsidP="002C1F91">
      <w:pPr>
        <w:pStyle w:val="NormalHanging12a"/>
        <w:ind w:hanging="566"/>
      </w:pPr>
      <w:r w:rsidRPr="00650AE8">
        <w:t>13.</w:t>
      </w:r>
      <w:r w:rsidRPr="00650AE8">
        <w:tab/>
        <w:t>väljendab kahetsust, et kollektiivse õiguskaitse puhul on enamik liikmesriike otsustanud isikuandmete kaitse üldmääruse artikli 80 lõiget 2 mitte rakendada; kutsub kõiki liikmesriike üles kasutama artikli 80 lõiget 2;</w:t>
      </w:r>
    </w:p>
    <w:p w:rsidR="002C1F91" w:rsidRPr="00650AE8" w:rsidRDefault="002C1F91" w:rsidP="002C1F91">
      <w:pPr>
        <w:pStyle w:val="NormalHanging12a"/>
        <w:ind w:left="1" w:firstLine="0"/>
      </w:pPr>
      <w:r w:rsidRPr="00650AE8">
        <w:rPr>
          <w:b/>
          <w:i/>
        </w:rPr>
        <w:t>KOOSTÖÖ JA JÄRJEPIDEVUS</w:t>
      </w:r>
    </w:p>
    <w:p w:rsidR="002C1F91" w:rsidRPr="00650AE8" w:rsidRDefault="002C1F91" w:rsidP="002C1F91">
      <w:pPr>
        <w:pStyle w:val="NormalHanging12a"/>
        <w:ind w:hanging="566"/>
      </w:pPr>
      <w:r w:rsidRPr="00650AE8">
        <w:t>14.</w:t>
      </w:r>
      <w:r w:rsidRPr="00650AE8">
        <w:tab/>
        <w:t>juhib tähelepanu, et üldmääruse täitmise tagamine on eriti viletsal järjel piiriüleste kaebuste, st koostöö- ja järjepidevusmehhanismide puhul; kutsub Euroopa Andmekaitsenõukogu üles suurendama jõupingutusi, et tagada isikuandmete kaitse üldmääruse artiklite 60 ja 63 nõuetekohane kohaldamine, ning kasutama isikuandmete kaitse üldmääruse artiklis 66 sätestatud kiirmenetlust;</w:t>
      </w:r>
    </w:p>
    <w:p w:rsidR="002C1F91" w:rsidRPr="00650AE8" w:rsidRDefault="002C1F91" w:rsidP="002C1F91">
      <w:pPr>
        <w:pStyle w:val="NormalHanging12a"/>
        <w:ind w:hanging="566"/>
      </w:pPr>
      <w:r w:rsidRPr="00650AE8">
        <w:t>15.</w:t>
      </w:r>
      <w:r w:rsidRPr="00650AE8">
        <w:tab/>
        <w:t>täheldab vastuolusid liikmesriikide ja Euroopa Andmekaitsenõukogu suuniste vahel;</w:t>
      </w:r>
    </w:p>
    <w:p w:rsidR="002C1F91" w:rsidRPr="00650AE8" w:rsidRDefault="002C1F91" w:rsidP="002C1F91">
      <w:pPr>
        <w:pStyle w:val="NormalHanging12a"/>
        <w:ind w:hanging="566"/>
      </w:pPr>
      <w:r w:rsidRPr="00650AE8">
        <w:t>16.</w:t>
      </w:r>
      <w:r w:rsidRPr="00650AE8">
        <w:tab/>
        <w:t>kutsub kõiki liikmesriike üles kehtestama eritoetuse piiriüleste kaebustega seotud andmesubjektidele või neid esindavatele organisatsioonidele; juhib tähelepanu asjaolule, et andmesubjekti õiguste kasutamisega seotud suured menetluskulud võivad mõjuda heidutavalt; kutsub liikmesriike üles selliseid kulusid vastavalt oma siseriiklikele haldusmenetlusseadustele piirama;</w:t>
      </w:r>
    </w:p>
    <w:p w:rsidR="002C1F91" w:rsidRPr="00650AE8" w:rsidRDefault="002C1F91" w:rsidP="002C1F91">
      <w:pPr>
        <w:pStyle w:val="NormalHanging12a"/>
        <w:ind w:left="1" w:firstLine="0"/>
      </w:pPr>
      <w:r w:rsidRPr="00650AE8">
        <w:rPr>
          <w:b/>
          <w:i/>
        </w:rPr>
        <w:t>ISIKUANDMETE KAITSE ÜLDMÄÄRUSE RAKENDAMISE KILLUSTATUS</w:t>
      </w:r>
    </w:p>
    <w:p w:rsidR="002C1F91" w:rsidRPr="00650AE8" w:rsidRDefault="002C1F91" w:rsidP="002C1F91">
      <w:pPr>
        <w:pStyle w:val="NormalHanging12a"/>
        <w:ind w:hanging="566"/>
      </w:pPr>
      <w:r w:rsidRPr="00650AE8">
        <w:t>17.</w:t>
      </w:r>
      <w:r w:rsidRPr="00650AE8">
        <w:tab/>
        <w:t>täheldab teatavat killustatust, mis tuleneb eelkõige vabatahtlike erisätete laialdasest kasutamisest; väljendab muret, et isikuandmete kaitse üldmääruse pakutavat kaitset õõnestab see, kuidas liikmesriigid on neid sätteid puudutavaid erandeid rakendanud (nt laste vanus nõusoleku saamiseks);</w:t>
      </w:r>
    </w:p>
    <w:p w:rsidR="002C1F91" w:rsidRPr="00650AE8" w:rsidRDefault="002C1F91" w:rsidP="002C1F91">
      <w:pPr>
        <w:pStyle w:val="NormalHanging12a"/>
        <w:ind w:left="1" w:firstLine="0"/>
      </w:pPr>
      <w:r w:rsidRPr="00650AE8">
        <w:rPr>
          <w:b/>
          <w:i/>
        </w:rPr>
        <w:t>LÕIMITUD ANDMEKAITSE</w:t>
      </w:r>
    </w:p>
    <w:p w:rsidR="002C1F91" w:rsidRPr="00650AE8" w:rsidRDefault="00E403A7" w:rsidP="002C1F91">
      <w:pPr>
        <w:pStyle w:val="NormalHanging12a"/>
        <w:ind w:hanging="566"/>
      </w:pPr>
      <w:r w:rsidRPr="00650AE8">
        <w:t>18.</w:t>
      </w:r>
      <w:r w:rsidRPr="00650AE8">
        <w:tab/>
        <w:t>kutsub järelevalveasutusi üles hindama lõimitud ja vaikimisi andmekaitset käsitleva artikli 25 rakendamist, eelkõige eesmärgiga rakendada võimalikult väheste andmete kogumise ja eesmärgi piiramise põhimõtteid, kooskõlas Euroopa Andmekaitsenõukogu suunistega;</w:t>
      </w:r>
    </w:p>
    <w:p w:rsidR="002C1F91" w:rsidRPr="00650AE8" w:rsidRDefault="002C1F91" w:rsidP="002C1F91">
      <w:pPr>
        <w:pStyle w:val="NormalHanging12a"/>
        <w:ind w:left="1" w:firstLine="0"/>
      </w:pPr>
      <w:r w:rsidRPr="00650AE8">
        <w:rPr>
          <w:b/>
          <w:i/>
        </w:rPr>
        <w:t>SUUNISED</w:t>
      </w:r>
    </w:p>
    <w:p w:rsidR="002C1F91" w:rsidRPr="00650AE8" w:rsidRDefault="00FD65B9" w:rsidP="002C1F91">
      <w:pPr>
        <w:pStyle w:val="NormalHanging12a"/>
        <w:ind w:hanging="566"/>
      </w:pPr>
      <w:r w:rsidRPr="00650AE8">
        <w:t>19.</w:t>
      </w:r>
      <w:r w:rsidRPr="00650AE8">
        <w:tab/>
        <w:t>kutsub Euroopa Andmekaitsenõukogu üles töötama välja standardid ja suunised, mis aitavad andmekaitsenõudeid praktikas rakendada, muu hulgas seoses andmekaitsealaste mõjuhinnangutega (artikkel 35), andmesubjektide teavitamisega (artiklid 12–14), andmesubjektide õiguste kasutamisega (artiklid 15–18, 20–21) ja töötlemistoimingute registreerimisega (artikkel 30);</w:t>
      </w:r>
    </w:p>
    <w:p w:rsidR="002C1F91" w:rsidRPr="00650AE8" w:rsidRDefault="002C1F91" w:rsidP="002C1F91">
      <w:pPr>
        <w:pStyle w:val="NormalHanging12a"/>
        <w:ind w:left="1" w:firstLine="0"/>
      </w:pPr>
      <w:r w:rsidRPr="00650AE8">
        <w:rPr>
          <w:b/>
          <w:i/>
        </w:rPr>
        <w:t>RAHVUSVAHELINE ISIKUANDMETE LIIKUMINE JA KOOSTÖÖ</w:t>
      </w:r>
    </w:p>
    <w:p w:rsidR="002C1F91" w:rsidRPr="00650AE8" w:rsidRDefault="00E403A7" w:rsidP="002C1F91">
      <w:pPr>
        <w:pStyle w:val="NormalHanging12a"/>
        <w:ind w:hanging="566"/>
      </w:pPr>
      <w:r w:rsidRPr="00650AE8">
        <w:t>20.</w:t>
      </w:r>
      <w:r w:rsidRPr="00650AE8">
        <w:tab/>
        <w:t>rõhutab, kui oluline on võimaldada isikuandmete vaba liikumist rahvusvahelisel tasandil ilma isikuandmete kaitse üldmäärusega tagatud kaitse taset alandamata; toetab Euroopa Komisjoni tava käsitleda andmekaitset ja isikuandmete liikumist kaubanduslepingutest eraldi;</w:t>
      </w:r>
    </w:p>
    <w:p w:rsidR="002C1F91" w:rsidRPr="00650AE8" w:rsidRDefault="002C1F91" w:rsidP="002C1F91">
      <w:pPr>
        <w:pStyle w:val="NormalHanging12a"/>
        <w:ind w:hanging="566"/>
      </w:pPr>
      <w:r w:rsidRPr="00650AE8">
        <w:t>21.</w:t>
      </w:r>
      <w:r w:rsidRPr="00650AE8">
        <w:tab/>
        <w:t>rõhutab, et kaitse piisavuse otsuseid tuleks langetada mitte poliitilistel, vaid õiguslikel alustel;</w:t>
      </w:r>
    </w:p>
    <w:p w:rsidR="002C1F91" w:rsidRPr="00650AE8" w:rsidRDefault="002C1F91" w:rsidP="002C1F91">
      <w:pPr>
        <w:pStyle w:val="NormalHanging12a"/>
        <w:ind w:hanging="566"/>
      </w:pPr>
      <w:r w:rsidRPr="00650AE8">
        <w:t>22.</w:t>
      </w:r>
      <w:r w:rsidRPr="00650AE8">
        <w:tab/>
        <w:t>kutsub Euroopa Komisjoni üles avaldama kriteeriumid, mille alusel määratakse kindlaks, kas kolmas riik tagab „sisuliselt samaväärse“ kaitsetaseme kui ELis, eelkõige seoses juurdepääsuga õiguskaitsevahenditele ning valitsuse juurdepääsuga andmetele;</w:t>
      </w:r>
    </w:p>
    <w:p w:rsidR="002C1F91" w:rsidRPr="00650AE8" w:rsidRDefault="002C1F91" w:rsidP="002C1F91">
      <w:pPr>
        <w:pStyle w:val="NormalHanging12a"/>
        <w:ind w:hanging="566"/>
      </w:pPr>
      <w:r w:rsidRPr="00650AE8">
        <w:t>23.</w:t>
      </w:r>
      <w:r w:rsidRPr="00650AE8">
        <w:tab/>
        <w:t>kinnitab, et massilise järelevalve programmid, mis hõlmavad massandmete kogumist, takistavad kaitse piisavuse otsuste langetamist;</w:t>
      </w:r>
    </w:p>
    <w:p w:rsidR="002C1F91" w:rsidRPr="00650AE8" w:rsidRDefault="002C1F91" w:rsidP="002C1F91">
      <w:pPr>
        <w:pStyle w:val="NormalHanging12a"/>
        <w:ind w:hanging="566"/>
      </w:pPr>
      <w:r w:rsidRPr="00650AE8">
        <w:t>24.</w:t>
      </w:r>
      <w:r w:rsidRPr="00650AE8">
        <w:tab/>
        <w:t>kutsub andmekaitseasutusi üles süstemaatiliselt hindama, kas andmekaitsereegleid kolmandates riikides</w:t>
      </w:r>
      <w:r w:rsidR="00650AE8" w:rsidRPr="00650AE8">
        <w:t xml:space="preserve"> </w:t>
      </w:r>
      <w:r w:rsidRPr="00650AE8">
        <w:t>kooskõlas Euroopa Kohtu kohtupraktikaga tegelikult kohaldatakse;</w:t>
      </w:r>
    </w:p>
    <w:p w:rsidR="002C1F91" w:rsidRPr="00650AE8" w:rsidRDefault="002C1F91" w:rsidP="002C1F91">
      <w:pPr>
        <w:pStyle w:val="NormalHanging12a"/>
        <w:ind w:hanging="566"/>
      </w:pPr>
      <w:r w:rsidRPr="00650AE8">
        <w:t>25.</w:t>
      </w:r>
      <w:r w:rsidRPr="00650AE8">
        <w:tab/>
        <w:t>nõuab tungivalt, et komisjon avaldaks põhjendamatu viivituseta oma 1995. aasta direktiivi alusel vastu võetud kaitse piisavuse otsuste läbivaatamise tulemused;</w:t>
      </w:r>
    </w:p>
    <w:p w:rsidR="002C1F91" w:rsidRPr="00650AE8" w:rsidRDefault="002C1F91" w:rsidP="002C1F91">
      <w:pPr>
        <w:pStyle w:val="NormalHanging12a"/>
        <w:ind w:left="1" w:firstLine="0"/>
      </w:pPr>
      <w:r w:rsidRPr="00650AE8">
        <w:rPr>
          <w:b/>
          <w:i/>
        </w:rPr>
        <w:t>TULEVASED LIIDU ÕIGUSAKTID</w:t>
      </w:r>
    </w:p>
    <w:p w:rsidR="002C1F91" w:rsidRPr="00650AE8" w:rsidRDefault="002C1F91" w:rsidP="002C1F91">
      <w:pPr>
        <w:pStyle w:val="NormalHanging12a"/>
        <w:ind w:hanging="566"/>
      </w:pPr>
      <w:r w:rsidRPr="00650AE8">
        <w:t>26.</w:t>
      </w:r>
      <w:r w:rsidRPr="00650AE8">
        <w:tab/>
        <w:t>tuletab komisjonile meelde tema kohustust tagada, et tulevastes seadusandlikes ettepanekutes esitatavad meetmed, eelkõige andmehalduse, andmev</w:t>
      </w:r>
      <w:bookmarkStart w:id="0" w:name="_GoBack"/>
      <w:bookmarkEnd w:id="0"/>
      <w:r w:rsidRPr="00650AE8">
        <w:t>aldkonna õigusakti, digiteenuste õigusakti ja tehisintellekti kohta, peavad olema kooskõlas isikuandmete kaitse üldmäärusega (EL) 2016/679 ja direktiiviga (EL) 2016/680;</w:t>
      </w:r>
    </w:p>
    <w:p w:rsidR="002C1F91" w:rsidRPr="00650AE8" w:rsidRDefault="002C1F91" w:rsidP="002C1F91">
      <w:pPr>
        <w:pStyle w:val="NormalHanging12a"/>
        <w:ind w:left="1" w:firstLine="0"/>
      </w:pPr>
      <w:r w:rsidRPr="00650AE8">
        <w:rPr>
          <w:b/>
          <w:i/>
        </w:rPr>
        <w:t>E-PRIVAATSUSE MÄÄRUS</w:t>
      </w:r>
    </w:p>
    <w:p w:rsidR="002C1F91" w:rsidRPr="00650AE8" w:rsidRDefault="002C1F91" w:rsidP="002C1F91">
      <w:pPr>
        <w:pStyle w:val="NormalHanging12a"/>
        <w:ind w:hanging="566"/>
      </w:pPr>
      <w:r w:rsidRPr="00650AE8">
        <w:t>27.</w:t>
      </w:r>
      <w:r w:rsidRPr="00650AE8">
        <w:tab/>
        <w:t>väljendab sügavat muret e-privaatsuse direktiivi puuduliku rakendamise pärast liikmesriikides, pidades silmas isikuandmete kaitse üldmäärusega tehtud muudatusi; palub komisjonil kiirendada hindamist ja algatada rikkumismenetlused nende liikmesriikide suhtes, kes ei ole e-privaatsuse direktiivi nõuetekohaselt rakendanud;</w:t>
      </w:r>
    </w:p>
    <w:p w:rsidR="00866D70" w:rsidRPr="00650AE8" w:rsidRDefault="00FD65B9" w:rsidP="00F632FC">
      <w:pPr>
        <w:pStyle w:val="NormalHanging12a"/>
        <w:ind w:hanging="566"/>
      </w:pPr>
      <w:r w:rsidRPr="00650AE8">
        <w:t>28.</w:t>
      </w:r>
      <w:r w:rsidRPr="00650AE8">
        <w:tab/>
        <w:t>teeb presidendile ülesandeks edastada käesolev resolutsioon komisjonile, Euroopa Ülemkogule, valitsustele ja liikmesriikide parlamentidele, Euroopa Andmekaitsenõukogule ja Euroopa Andmekaitseinspektorile.</w:t>
      </w:r>
    </w:p>
    <w:sectPr w:rsidR="00866D70" w:rsidRPr="00650AE8" w:rsidSect="00D73057">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856" w:rsidRPr="00D73057" w:rsidRDefault="00674856">
      <w:r w:rsidRPr="00D73057">
        <w:separator/>
      </w:r>
    </w:p>
  </w:endnote>
  <w:endnote w:type="continuationSeparator" w:id="0">
    <w:p w:rsidR="00674856" w:rsidRPr="00D73057" w:rsidRDefault="00674856">
      <w:r w:rsidRPr="00D7305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DejaVu Sans">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057" w:rsidRPr="00D73057" w:rsidRDefault="00D73057" w:rsidP="00D73057">
    <w:pPr>
      <w:pStyle w:val="EPFooter"/>
    </w:pPr>
    <w:r w:rsidRPr="00D73057">
      <w:t>PE</w:t>
    </w:r>
    <w:r w:rsidRPr="00D73057">
      <w:rPr>
        <w:rStyle w:val="HideTWBExt"/>
        <w:noProof w:val="0"/>
      </w:rPr>
      <w:t>&lt;NoPE&gt;</w:t>
    </w:r>
    <w:r w:rsidRPr="00D73057">
      <w:t>660.347</w:t>
    </w:r>
    <w:r w:rsidRPr="00D73057">
      <w:rPr>
        <w:rStyle w:val="HideTWBExt"/>
        <w:noProof w:val="0"/>
      </w:rPr>
      <w:t>&lt;/NoPE&gt;&lt;Version&gt;</w:t>
    </w:r>
    <w:r w:rsidRPr="00D73057">
      <w:t>v01-00</w:t>
    </w:r>
    <w:r w:rsidRPr="00D73057">
      <w:rPr>
        <w:rStyle w:val="HideTWBExt"/>
        <w:noProof w:val="0"/>
      </w:rPr>
      <w:t>&lt;/Version&gt;</w:t>
    </w:r>
    <w:r w:rsidRPr="00D73057">
      <w:tab/>
    </w:r>
    <w:r w:rsidRPr="00D73057">
      <w:fldChar w:fldCharType="begin"/>
    </w:r>
    <w:r w:rsidRPr="00D73057">
      <w:instrText xml:space="preserve"> PAGE  \* MERGEFORMAT </w:instrText>
    </w:r>
    <w:r w:rsidRPr="00D73057">
      <w:fldChar w:fldCharType="separate"/>
    </w:r>
    <w:r w:rsidR="009D5279">
      <w:rPr>
        <w:noProof/>
      </w:rPr>
      <w:t>4</w:t>
    </w:r>
    <w:r w:rsidRPr="00D73057">
      <w:fldChar w:fldCharType="end"/>
    </w:r>
    <w:r w:rsidRPr="00D73057">
      <w:t>/</w:t>
    </w:r>
    <w:r w:rsidR="009D5279">
      <w:fldChar w:fldCharType="begin"/>
    </w:r>
    <w:r w:rsidR="009D5279">
      <w:instrText xml:space="preserve"> NUMPAGES  \* MERGEFORMAT </w:instrText>
    </w:r>
    <w:r w:rsidR="009D5279">
      <w:fldChar w:fldCharType="separate"/>
    </w:r>
    <w:r w:rsidR="009D5279">
      <w:rPr>
        <w:noProof/>
      </w:rPr>
      <w:t>5</w:t>
    </w:r>
    <w:r w:rsidR="009D5279">
      <w:rPr>
        <w:noProof/>
      </w:rPr>
      <w:fldChar w:fldCharType="end"/>
    </w:r>
    <w:r w:rsidRPr="00D73057">
      <w:tab/>
    </w:r>
    <w:r w:rsidRPr="00D73057">
      <w:rPr>
        <w:rStyle w:val="HideTWBExt"/>
        <w:noProof w:val="0"/>
      </w:rPr>
      <w:t>&lt;PathFdR&gt;</w:t>
    </w:r>
    <w:r w:rsidRPr="00D73057">
      <w:t>RE\1218403ET.docx</w:t>
    </w:r>
    <w:r w:rsidRPr="00D73057">
      <w:rPr>
        <w:rStyle w:val="HideTWBExt"/>
        <w:noProof w:val="0"/>
      </w:rPr>
      <w:t>&lt;/PathFdR&gt;</w:t>
    </w:r>
  </w:p>
  <w:p w:rsidR="00A90219" w:rsidRPr="00D73057" w:rsidRDefault="00D73057" w:rsidP="00D73057">
    <w:pPr>
      <w:pStyle w:val="EPFooter2"/>
    </w:pPr>
    <w:r w:rsidRPr="00D73057">
      <w:t>ET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057" w:rsidRPr="00D73057" w:rsidRDefault="00D73057" w:rsidP="00D73057">
    <w:pPr>
      <w:pStyle w:val="EPFooter"/>
    </w:pPr>
    <w:r w:rsidRPr="00D73057">
      <w:rPr>
        <w:rStyle w:val="HideTWBExt"/>
        <w:noProof w:val="0"/>
      </w:rPr>
      <w:t>&lt;PathFdR&gt;</w:t>
    </w:r>
    <w:r w:rsidRPr="00D73057">
      <w:t>RE\1218403ET.docx</w:t>
    </w:r>
    <w:r w:rsidRPr="00D73057">
      <w:rPr>
        <w:rStyle w:val="HideTWBExt"/>
        <w:noProof w:val="0"/>
      </w:rPr>
      <w:t>&lt;/PathFdR&gt;</w:t>
    </w:r>
    <w:r w:rsidRPr="00D73057">
      <w:tab/>
    </w:r>
    <w:r w:rsidRPr="00D73057">
      <w:fldChar w:fldCharType="begin"/>
    </w:r>
    <w:r w:rsidRPr="00D73057">
      <w:instrText xml:space="preserve"> PAGE  \* MERGEFORMAT </w:instrText>
    </w:r>
    <w:r w:rsidRPr="00D73057">
      <w:fldChar w:fldCharType="separate"/>
    </w:r>
    <w:r w:rsidR="009D5279">
      <w:rPr>
        <w:noProof/>
      </w:rPr>
      <w:t>5</w:t>
    </w:r>
    <w:r w:rsidRPr="00D73057">
      <w:fldChar w:fldCharType="end"/>
    </w:r>
    <w:r w:rsidRPr="00D73057">
      <w:t>/</w:t>
    </w:r>
    <w:r w:rsidR="009D5279">
      <w:fldChar w:fldCharType="begin"/>
    </w:r>
    <w:r w:rsidR="009D5279">
      <w:instrText xml:space="preserve"> NUMPAGES  \* MERGEFORMAT </w:instrText>
    </w:r>
    <w:r w:rsidR="009D5279">
      <w:fldChar w:fldCharType="separate"/>
    </w:r>
    <w:r w:rsidR="009D5279">
      <w:rPr>
        <w:noProof/>
      </w:rPr>
      <w:t>5</w:t>
    </w:r>
    <w:r w:rsidR="009D5279">
      <w:rPr>
        <w:noProof/>
      </w:rPr>
      <w:fldChar w:fldCharType="end"/>
    </w:r>
    <w:r w:rsidRPr="00D73057">
      <w:tab/>
      <w:t>PE</w:t>
    </w:r>
    <w:r w:rsidRPr="00D73057">
      <w:rPr>
        <w:rStyle w:val="HideTWBExt"/>
        <w:noProof w:val="0"/>
      </w:rPr>
      <w:t>&lt;NoPE&gt;</w:t>
    </w:r>
    <w:r w:rsidRPr="00D73057">
      <w:t>660.347</w:t>
    </w:r>
    <w:r w:rsidRPr="00D73057">
      <w:rPr>
        <w:rStyle w:val="HideTWBExt"/>
        <w:noProof w:val="0"/>
      </w:rPr>
      <w:t>&lt;/NoPE&gt;&lt;Version&gt;</w:t>
    </w:r>
    <w:r w:rsidRPr="00D73057">
      <w:t>v01-00</w:t>
    </w:r>
    <w:r w:rsidRPr="00D73057">
      <w:rPr>
        <w:rStyle w:val="HideTWBExt"/>
        <w:noProof w:val="0"/>
      </w:rPr>
      <w:t>&lt;/Version&gt;</w:t>
    </w:r>
  </w:p>
  <w:p w:rsidR="00A90219" w:rsidRPr="00D73057" w:rsidRDefault="00D73057" w:rsidP="00D73057">
    <w:pPr>
      <w:pStyle w:val="EPFooter2"/>
    </w:pPr>
    <w:r w:rsidRPr="00D73057">
      <w:tab/>
    </w:r>
    <w:r w:rsidRPr="00D73057">
      <w:tab/>
      <w:t>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057" w:rsidRPr="00D73057" w:rsidRDefault="00D73057" w:rsidP="00D73057">
    <w:pPr>
      <w:pStyle w:val="EPFooter"/>
    </w:pPr>
    <w:r w:rsidRPr="00D73057">
      <w:rPr>
        <w:rStyle w:val="HideTWBExt"/>
        <w:noProof w:val="0"/>
      </w:rPr>
      <w:t>&lt;PathFdR&gt;</w:t>
    </w:r>
    <w:r w:rsidRPr="00D73057">
      <w:t>RE\1218403ET.docx</w:t>
    </w:r>
    <w:r w:rsidRPr="00D73057">
      <w:rPr>
        <w:rStyle w:val="HideTWBExt"/>
        <w:noProof w:val="0"/>
      </w:rPr>
      <w:t>&lt;/PathFdR&gt;</w:t>
    </w:r>
    <w:r w:rsidRPr="00D73057">
      <w:tab/>
    </w:r>
    <w:r w:rsidRPr="00D73057">
      <w:tab/>
      <w:t>PE</w:t>
    </w:r>
    <w:r w:rsidRPr="00D73057">
      <w:rPr>
        <w:rStyle w:val="HideTWBExt"/>
        <w:noProof w:val="0"/>
      </w:rPr>
      <w:t>&lt;NoPE&gt;</w:t>
    </w:r>
    <w:r w:rsidRPr="00D73057">
      <w:t>660.347</w:t>
    </w:r>
    <w:r w:rsidRPr="00D73057">
      <w:rPr>
        <w:rStyle w:val="HideTWBExt"/>
        <w:noProof w:val="0"/>
      </w:rPr>
      <w:t>&lt;/NoPE&gt;&lt;Version&gt;</w:t>
    </w:r>
    <w:r w:rsidRPr="00D73057">
      <w:t>v01-00</w:t>
    </w:r>
    <w:r w:rsidRPr="00D73057">
      <w:rPr>
        <w:rStyle w:val="HideTWBExt"/>
        <w:noProof w:val="0"/>
      </w:rPr>
      <w:t>&lt;/Version&gt;</w:t>
    </w:r>
  </w:p>
  <w:p w:rsidR="00A90219" w:rsidRPr="00D73057" w:rsidRDefault="00D73057" w:rsidP="00D73057">
    <w:pPr>
      <w:pStyle w:val="EPFooter2"/>
    </w:pPr>
    <w:r w:rsidRPr="00D73057">
      <w:t>ET</w:t>
    </w:r>
    <w:r w:rsidRPr="00D73057">
      <w:tab/>
    </w:r>
    <w:r w:rsidRPr="00D73057">
      <w:rPr>
        <w:b w:val="0"/>
        <w:i/>
        <w:color w:val="C0C0C0"/>
        <w:sz w:val="22"/>
      </w:rPr>
      <w:t>Ühinenud mitmekesisuses</w:t>
    </w:r>
    <w:r w:rsidRPr="00D73057">
      <w:tab/>
      <w:t>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856" w:rsidRPr="00D73057" w:rsidRDefault="00674856">
      <w:r w:rsidRPr="00D73057">
        <w:separator/>
      </w:r>
    </w:p>
  </w:footnote>
  <w:footnote w:type="continuationSeparator" w:id="0">
    <w:p w:rsidR="00674856" w:rsidRPr="00D73057" w:rsidRDefault="00674856">
      <w:r w:rsidRPr="00D73057">
        <w:continuationSeparator/>
      </w:r>
    </w:p>
  </w:footnote>
  <w:footnote w:id="1">
    <w:p w:rsidR="002C1F91" w:rsidRPr="00D73057" w:rsidRDefault="002C1F91" w:rsidP="002C1F91">
      <w:pPr>
        <w:pStyle w:val="FootnoteText"/>
      </w:pPr>
      <w:r w:rsidRPr="00D73057">
        <w:rPr>
          <w:rStyle w:val="FootnoteReference"/>
        </w:rPr>
        <w:footnoteRef/>
      </w:r>
      <w:r w:rsidRPr="00D73057">
        <w:t xml:space="preserve"> ELT L 119, 4.5.2016, lk 1-88.</w:t>
      </w:r>
    </w:p>
  </w:footnote>
  <w:footnote w:id="2">
    <w:p w:rsidR="002C1F91" w:rsidRPr="00D73057" w:rsidRDefault="002C1F91" w:rsidP="002C1F91">
      <w:pPr>
        <w:pStyle w:val="FootnoteText"/>
      </w:pPr>
      <w:r w:rsidRPr="00D73057">
        <w:rPr>
          <w:rStyle w:val="FootnoteReference"/>
        </w:rPr>
        <w:footnoteRef/>
      </w:r>
      <w:r w:rsidRPr="00D73057">
        <w:t xml:space="preserve"> COM (2020)264, 24.6.2020.</w:t>
      </w:r>
    </w:p>
  </w:footnote>
  <w:footnote w:id="3">
    <w:p w:rsidR="002C1F91" w:rsidRPr="00D73057" w:rsidRDefault="002C1F91" w:rsidP="002C1F91">
      <w:pPr>
        <w:pStyle w:val="FootnoteText"/>
      </w:pPr>
      <w:r w:rsidRPr="00D73057">
        <w:rPr>
          <w:rStyle w:val="FootnoteReference"/>
        </w:rPr>
        <w:footnoteRef/>
      </w:r>
      <w:r w:rsidRPr="00D73057">
        <w:t xml:space="preserve"> COM (2020)264, 24.6.2020.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AE8" w:rsidRDefault="00650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AE8" w:rsidRDefault="00650A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AE8" w:rsidRDefault="00650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C6137"/>
    <w:multiLevelType w:val="hybridMultilevel"/>
    <w:tmpl w:val="0D68AE64"/>
    <w:lvl w:ilvl="0" w:tplc="8970022E">
      <w:start w:val="1"/>
      <w:numFmt w:val="upperLetter"/>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68682406"/>
    <w:multiLevelType w:val="hybridMultilevel"/>
    <w:tmpl w:val="2564CCA6"/>
    <w:lvl w:ilvl="0" w:tplc="DF847724">
      <w:start w:val="1"/>
      <w:numFmt w:val="decimal"/>
      <w:lvlText w:val="%1."/>
      <w:lvlJc w:val="left"/>
      <w:pPr>
        <w:ind w:left="926" w:hanging="566"/>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LIBE"/>
    <w:docVar w:name="DOCTYPEMNU" w:val=" 1"/>
    <w:docVar w:name="LastEditedSection" w:val=" 1"/>
    <w:docVar w:name="STATMNU" w:val=" 1"/>
    <w:docVar w:name="strDocTypeID" w:val="RE_Statements"/>
    <w:docVar w:name="strSubDir" w:val="1218"/>
    <w:docVar w:name="TXTLANGUE" w:val="ET"/>
    <w:docVar w:name="TXTLANGUEMIN" w:val="et"/>
    <w:docVar w:name="TXTNRPE" w:val="660.347"/>
    <w:docVar w:name="TXTNRRSP" w:val="2020/2727"/>
    <w:docVar w:name="TXTPEorAP" w:val="PE"/>
    <w:docVar w:name="TXTROUTE" w:val="RE\1218403ET.docx"/>
    <w:docVar w:name="TXTTITLE" w:val="the Commission evaluation report on the implementation of the General Data Protection Regulation two years after its application"/>
    <w:docVar w:name="TXTVERSION" w:val="01-00"/>
  </w:docVars>
  <w:rsids>
    <w:rsidRoot w:val="00674856"/>
    <w:rsid w:val="00037F46"/>
    <w:rsid w:val="00094DDA"/>
    <w:rsid w:val="0010559F"/>
    <w:rsid w:val="00117781"/>
    <w:rsid w:val="001B49A3"/>
    <w:rsid w:val="001B7CFB"/>
    <w:rsid w:val="001C16A7"/>
    <w:rsid w:val="001C62C5"/>
    <w:rsid w:val="001E2450"/>
    <w:rsid w:val="00222BBB"/>
    <w:rsid w:val="002574AA"/>
    <w:rsid w:val="002C1F91"/>
    <w:rsid w:val="002C7767"/>
    <w:rsid w:val="00303413"/>
    <w:rsid w:val="00304E12"/>
    <w:rsid w:val="003772FA"/>
    <w:rsid w:val="00411D03"/>
    <w:rsid w:val="00412503"/>
    <w:rsid w:val="00471D62"/>
    <w:rsid w:val="004B5166"/>
    <w:rsid w:val="00516BD3"/>
    <w:rsid w:val="0058312A"/>
    <w:rsid w:val="005D6861"/>
    <w:rsid w:val="00650AE8"/>
    <w:rsid w:val="00654CBD"/>
    <w:rsid w:val="006726A1"/>
    <w:rsid w:val="00674856"/>
    <w:rsid w:val="006A27B7"/>
    <w:rsid w:val="006F0FD2"/>
    <w:rsid w:val="006F48B8"/>
    <w:rsid w:val="00706BC0"/>
    <w:rsid w:val="00723A0B"/>
    <w:rsid w:val="00780A7D"/>
    <w:rsid w:val="007E1E11"/>
    <w:rsid w:val="00814BC6"/>
    <w:rsid w:val="008278C0"/>
    <w:rsid w:val="008604C2"/>
    <w:rsid w:val="00866D70"/>
    <w:rsid w:val="008A4052"/>
    <w:rsid w:val="008D7B31"/>
    <w:rsid w:val="008F5EFB"/>
    <w:rsid w:val="00907285"/>
    <w:rsid w:val="00910F7E"/>
    <w:rsid w:val="00981ED6"/>
    <w:rsid w:val="009D24DE"/>
    <w:rsid w:val="009D5279"/>
    <w:rsid w:val="00A32337"/>
    <w:rsid w:val="00A345F8"/>
    <w:rsid w:val="00A4763A"/>
    <w:rsid w:val="00A516B8"/>
    <w:rsid w:val="00A90219"/>
    <w:rsid w:val="00AC3F0E"/>
    <w:rsid w:val="00B34A46"/>
    <w:rsid w:val="00B90331"/>
    <w:rsid w:val="00BC3002"/>
    <w:rsid w:val="00BF2C2D"/>
    <w:rsid w:val="00C23264"/>
    <w:rsid w:val="00CC09D8"/>
    <w:rsid w:val="00D12F64"/>
    <w:rsid w:val="00D44718"/>
    <w:rsid w:val="00D73057"/>
    <w:rsid w:val="00D90D37"/>
    <w:rsid w:val="00DF7943"/>
    <w:rsid w:val="00E403A7"/>
    <w:rsid w:val="00E53167"/>
    <w:rsid w:val="00E65EE4"/>
    <w:rsid w:val="00EA43FB"/>
    <w:rsid w:val="00EC05E9"/>
    <w:rsid w:val="00ED22B8"/>
    <w:rsid w:val="00F02A2C"/>
    <w:rsid w:val="00F148F1"/>
    <w:rsid w:val="00F26DE8"/>
    <w:rsid w:val="00F4455A"/>
    <w:rsid w:val="00F632FC"/>
    <w:rsid w:val="00F7050A"/>
    <w:rsid w:val="00F9377B"/>
    <w:rsid w:val="00F959BA"/>
    <w:rsid w:val="00FD65B9"/>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15B4B2-DC15-411E-949B-0680070C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semiHidden="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color w:val="010000"/>
      <w:sz w:val="22"/>
    </w:rPr>
  </w:style>
  <w:style w:type="character" w:customStyle="1" w:styleId="HeaderChar">
    <w:name w:val="Header Char"/>
    <w:basedOn w:val="DefaultParagraphFont"/>
    <w:link w:val="Header"/>
    <w:semiHidden/>
    <w:rsid w:val="007E1E11"/>
    <w:rPr>
      <w:sz w:val="24"/>
    </w:rPr>
  </w:style>
  <w:style w:type="paragraph" w:styleId="FootnoteText">
    <w:name w:val="footnote text"/>
    <w:basedOn w:val="Normal"/>
    <w:link w:val="FootnoteTextChar"/>
    <w:uiPriority w:val="99"/>
    <w:unhideWhenUsed/>
    <w:rsid w:val="002C1F91"/>
    <w:pPr>
      <w:widowControl/>
      <w:jc w:val="both"/>
    </w:pPr>
    <w:rPr>
      <w:rFonts w:eastAsiaTheme="minorHAnsi"/>
      <w:sz w:val="20"/>
      <w:lang w:eastAsia="en-US"/>
    </w:rPr>
  </w:style>
  <w:style w:type="character" w:customStyle="1" w:styleId="FootnoteTextChar">
    <w:name w:val="Footnote Text Char"/>
    <w:basedOn w:val="DefaultParagraphFont"/>
    <w:link w:val="FootnoteText"/>
    <w:uiPriority w:val="99"/>
    <w:rsid w:val="002C1F91"/>
    <w:rPr>
      <w:rFonts w:eastAsiaTheme="minorHAnsi"/>
      <w:lang w:eastAsia="en-US"/>
    </w:rPr>
  </w:style>
  <w:style w:type="character" w:styleId="FootnoteReference">
    <w:name w:val="footnote reference"/>
    <w:basedOn w:val="DefaultParagraphFont"/>
    <w:uiPriority w:val="99"/>
    <w:unhideWhenUsed/>
    <w:rsid w:val="002C1F91"/>
    <w:rPr>
      <w:vertAlign w:val="superscript"/>
    </w:rPr>
  </w:style>
  <w:style w:type="paragraph" w:styleId="Footer">
    <w:name w:val="footer"/>
    <w:basedOn w:val="Normal"/>
    <w:link w:val="FooterChar"/>
    <w:semiHidden/>
    <w:rsid w:val="002C1F91"/>
    <w:pPr>
      <w:tabs>
        <w:tab w:val="center" w:pos="4513"/>
        <w:tab w:val="right" w:pos="9026"/>
      </w:tabs>
    </w:pPr>
  </w:style>
  <w:style w:type="character" w:customStyle="1" w:styleId="FooterChar">
    <w:name w:val="Footer Char"/>
    <w:basedOn w:val="DefaultParagraphFont"/>
    <w:link w:val="Footer"/>
    <w:semiHidden/>
    <w:rsid w:val="002C1F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50050">
      <w:bodyDiv w:val="1"/>
      <w:marLeft w:val="0"/>
      <w:marRight w:val="0"/>
      <w:marTop w:val="0"/>
      <w:marBottom w:val="0"/>
      <w:divBdr>
        <w:top w:val="none" w:sz="0" w:space="0" w:color="auto"/>
        <w:left w:val="none" w:sz="0" w:space="0" w:color="auto"/>
        <w:bottom w:val="none" w:sz="0" w:space="0" w:color="auto"/>
        <w:right w:val="none" w:sz="0" w:space="0" w:color="auto"/>
      </w:divBdr>
    </w:div>
    <w:div w:id="904417056">
      <w:bodyDiv w:val="1"/>
      <w:marLeft w:val="0"/>
      <w:marRight w:val="0"/>
      <w:marTop w:val="0"/>
      <w:marBottom w:val="0"/>
      <w:divBdr>
        <w:top w:val="none" w:sz="0" w:space="0" w:color="auto"/>
        <w:left w:val="none" w:sz="0" w:space="0" w:color="auto"/>
        <w:bottom w:val="none" w:sz="0" w:space="0" w:color="auto"/>
        <w:right w:val="none" w:sz="0" w:space="0" w:color="auto"/>
      </w:divBdr>
    </w:div>
    <w:div w:id="1095901105">
      <w:bodyDiv w:val="1"/>
      <w:marLeft w:val="0"/>
      <w:marRight w:val="0"/>
      <w:marTop w:val="0"/>
      <w:marBottom w:val="0"/>
      <w:divBdr>
        <w:top w:val="none" w:sz="0" w:space="0" w:color="auto"/>
        <w:left w:val="none" w:sz="0" w:space="0" w:color="auto"/>
        <w:bottom w:val="none" w:sz="0" w:space="0" w:color="auto"/>
        <w:right w:val="none" w:sz="0" w:space="0" w:color="auto"/>
      </w:divBdr>
    </w:div>
    <w:div w:id="1310210812">
      <w:bodyDiv w:val="1"/>
      <w:marLeft w:val="0"/>
      <w:marRight w:val="0"/>
      <w:marTop w:val="0"/>
      <w:marBottom w:val="0"/>
      <w:divBdr>
        <w:top w:val="none" w:sz="0" w:space="0" w:color="auto"/>
        <w:left w:val="none" w:sz="0" w:space="0" w:color="auto"/>
        <w:bottom w:val="none" w:sz="0" w:space="0" w:color="auto"/>
        <w:right w:val="none" w:sz="0" w:space="0" w:color="auto"/>
      </w:divBdr>
    </w:div>
    <w:div w:id="210471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1152</Words>
  <Characters>9265</Characters>
  <Application>Microsoft Office Word</Application>
  <DocSecurity>0</DocSecurity>
  <Lines>147</Lines>
  <Paragraphs>78</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subject/>
  <dc:creator>CUADRAT SEIX Iban</dc:creator>
  <cp:keywords/>
  <dc:description/>
  <cp:lastModifiedBy>THOMSON Astrid</cp:lastModifiedBy>
  <cp:revision>2</cp:revision>
  <cp:lastPrinted>2004-11-19T15:55:00Z</cp:lastPrinted>
  <dcterms:created xsi:type="dcterms:W3CDTF">2020-12-01T10:08:00Z</dcterms:created>
  <dcterms:modified xsi:type="dcterms:W3CDTF">2020-12-01T10:08:00Z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9.9.1 Build [20200705]</vt:lpwstr>
  </property>
  <property fmtid="{D5CDD505-2E9C-101B-9397-08002B2CF9AE}" pid="3" name="LastEdited with">
    <vt:lpwstr>9.9.1 Build [20200705]</vt:lpwstr>
  </property>
  <property fmtid="{D5CDD505-2E9C-101B-9397-08002B2CF9AE}" pid="4" name="&lt;FdR&gt;">
    <vt:lpwstr>1218403</vt:lpwstr>
  </property>
  <property fmtid="{D5CDD505-2E9C-101B-9397-08002B2CF9AE}" pid="5" name="&lt;Type&gt;">
    <vt:lpwstr>RE</vt:lpwstr>
  </property>
  <property fmtid="{D5CDD505-2E9C-101B-9397-08002B2CF9AE}" pid="6" name="&lt;ModelCod&gt;">
    <vt:lpwstr>\\eiciBRUpr1\pdocep$\DocEP\DOCS\General\RE\RE_Statements.dotx(17/04/2020 18:29:07)</vt:lpwstr>
  </property>
  <property fmtid="{D5CDD505-2E9C-101B-9397-08002B2CF9AE}" pid="7" name="&lt;ModelTra&gt;">
    <vt:lpwstr>\\eiciBRUpr1\pdocep$\DocEP\TRANSFIL\EN\RE_Statements.EN(25/06/2019 11:01:00)</vt:lpwstr>
  </property>
  <property fmtid="{D5CDD505-2E9C-101B-9397-08002B2CF9AE}" pid="8" name="&lt;Model&gt;">
    <vt:lpwstr>RE_Statements</vt:lpwstr>
  </property>
  <property fmtid="{D5CDD505-2E9C-101B-9397-08002B2CF9AE}" pid="9" name="FooterPath">
    <vt:lpwstr>RE\1218403ET.docx</vt:lpwstr>
  </property>
  <property fmtid="{D5CDD505-2E9C-101B-9397-08002B2CF9AE}" pid="10" name="PE number">
    <vt:lpwstr>660.347</vt:lpwstr>
  </property>
  <property fmtid="{D5CDD505-2E9C-101B-9397-08002B2CF9AE}" pid="11" name="SendToEpades">
    <vt:lpwstr>OK - 2020/11/20 16:40</vt:lpwstr>
  </property>
  <property fmtid="{D5CDD505-2E9C-101B-9397-08002B2CF9AE}" pid="12" name="SDLStudio">
    <vt:lpwstr/>
  </property>
  <property fmtid="{D5CDD505-2E9C-101B-9397-08002B2CF9AE}" pid="13" name="&lt;Extension&gt;">
    <vt:lpwstr>ET</vt:lpwstr>
  </property>
  <property fmtid="{D5CDD505-2E9C-101B-9397-08002B2CF9AE}" pid="14" name="Bookout">
    <vt:lpwstr>OK - 2020/12/01 11:06</vt:lpwstr>
  </property>
</Properties>
</file>