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B701D0" w:rsidTr="00C85D0F">
        <w:trPr>
          <w:trHeight w:hRule="exact" w:val="1418"/>
        </w:trPr>
        <w:tc>
          <w:tcPr>
            <w:tcW w:w="6804" w:type="dxa"/>
            <w:shd w:val="clear" w:color="auto" w:fill="auto"/>
            <w:vAlign w:val="center"/>
          </w:tcPr>
          <w:p w:rsidR="008F5EFB" w:rsidRPr="00B701D0" w:rsidRDefault="00674856" w:rsidP="00C85D0F">
            <w:pPr>
              <w:pStyle w:val="EPName"/>
            </w:pPr>
            <w:r w:rsidRPr="00B701D0">
              <w:t>Europa-Parlamentet</w:t>
            </w:r>
          </w:p>
          <w:p w:rsidR="008F5EFB" w:rsidRPr="00B701D0" w:rsidRDefault="002C1F91" w:rsidP="002C1F91">
            <w:pPr>
              <w:pStyle w:val="EPTerm"/>
            </w:pPr>
            <w:r w:rsidRPr="00B701D0">
              <w:t>2019-2024</w:t>
            </w:r>
          </w:p>
        </w:tc>
        <w:tc>
          <w:tcPr>
            <w:tcW w:w="2268" w:type="dxa"/>
            <w:shd w:val="clear" w:color="auto" w:fill="auto"/>
          </w:tcPr>
          <w:p w:rsidR="008F5EFB" w:rsidRPr="00B701D0" w:rsidRDefault="008F5EFB" w:rsidP="00C85D0F">
            <w:pPr>
              <w:pStyle w:val="EPLogo"/>
            </w:pPr>
            <w:r w:rsidRPr="00B701D0">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B701D0" w:rsidRDefault="00E53167" w:rsidP="00E53167">
      <w:pPr>
        <w:pStyle w:val="LineTop"/>
      </w:pPr>
    </w:p>
    <w:p w:rsidR="00E53167" w:rsidRPr="00B701D0" w:rsidRDefault="002C1F91" w:rsidP="00E53167">
      <w:pPr>
        <w:pStyle w:val="EPBody"/>
      </w:pPr>
      <w:r w:rsidRPr="00B701D0">
        <w:rPr>
          <w:rStyle w:val="HideTWBInt"/>
        </w:rPr>
        <w:t>{LIBE}</w:t>
      </w:r>
      <w:r w:rsidRPr="00B701D0">
        <w:t>Udvalget om Borgernes Rettigheder og Retlige og Indre Anliggender</w:t>
      </w:r>
    </w:p>
    <w:p w:rsidR="00094DDA" w:rsidRPr="00B701D0" w:rsidRDefault="00094DDA" w:rsidP="00094DDA">
      <w:pPr>
        <w:pStyle w:val="LineBottom"/>
      </w:pPr>
    </w:p>
    <w:p w:rsidR="00094DDA" w:rsidRPr="00B701D0" w:rsidRDefault="00094DDA" w:rsidP="00094DDA">
      <w:pPr>
        <w:pStyle w:val="CoverReference"/>
      </w:pPr>
      <w:r w:rsidRPr="00B701D0">
        <w:rPr>
          <w:rStyle w:val="HideTWBExt"/>
          <w:b w:val="0"/>
          <w:noProof w:val="0"/>
        </w:rPr>
        <w:t>&lt;NoDocSe&gt;</w:t>
      </w:r>
      <w:r w:rsidRPr="00B701D0">
        <w:t>2020/2717(RSP)</w:t>
      </w:r>
      <w:r w:rsidRPr="00B701D0">
        <w:rPr>
          <w:rStyle w:val="HideTWBExt"/>
          <w:b w:val="0"/>
          <w:noProof w:val="0"/>
        </w:rPr>
        <w:t>&lt;/NoDocSe&gt;</w:t>
      </w:r>
    </w:p>
    <w:p w:rsidR="00094DDA" w:rsidRPr="00B701D0" w:rsidRDefault="00094DDA" w:rsidP="00094DDA">
      <w:pPr>
        <w:pStyle w:val="CoverDate"/>
      </w:pPr>
      <w:r w:rsidRPr="00B701D0">
        <w:rPr>
          <w:rStyle w:val="HideTWBExt"/>
          <w:noProof w:val="0"/>
        </w:rPr>
        <w:t>&lt;Date&gt;</w:t>
      </w:r>
      <w:r w:rsidRPr="00B701D0">
        <w:t>...</w:t>
      </w:r>
      <w:r w:rsidRPr="00B701D0">
        <w:rPr>
          <w:rStyle w:val="HideTWBExt"/>
          <w:noProof w:val="0"/>
        </w:rPr>
        <w:t>&lt;/Date&gt;</w:t>
      </w:r>
    </w:p>
    <w:p w:rsidR="00814BC6" w:rsidRPr="00B701D0" w:rsidRDefault="00814BC6">
      <w:pPr>
        <w:pStyle w:val="CoverDocType24a"/>
      </w:pPr>
      <w:r w:rsidRPr="00B701D0">
        <w:rPr>
          <w:rStyle w:val="HideTWBExt"/>
          <w:b w:val="0"/>
          <w:noProof w:val="0"/>
        </w:rPr>
        <w:t>&lt;TitreType&gt;</w:t>
      </w:r>
      <w:r w:rsidRPr="00B701D0">
        <w:t>UDKAST TIL F</w:t>
      </w:r>
      <w:bookmarkStart w:id="0" w:name="_GoBack"/>
      <w:bookmarkEnd w:id="0"/>
      <w:r w:rsidRPr="00B701D0">
        <w:t>ORSLAG TIL BESLUTNING</w:t>
      </w:r>
      <w:r w:rsidRPr="00B701D0">
        <w:rPr>
          <w:rStyle w:val="HideTWBExt"/>
          <w:b w:val="0"/>
          <w:noProof w:val="0"/>
        </w:rPr>
        <w:t>&lt;/TitreType&gt;</w:t>
      </w:r>
    </w:p>
    <w:p w:rsidR="00814BC6" w:rsidRPr="00B701D0" w:rsidRDefault="00814BC6">
      <w:pPr>
        <w:pStyle w:val="CoverNormal12a"/>
      </w:pPr>
      <w:r w:rsidRPr="00B701D0">
        <w:rPr>
          <w:rStyle w:val="HideTWBExt"/>
          <w:noProof w:val="0"/>
        </w:rPr>
        <w:t>&lt;TitreSuite&gt;</w:t>
      </w:r>
      <w:r w:rsidRPr="00B701D0">
        <w:t>på baggrund af Kommissionens redegørelse</w:t>
      </w:r>
      <w:r w:rsidRPr="00B701D0">
        <w:rPr>
          <w:rStyle w:val="HideTWBExt"/>
          <w:noProof w:val="0"/>
        </w:rPr>
        <w:t>&lt;/TitreSuite&gt;</w:t>
      </w:r>
    </w:p>
    <w:p w:rsidR="00814BC6" w:rsidRPr="00B701D0" w:rsidRDefault="00814BC6">
      <w:pPr>
        <w:pStyle w:val="CoverNormal12a"/>
      </w:pPr>
      <w:r w:rsidRPr="00B701D0">
        <w:rPr>
          <w:rStyle w:val="HideTWBExt"/>
          <w:noProof w:val="0"/>
        </w:rPr>
        <w:t>&lt;TitreRecueil&gt;</w:t>
      </w:r>
      <w:r w:rsidRPr="00B701D0">
        <w:t>jf. forretningsordenens artikel 132, stk. 2</w:t>
      </w:r>
      <w:r w:rsidRPr="00B701D0">
        <w:rPr>
          <w:rStyle w:val="HideTWBExt"/>
          <w:noProof w:val="0"/>
        </w:rPr>
        <w:t>&lt;/TitreRecueil&gt;</w:t>
      </w:r>
    </w:p>
    <w:p w:rsidR="00C23264" w:rsidRPr="00B701D0" w:rsidRDefault="00C23264" w:rsidP="00C23264">
      <w:pPr>
        <w:pStyle w:val="CoverNormal"/>
      </w:pPr>
      <w:r w:rsidRPr="00B701D0">
        <w:rPr>
          <w:rStyle w:val="HideTWBExt"/>
          <w:noProof w:val="0"/>
        </w:rPr>
        <w:t>&lt;Titre&gt;</w:t>
      </w:r>
      <w:r w:rsidRPr="00B701D0">
        <w:t>om Kommissionens evalueringsrapport om gennemførelsen af den generelle forordning om databeskyttelse to år efter dens anvendelse</w:t>
      </w:r>
      <w:r w:rsidRPr="00B701D0">
        <w:rPr>
          <w:rStyle w:val="HideTWBExt"/>
          <w:noProof w:val="0"/>
        </w:rPr>
        <w:t>&lt;/Titre&gt;</w:t>
      </w:r>
    </w:p>
    <w:p w:rsidR="00C23264" w:rsidRPr="00B701D0" w:rsidRDefault="00C23264" w:rsidP="00C23264">
      <w:pPr>
        <w:pStyle w:val="CoverNormal24a"/>
      </w:pPr>
      <w:r w:rsidRPr="00B701D0">
        <w:rPr>
          <w:rStyle w:val="HideTWBExt"/>
          <w:noProof w:val="0"/>
        </w:rPr>
        <w:t>&lt;DocRef&gt;</w:t>
      </w:r>
      <w:r w:rsidRPr="00B701D0">
        <w:t>(2020/2717(RSP))</w:t>
      </w:r>
      <w:r w:rsidRPr="00B701D0">
        <w:rPr>
          <w:rStyle w:val="HideTWBExt"/>
          <w:noProof w:val="0"/>
        </w:rPr>
        <w:t>&lt;/DocRef&gt;</w:t>
      </w:r>
    </w:p>
    <w:p w:rsidR="002574AA" w:rsidRPr="00B701D0" w:rsidRDefault="002574AA" w:rsidP="002574AA">
      <w:pPr>
        <w:pStyle w:val="CoverBold"/>
      </w:pPr>
      <w:r w:rsidRPr="00B701D0">
        <w:rPr>
          <w:rStyle w:val="HideTWBExt"/>
          <w:b w:val="0"/>
          <w:noProof w:val="0"/>
        </w:rPr>
        <w:t>&lt;RepeatBlock-By&gt;&lt;Depute&gt;</w:t>
      </w:r>
      <w:r w:rsidRPr="00B701D0">
        <w:t>Juan Fernando López Aguilar</w:t>
      </w:r>
      <w:r w:rsidRPr="00B701D0">
        <w:rPr>
          <w:rStyle w:val="HideTWBExt"/>
          <w:b w:val="0"/>
          <w:noProof w:val="0"/>
          <w:color w:val="auto"/>
        </w:rPr>
        <w:t>&lt;/Depute&gt;</w:t>
      </w:r>
    </w:p>
    <w:p w:rsidR="002574AA" w:rsidRPr="00B701D0" w:rsidRDefault="002574AA" w:rsidP="002574AA">
      <w:pPr>
        <w:pStyle w:val="CoverNormal"/>
      </w:pPr>
      <w:r w:rsidRPr="00B701D0">
        <w:rPr>
          <w:rStyle w:val="HideTWBExt"/>
          <w:noProof w:val="0"/>
        </w:rPr>
        <w:t>&lt;Commission&gt;</w:t>
      </w:r>
      <w:r w:rsidRPr="00B701D0">
        <w:rPr>
          <w:rStyle w:val="HideTWBInt"/>
        </w:rPr>
        <w:t>{LIBE}</w:t>
      </w:r>
      <w:r w:rsidRPr="00B701D0">
        <w:t>for Udvalget om Borgernes Rettigheder og Retlige og Indre Anliggender</w:t>
      </w:r>
      <w:r w:rsidRPr="00B701D0">
        <w:rPr>
          <w:rStyle w:val="HideTWBExt"/>
          <w:noProof w:val="0"/>
        </w:rPr>
        <w:t>&lt;/Commission&gt;</w:t>
      </w:r>
    </w:p>
    <w:p w:rsidR="002574AA" w:rsidRPr="00B701D0" w:rsidRDefault="002574AA" w:rsidP="002574AA">
      <w:pPr>
        <w:pStyle w:val="CoverNormal"/>
      </w:pPr>
      <w:r w:rsidRPr="00B701D0">
        <w:rPr>
          <w:rStyle w:val="HideTWBExt"/>
          <w:noProof w:val="0"/>
        </w:rPr>
        <w:t>&lt;/RepeatBlock-By&gt;</w:t>
      </w:r>
    </w:p>
    <w:p w:rsidR="00814BC6" w:rsidRPr="00B701D0" w:rsidRDefault="00814BC6">
      <w:pPr>
        <w:pStyle w:val="NormalBold12a"/>
      </w:pPr>
      <w:r w:rsidRPr="00B701D0">
        <w:br w:type="page"/>
      </w:r>
      <w:r w:rsidRPr="00B701D0">
        <w:lastRenderedPageBreak/>
        <w:t>B9</w:t>
      </w:r>
      <w:r w:rsidRPr="00B701D0">
        <w:noBreakHyphen/>
        <w:t>0000/2020</w:t>
      </w:r>
    </w:p>
    <w:p w:rsidR="00C23264" w:rsidRPr="00B701D0" w:rsidRDefault="00674856" w:rsidP="00C23264">
      <w:pPr>
        <w:pStyle w:val="NormalBold"/>
      </w:pPr>
      <w:r w:rsidRPr="00B701D0">
        <w:t>Europa-Parlamentets beslutning om Kommissionens evalueringsrapport om gennemførelsen af den generelle forordning om databeskyttelse to år efter dens anvendelse</w:t>
      </w:r>
    </w:p>
    <w:p w:rsidR="00C23264" w:rsidRPr="00B701D0" w:rsidRDefault="00674856" w:rsidP="00DF7943">
      <w:pPr>
        <w:pStyle w:val="NormalBold"/>
      </w:pPr>
      <w:r w:rsidRPr="00B701D0">
        <w:t>(2020/2717(RSP))</w:t>
      </w:r>
    </w:p>
    <w:p w:rsidR="00814BC6" w:rsidRPr="00B701D0" w:rsidRDefault="00674856">
      <w:pPr>
        <w:pStyle w:val="EPComma"/>
      </w:pPr>
      <w:r w:rsidRPr="00B701D0">
        <w:rPr>
          <w:i/>
        </w:rPr>
        <w:t>Europa-Parlamentet,</w:t>
      </w:r>
    </w:p>
    <w:p w:rsidR="002C1F91" w:rsidRPr="00B701D0" w:rsidRDefault="00814BC6" w:rsidP="00FD65B9">
      <w:pPr>
        <w:widowControl/>
        <w:ind w:left="567" w:hanging="567"/>
        <w:rPr>
          <w:szCs w:val="24"/>
        </w:rPr>
      </w:pPr>
      <w:r w:rsidRPr="00B701D0">
        <w:t>–</w:t>
      </w:r>
      <w:r w:rsidRPr="00B701D0">
        <w:tab/>
        <w:t>der henviser til Europa-Parlamentets og Rådets forordning (EU) 2016/679 af 24. april 2016 om beskyttelse af fysiske personer i forbindelse med behandling af personoplysninger og om fri udveksling af sådanne oplysninger og om ophævelse af direktiv 95/46/EF (generel forordning om databeskyttelse) (GDPR)</w:t>
      </w:r>
      <w:r w:rsidR="002C1F91" w:rsidRPr="00B701D0">
        <w:rPr>
          <w:rStyle w:val="FootnoteReference"/>
        </w:rPr>
        <w:footnoteReference w:id="1"/>
      </w:r>
      <w:r w:rsidRPr="00B701D0">
        <w:t xml:space="preserve">, </w:t>
      </w:r>
    </w:p>
    <w:p w:rsidR="002C1F91" w:rsidRPr="00B701D0" w:rsidRDefault="00CC09D8" w:rsidP="00FD65B9">
      <w:pPr>
        <w:widowControl/>
        <w:spacing w:before="240"/>
        <w:ind w:left="567" w:hanging="567"/>
        <w:rPr>
          <w:szCs w:val="24"/>
        </w:rPr>
      </w:pPr>
      <w:r w:rsidRPr="00B701D0">
        <w:t>–</w:t>
      </w:r>
      <w:r w:rsidRPr="00B701D0">
        <w:tab/>
        <w:t>der henviser til erklæringen af 24. juni 2020 fra Kommissionen om Kommissionens meddelelse til Europa-Parlamentet og Rådet med titlen "Databeskyttelse som en hjørnesten i borgernes indflydelse og EU's tilgang til den digitale omstilling – to års anvendelse af den generelle forordning om databeskyttelse" (COM(2020)0264)</w:t>
      </w:r>
      <w:r w:rsidR="002C1F91" w:rsidRPr="00B701D0">
        <w:rPr>
          <w:rStyle w:val="FootnoteReference"/>
        </w:rPr>
        <w:footnoteReference w:id="2"/>
      </w:r>
      <w:r w:rsidRPr="00B701D0">
        <w:t xml:space="preserve">, </w:t>
      </w:r>
    </w:p>
    <w:p w:rsidR="002C1F91" w:rsidRPr="00B701D0" w:rsidRDefault="002C1F91" w:rsidP="00FD65B9">
      <w:pPr>
        <w:widowControl/>
        <w:spacing w:before="240"/>
        <w:ind w:left="567" w:hanging="567"/>
        <w:rPr>
          <w:szCs w:val="24"/>
        </w:rPr>
      </w:pPr>
      <w:r w:rsidRPr="00B701D0">
        <w:t>–</w:t>
      </w:r>
      <w:r w:rsidRPr="00B701D0">
        <w:tab/>
        <w:t>der henviser til meddelelsen af 24. juni 2020 fra Kommissionen til Europa-Parlamentet og Rådet med titlen "Databeskyttelse som en hjørnesten i borgernes indflydelse og EU's tilgang til den digitale omstilling – to års anvendelse af den generelle forordning om databeskyttelse" (COM(2020)0264)</w:t>
      </w:r>
      <w:r w:rsidRPr="00B701D0">
        <w:rPr>
          <w:rStyle w:val="FootnoteReference"/>
        </w:rPr>
        <w:footnoteReference w:id="3"/>
      </w:r>
      <w:r w:rsidRPr="00B701D0">
        <w:t xml:space="preserve">, </w:t>
      </w:r>
    </w:p>
    <w:p w:rsidR="00ED22B8" w:rsidRPr="00B701D0" w:rsidRDefault="00ED22B8" w:rsidP="00FD65B9">
      <w:pPr>
        <w:pStyle w:val="NormalHanging12a"/>
        <w:spacing w:before="240"/>
      </w:pPr>
      <w:r w:rsidRPr="00B701D0">
        <w:t>–</w:t>
      </w:r>
      <w:r w:rsidRPr="00B701D0">
        <w:tab/>
        <w:t>der henviser til forretningsordenens artikel 132, stk. 2,</w:t>
      </w:r>
    </w:p>
    <w:p w:rsidR="00780A7D" w:rsidRPr="00B701D0" w:rsidRDefault="00780A7D" w:rsidP="00FD65B9">
      <w:pPr>
        <w:pStyle w:val="NormalHanging12a"/>
      </w:pPr>
      <w:r w:rsidRPr="00B701D0">
        <w:t>–</w:t>
      </w:r>
      <w:r w:rsidRPr="00B701D0">
        <w:tab/>
        <w:t>der henviser til forslag til beslutning fra Udvalget om Borgernes Rettigheder og Retlige og Indre Anliggender,</w:t>
      </w:r>
    </w:p>
    <w:p w:rsidR="00814BC6" w:rsidRPr="00B701D0" w:rsidRDefault="002C1F91" w:rsidP="002C1F91">
      <w:pPr>
        <w:pStyle w:val="NormalHanging12a"/>
        <w:ind w:hanging="566"/>
      </w:pPr>
      <w:r w:rsidRPr="00B701D0">
        <w:t>A.</w:t>
      </w:r>
      <w:r w:rsidRPr="00B701D0">
        <w:tab/>
        <w:t>der henviser til, at den generelle forordning om databeskyttelse har fundet anvendelse siden den 25. maj 2018; der henviser til, at alle medlemsstater med undtagelse af Slovenien har vedtaget ny lovgivning eller tilpasset deres nationale databeskyttelseslovgivning;</w:t>
      </w:r>
    </w:p>
    <w:p w:rsidR="002C1F91" w:rsidRPr="00B701D0" w:rsidRDefault="002C1F91" w:rsidP="002C1F91">
      <w:pPr>
        <w:pStyle w:val="NormalHanging12a"/>
        <w:ind w:hanging="566"/>
      </w:pPr>
      <w:r w:rsidRPr="00B701D0">
        <w:t>B.</w:t>
      </w:r>
      <w:r w:rsidRPr="00B701D0">
        <w:tab/>
        <w:t>der henviser til, at tilsynsmyndighederne siden starten på anvendelsen af den generelle forordning om databeskyttelse har modtaget massivt flere klager; der henviser til, at dette viser, at de registrerede er mere bevidste om deres rettigheder og ønsker at beskytte deres personoplysninger i overensstemmelse med den generelle forordning om databeskyttelse; der henviser til, at dette også viser, at store mængder ulovlig databehandling fortsat finder sted;</w:t>
      </w:r>
    </w:p>
    <w:p w:rsidR="002C1F91" w:rsidRPr="00B701D0" w:rsidRDefault="003C734A" w:rsidP="002C1F91">
      <w:pPr>
        <w:pStyle w:val="NormalHanging12a"/>
        <w:ind w:left="1" w:firstLine="0"/>
        <w:rPr>
          <w:b/>
          <w:i/>
        </w:rPr>
      </w:pPr>
      <w:r w:rsidRPr="00B701D0">
        <w:rPr>
          <w:b/>
          <w:i/>
        </w:rPr>
        <w:t xml:space="preserve">GENERELLE </w:t>
      </w:r>
      <w:r w:rsidR="002C1F91" w:rsidRPr="00B701D0">
        <w:rPr>
          <w:b/>
          <w:i/>
        </w:rPr>
        <w:t>BEMÆRKNINGER</w:t>
      </w:r>
    </w:p>
    <w:p w:rsidR="002C1F91" w:rsidRPr="00B701D0" w:rsidRDefault="002C1F91" w:rsidP="002C1F91">
      <w:pPr>
        <w:pStyle w:val="NormalHanging12a"/>
        <w:ind w:hanging="566"/>
      </w:pPr>
      <w:r w:rsidRPr="00B701D0">
        <w:t>1.</w:t>
      </w:r>
      <w:r w:rsidRPr="00B701D0">
        <w:tab/>
        <w:t xml:space="preserve">glæder sig over, at den generelle forordning om databeskyttelse er blevet en global standard for beskyttelse af personoplysninger og er en konvergensfaktor i udviklingen af normer; glæder sig over, at den generelle forordning om databeskyttelse har sat EU i </w:t>
      </w:r>
      <w:r w:rsidRPr="00B701D0">
        <w:lastRenderedPageBreak/>
        <w:t>spidsen for internationale drøftelser om databeskyttelse, og at en række tredjelande har tilpasset deres databeskyttelseslovgivning til den generelle forordning om databeskyttelse;</w:t>
      </w:r>
    </w:p>
    <w:p w:rsidR="002C1F91" w:rsidRPr="00B701D0" w:rsidRDefault="002C1F91" w:rsidP="002C1F91">
      <w:pPr>
        <w:pStyle w:val="NormalHanging12a"/>
        <w:ind w:hanging="566"/>
      </w:pPr>
      <w:r w:rsidRPr="00B701D0">
        <w:t>2.</w:t>
      </w:r>
      <w:r w:rsidRPr="00B701D0">
        <w:tab/>
        <w:t>konkluderer, at den generelle forordning om databeskyttelse to år efter dens ikrafttræden generelt har været en succes, og er enig med Kommissionen i, at det på nuværende tidspunkt ikke er nødvendigt at ajourføre eller revidere lovgivningen;</w:t>
      </w:r>
    </w:p>
    <w:p w:rsidR="002C1F91" w:rsidRPr="00B701D0" w:rsidRDefault="002C1F91" w:rsidP="002C1F91">
      <w:pPr>
        <w:pStyle w:val="NormalHanging12a"/>
        <w:ind w:hanging="566"/>
      </w:pPr>
      <w:r w:rsidRPr="00B701D0">
        <w:t>3.</w:t>
      </w:r>
      <w:r w:rsidRPr="00B701D0">
        <w:tab/>
        <w:t>er enig i, at fokus i de kommende år fortsat skal være på forbedring af gennemførelsen og foranstaltninger til styrkelse af den generelle forordning om databeskyttelse;</w:t>
      </w:r>
    </w:p>
    <w:p w:rsidR="002C1F91" w:rsidRPr="00B701D0" w:rsidRDefault="00FD65B9" w:rsidP="002C1F91">
      <w:pPr>
        <w:pStyle w:val="NormalHanging12a"/>
        <w:ind w:hanging="566"/>
      </w:pPr>
      <w:r w:rsidRPr="00B701D0">
        <w:t>4.</w:t>
      </w:r>
      <w:r w:rsidRPr="00B701D0">
        <w:tab/>
        <w:t>er enig i, at der er behov for en stærk og effektiv håndhævelse af den generelle forordning om databeskyttelse over for store digitale platforme og integrerede virksomheder, herunder om områder som onlinereklame og mikromålretning;</w:t>
      </w:r>
    </w:p>
    <w:p w:rsidR="002C1F91" w:rsidRPr="00B701D0" w:rsidRDefault="002C1F91" w:rsidP="002C1F91">
      <w:pPr>
        <w:spacing w:after="240"/>
        <w:rPr>
          <w:rFonts w:eastAsia="DejaVu Sans"/>
          <w:kern w:val="2"/>
        </w:rPr>
      </w:pPr>
      <w:r w:rsidRPr="00B701D0">
        <w:rPr>
          <w:b/>
          <w:i/>
        </w:rPr>
        <w:t>RETSGRUNDLAG FOR BEHANDLING</w:t>
      </w:r>
    </w:p>
    <w:p w:rsidR="002C1F91" w:rsidRPr="00B701D0" w:rsidRDefault="00FD65B9" w:rsidP="002C1F91">
      <w:pPr>
        <w:pStyle w:val="NormalHanging12a"/>
        <w:ind w:hanging="566"/>
      </w:pPr>
      <w:r w:rsidRPr="00B701D0">
        <w:t>5.</w:t>
      </w:r>
      <w:r w:rsidRPr="00B701D0">
        <w:tab/>
        <w:t>minder om, at "samtykke" siden starten på anvendelsen af den generelle forordning om databeskyttelse betyder enhver frivillig, specifik, informeret og utvetydig tilkendegivelse af den registreredes ønsker, og understreger, at dette også gælder for e-databeskyttelsesdirektivet; bemærker, at gennemførelsen af gyldigt samtykke fortsat bringes i fare som følge af brugen af skjulte mønstre, sporing til kommercielle formål og anden uetisk praksis; er bekymret over, at enkeltpersoner ofte udsættes for økonomisk pres for at give samtykke for at få rabat eller modtage andre kommercielle tilbud eller er tvunget til at give samtykke, når det er en betingelse for at få adgang til en tjeneste, hvilket er i strid med artikel 7 i den generelle forordning om databeskyttelse;</w:t>
      </w:r>
    </w:p>
    <w:p w:rsidR="002C1F91" w:rsidRPr="00B701D0" w:rsidRDefault="002C1F91" w:rsidP="002C1F91">
      <w:pPr>
        <w:spacing w:after="240"/>
        <w:rPr>
          <w:rFonts w:eastAsia="DejaVu Sans"/>
          <w:b/>
          <w:i/>
          <w:kern w:val="2"/>
        </w:rPr>
      </w:pPr>
      <w:r w:rsidRPr="00B701D0">
        <w:rPr>
          <w:b/>
          <w:i/>
        </w:rPr>
        <w:t>DATASUBJEKTRETTIGHEDER</w:t>
      </w:r>
    </w:p>
    <w:p w:rsidR="002C1F91" w:rsidRPr="00B701D0" w:rsidRDefault="00FD65B9" w:rsidP="002C1F91">
      <w:pPr>
        <w:pStyle w:val="NormalHanging12a"/>
        <w:ind w:hanging="566"/>
      </w:pPr>
      <w:r w:rsidRPr="00B701D0">
        <w:t>6.</w:t>
      </w:r>
      <w:r w:rsidRPr="00B701D0">
        <w:tab/>
        <w:t>understreger, at det er nødvendigt at lette udøvelsen af individuelle rettigheder i henhold til den generelle forordning om databeskyttelse, såsom dataportabilitet eller rettigheder i forbindelse med automatisk behandling, herunder profilering; opfordrer Det Europæiske Databeskyttelsesråd til at udstikke yderligere retningslinjer om automatiseret beslutningstagning;</w:t>
      </w:r>
    </w:p>
    <w:p w:rsidR="002C1F91" w:rsidRPr="00B701D0" w:rsidRDefault="002C1F91" w:rsidP="002C1F91">
      <w:pPr>
        <w:pStyle w:val="NormalHanging12a"/>
        <w:ind w:left="1" w:firstLine="0"/>
      </w:pPr>
      <w:r w:rsidRPr="00B701D0">
        <w:rPr>
          <w:b/>
          <w:i/>
        </w:rPr>
        <w:t>SMÅ VIRKSOMHEDER OG ORGANISATIONER</w:t>
      </w:r>
    </w:p>
    <w:p w:rsidR="002C1F91" w:rsidRPr="00B701D0" w:rsidRDefault="00FD65B9" w:rsidP="002C1F91">
      <w:pPr>
        <w:pStyle w:val="NormalHanging12a"/>
        <w:ind w:hanging="566"/>
      </w:pPr>
      <w:r w:rsidRPr="00B701D0">
        <w:t>7.</w:t>
      </w:r>
      <w:r w:rsidRPr="00B701D0">
        <w:tab/>
        <w:t>bemærker, at nogle interessenter rapporterer, at anvendelsen af den generelle forordning om databeskyttelse er en udfordring, navnlig for små og mellemstore virksomheder (SMV'er);</w:t>
      </w:r>
    </w:p>
    <w:p w:rsidR="002C1F91" w:rsidRPr="00B701D0" w:rsidRDefault="00FD65B9" w:rsidP="002C1F91">
      <w:pPr>
        <w:pStyle w:val="NormalHanging12a"/>
        <w:ind w:hanging="566"/>
      </w:pPr>
      <w:r w:rsidRPr="00B701D0">
        <w:t>8.</w:t>
      </w:r>
      <w:r w:rsidRPr="00B701D0">
        <w:tab/>
        <w:t>påpeger, at der ikke bør være nogen undtagelse for SMV'er; opfordrer Det Europæiske Databeskyttelsesråd til at stille praktiske værktøjer til rådighed for at lette gennemførelsen af den generelle forordning om databeskyttelse for SMV'er med lavrisikobehandlingsaktiviteter;</w:t>
      </w:r>
    </w:p>
    <w:p w:rsidR="002C1F91" w:rsidRPr="00B701D0" w:rsidRDefault="002C1F91" w:rsidP="002C1F91">
      <w:pPr>
        <w:pStyle w:val="NormalHanging12a"/>
        <w:spacing w:before="240"/>
        <w:ind w:left="1" w:firstLine="0"/>
      </w:pPr>
      <w:r w:rsidRPr="00B701D0">
        <w:rPr>
          <w:b/>
          <w:i/>
        </w:rPr>
        <w:t>HÅNDHÆVELSE</w:t>
      </w:r>
    </w:p>
    <w:p w:rsidR="002C1F91" w:rsidRPr="00B701D0" w:rsidRDefault="00FD65B9" w:rsidP="002C1F91">
      <w:pPr>
        <w:pStyle w:val="NormalHanging12a"/>
        <w:ind w:hanging="566"/>
      </w:pPr>
      <w:r w:rsidRPr="00B701D0">
        <w:t>9.</w:t>
      </w:r>
      <w:r w:rsidRPr="00B701D0">
        <w:tab/>
        <w:t>er bekymret over de nationale databeskyttelsesmyndigheders uensartede håndhævelse af den generelle forordning om databeskyttelse;</w:t>
      </w:r>
    </w:p>
    <w:p w:rsidR="002C1F91" w:rsidRPr="00B701D0" w:rsidRDefault="002C1F91" w:rsidP="002C1F91">
      <w:pPr>
        <w:pStyle w:val="NormalHanging12a"/>
        <w:ind w:hanging="566"/>
      </w:pPr>
      <w:r w:rsidRPr="00B701D0">
        <w:lastRenderedPageBreak/>
        <w:t>10.</w:t>
      </w:r>
      <w:r w:rsidRPr="00B701D0">
        <w:tab/>
        <w:t>bemærker, at selv om der er blevet udstedt betydelige bøder for tilfælde af alvorlige overtrædelser, siden den generelle forordning om databeskyttelse begyndte at finde anvendelse, er mulighederne i den generelle forordning om databeskyttelse langt fra blevet udnyttet fuldt ud, og der er forskelle i størrelsen af de sanktioner, der anvendes på tværs af medlemsstaterne;</w:t>
      </w:r>
    </w:p>
    <w:p w:rsidR="002C1F91" w:rsidRPr="00B701D0" w:rsidRDefault="002C1F91" w:rsidP="002C1F91">
      <w:pPr>
        <w:pStyle w:val="NormalHanging12a"/>
        <w:ind w:hanging="566"/>
      </w:pPr>
      <w:r w:rsidRPr="00B701D0">
        <w:t>11.</w:t>
      </w:r>
      <w:r w:rsidRPr="00B701D0">
        <w:tab/>
        <w:t>er bekymret over varigheden af visse databeskyttelsesmyndigheders efterforskning af sager og den negative indvirkning på den effektive håndhævelse og på borgernes tillid, som følger heraf; opfordrer indtrængende databeskyttelsesmyndighederne til at fremskynde løsningen af sager og anvende alle de mekanismer, der er til rådighed for dem i henhold til den generelle forordning om databeskyttelse, herunder midlertidige eller endelige begrænsninger eller et forbud mod behandling;</w:t>
      </w:r>
    </w:p>
    <w:p w:rsidR="002C1F91" w:rsidRPr="00B701D0" w:rsidRDefault="002C1F91" w:rsidP="002C1F91">
      <w:pPr>
        <w:pStyle w:val="NormalHanging12a"/>
        <w:ind w:hanging="566"/>
      </w:pPr>
      <w:r w:rsidRPr="00B701D0">
        <w:t>12.</w:t>
      </w:r>
      <w:r w:rsidRPr="00B701D0">
        <w:tab/>
        <w:t>beklager, at databeskyttelsesmyndighederne i 21 medlemsstater udtrykkeligt har erklæret, at de ikke har tilstrækkelige menneskelige, tekniske og finansielle ressourcer til effektivt at udføre deres opgaver og udøve deres beføjelser; opfordrer indtrængende Kommissionen til at træffe passende foranstaltninger, herunder ved straks at indlede traktatbrudsprocedurer mod de medlemsstater, der ikke har opfyldt denne forpligtelse;</w:t>
      </w:r>
    </w:p>
    <w:p w:rsidR="002C1F91" w:rsidRPr="00B701D0" w:rsidRDefault="002C1F91" w:rsidP="002C1F91">
      <w:pPr>
        <w:pStyle w:val="NormalHanging12a"/>
        <w:ind w:hanging="566"/>
      </w:pPr>
      <w:r w:rsidRPr="00B701D0">
        <w:t>13.</w:t>
      </w:r>
      <w:r w:rsidRPr="00B701D0">
        <w:tab/>
        <w:t>beklager med hensyn til kollektive retsmidler, at flertallet af medlemsstaterne har besluttet ikke at gennemføre artikel 80, stk. 2, i den generelle forordning om databeskyttelse; opfordrer alle medlemsstater til at gøre brug af artikel 80, stk. 2;</w:t>
      </w:r>
    </w:p>
    <w:p w:rsidR="002C1F91" w:rsidRPr="00B701D0" w:rsidRDefault="002C1F91" w:rsidP="002C1F91">
      <w:pPr>
        <w:pStyle w:val="NormalHanging12a"/>
        <w:ind w:left="1" w:firstLine="0"/>
      </w:pPr>
      <w:r w:rsidRPr="00B701D0">
        <w:rPr>
          <w:b/>
          <w:i/>
        </w:rPr>
        <w:t>SAMARBEJDE OG SAMMENHÆNG</w:t>
      </w:r>
    </w:p>
    <w:p w:rsidR="002C1F91" w:rsidRPr="00B701D0" w:rsidRDefault="002C1F91" w:rsidP="002C1F91">
      <w:pPr>
        <w:pStyle w:val="NormalHanging12a"/>
        <w:ind w:hanging="566"/>
      </w:pPr>
      <w:r w:rsidRPr="00B701D0">
        <w:t>14.</w:t>
      </w:r>
      <w:r w:rsidRPr="00B701D0">
        <w:tab/>
        <w:t>påpeger, at den svage håndhævelse er særlig tydelig i grænseoverskridende klager, dvs. i forbindelse med samarbejds- og sammenhængsmekanismer; opfordrer Det Europæiske Databeskyttelsesråd til at øge sine bestræbelser på at sikre korrekt anvendelse af den generelle forordning om databeskyttelses artikel 60 og 63 og brug af hasteproceduren i artikel 66 i den generelle forordning om databeskyttelse;</w:t>
      </w:r>
    </w:p>
    <w:p w:rsidR="002C1F91" w:rsidRPr="00B701D0" w:rsidRDefault="002C1F91" w:rsidP="002C1F91">
      <w:pPr>
        <w:pStyle w:val="NormalHanging12a"/>
        <w:ind w:hanging="566"/>
      </w:pPr>
      <w:r w:rsidRPr="00B701D0">
        <w:t>15.</w:t>
      </w:r>
      <w:r w:rsidRPr="00B701D0">
        <w:tab/>
        <w:t>bemærker, at der er uoverensstemmelser mellem de nationale retningslinjer og Det Europæiske Databeskyttelsesråds retningslinjer;</w:t>
      </w:r>
    </w:p>
    <w:p w:rsidR="002C1F91" w:rsidRPr="00B701D0" w:rsidRDefault="002C1F91" w:rsidP="002C1F91">
      <w:pPr>
        <w:pStyle w:val="NormalHanging12a"/>
        <w:ind w:hanging="566"/>
      </w:pPr>
      <w:r w:rsidRPr="00B701D0">
        <w:t>16.</w:t>
      </w:r>
      <w:r w:rsidRPr="00B701D0">
        <w:tab/>
        <w:t>opfordrer alle medlemsstater til at indføre specifik støtte til registrerede eller organisationer, der repræsenterer dem, og som er involveret i grænseoverskridende klager; påpeger, at høje proceduremæssige omkostninger i forbindelse med udøvelsen af registreredes rettigheder kan virke afskrækkende; opfordrer medlemsstaterne til at begrænse sådanne omkostninger i deres nationale administrative procedureregler;</w:t>
      </w:r>
    </w:p>
    <w:p w:rsidR="002C1F91" w:rsidRPr="00B701D0" w:rsidRDefault="002C1F91" w:rsidP="002C1F91">
      <w:pPr>
        <w:pStyle w:val="NormalHanging12a"/>
        <w:ind w:left="1" w:firstLine="0"/>
      </w:pPr>
      <w:r w:rsidRPr="00B701D0">
        <w:rPr>
          <w:b/>
          <w:i/>
        </w:rPr>
        <w:t>FRAGMENTERET GENNEMFØRELSE AF DEN GENERELLE FORORDNING OM DATABESKYTTELSE</w:t>
      </w:r>
    </w:p>
    <w:p w:rsidR="002C1F91" w:rsidRPr="00B701D0" w:rsidRDefault="002C1F91" w:rsidP="002C1F91">
      <w:pPr>
        <w:pStyle w:val="NormalHanging12a"/>
        <w:ind w:hanging="566"/>
      </w:pPr>
      <w:r w:rsidRPr="00B701D0">
        <w:t>17.</w:t>
      </w:r>
      <w:r w:rsidRPr="00B701D0">
        <w:tab/>
        <w:t>bemærker en vis fragmentering, hvilket navnlig skyldes den omfattende brug af fakultative specialbestemmelser; udtrykker bekymring over, at beskyttelsen af den generelle forordning om databeskyttelse undergraves af den måde, hvorpå medlemsstaterne har gennemført disse undtagelser (f.eks. børns alder for samtykke);</w:t>
      </w:r>
    </w:p>
    <w:p w:rsidR="002C1F91" w:rsidRPr="00B701D0" w:rsidRDefault="002C1F91" w:rsidP="00B701D0">
      <w:pPr>
        <w:pStyle w:val="NormalHanging12a"/>
        <w:keepNext/>
        <w:keepLines/>
        <w:ind w:left="0" w:firstLine="0"/>
      </w:pPr>
      <w:r w:rsidRPr="00B701D0">
        <w:rPr>
          <w:b/>
          <w:i/>
        </w:rPr>
        <w:lastRenderedPageBreak/>
        <w:t>DATABESKYTTELSE GENNEM DESIGN</w:t>
      </w:r>
    </w:p>
    <w:p w:rsidR="002C1F91" w:rsidRPr="00B701D0" w:rsidRDefault="00E403A7" w:rsidP="002C1F91">
      <w:pPr>
        <w:pStyle w:val="NormalHanging12a"/>
        <w:ind w:hanging="566"/>
      </w:pPr>
      <w:r w:rsidRPr="00B701D0">
        <w:t>18.</w:t>
      </w:r>
      <w:r w:rsidRPr="00B701D0">
        <w:tab/>
        <w:t>opfordrer tilsynsmyndighederne til at evaluere gennemførelsen af artikel 25 om databeskyttelse gennem design og databeskyttelse gennem standardindstillinger, navnlig med henblik på at gennemføre principperne om dataminimering og formålsbegrænsning i overensstemmelse med Det Europæiske Databeskyttelsesråds retningslinjer;</w:t>
      </w:r>
    </w:p>
    <w:p w:rsidR="002C1F91" w:rsidRPr="00B701D0" w:rsidRDefault="002C1F91" w:rsidP="002C1F91">
      <w:pPr>
        <w:pStyle w:val="NormalHanging12a"/>
        <w:ind w:left="1" w:firstLine="0"/>
      </w:pPr>
      <w:r w:rsidRPr="00B701D0">
        <w:rPr>
          <w:b/>
          <w:i/>
        </w:rPr>
        <w:t>RETNINGSLINJER</w:t>
      </w:r>
    </w:p>
    <w:p w:rsidR="002C1F91" w:rsidRPr="00B701D0" w:rsidRDefault="00FD65B9" w:rsidP="002C1F91">
      <w:pPr>
        <w:pStyle w:val="NormalHanging12a"/>
        <w:ind w:hanging="566"/>
      </w:pPr>
      <w:r w:rsidRPr="00B701D0">
        <w:t>19.</w:t>
      </w:r>
      <w:r w:rsidRPr="00B701D0">
        <w:tab/>
        <w:t>opfordrer Det Europæiske Databeskyttelsesråd til at udarbejde standarder og retningslinjer, der bidrager til at gennemføre databeskyttelseskrav i praksis, bl.a. for konsekvensanalyser vedrørende databeskyttelse (artikel 35), oplysninger til registrerede (artikel 12-14), udøvelse af registreredes rettigheder (artikel 15-18, 20-21) og fortegnelse over behandlingsaktiviteter (artikel 30);</w:t>
      </w:r>
    </w:p>
    <w:p w:rsidR="002C1F91" w:rsidRPr="00B701D0" w:rsidRDefault="002C1F91" w:rsidP="002C1F91">
      <w:pPr>
        <w:pStyle w:val="NormalHanging12a"/>
        <w:ind w:left="1" w:firstLine="0"/>
      </w:pPr>
      <w:r w:rsidRPr="00B701D0">
        <w:rPr>
          <w:b/>
          <w:i/>
        </w:rPr>
        <w:t>INTERNATIONALE STRØMME AF PERSONOPLYSNINGER OG SAMARBEJDE</w:t>
      </w:r>
    </w:p>
    <w:p w:rsidR="002C1F91" w:rsidRPr="00B701D0" w:rsidRDefault="00E403A7" w:rsidP="002C1F91">
      <w:pPr>
        <w:pStyle w:val="NormalHanging12a"/>
        <w:ind w:hanging="566"/>
      </w:pPr>
      <w:r w:rsidRPr="00B701D0">
        <w:t>20.</w:t>
      </w:r>
      <w:r w:rsidRPr="00B701D0">
        <w:tab/>
        <w:t>understreger betydningen af at tillade fri udveksling af personoplysninger på internationalt plan uden at sænke det beskyttelsesniveau, der garanteres i henhold til den generelle forordning om databeskyttelse; støtter Kommissionens praksis med at behandle spørgsmål om data- og persondatastrømme adskilt fra handelsaftaler;</w:t>
      </w:r>
    </w:p>
    <w:p w:rsidR="002C1F91" w:rsidRPr="00B701D0" w:rsidRDefault="002C1F91" w:rsidP="002C1F91">
      <w:pPr>
        <w:pStyle w:val="NormalHanging12a"/>
        <w:ind w:hanging="566"/>
      </w:pPr>
      <w:r w:rsidRPr="00B701D0">
        <w:t>21.</w:t>
      </w:r>
      <w:r w:rsidRPr="00B701D0">
        <w:tab/>
        <w:t>understreger, at afgørelser om tilstrækkeligheden af beskyttelsesniveauet ikke bør være politiske, men retlige afgørelser;</w:t>
      </w:r>
    </w:p>
    <w:p w:rsidR="002C1F91" w:rsidRPr="00B701D0" w:rsidRDefault="002C1F91" w:rsidP="002C1F91">
      <w:pPr>
        <w:pStyle w:val="NormalHanging12a"/>
        <w:ind w:hanging="566"/>
      </w:pPr>
      <w:r w:rsidRPr="00B701D0">
        <w:t>22.</w:t>
      </w:r>
      <w:r w:rsidRPr="00B701D0">
        <w:tab/>
        <w:t>opfordrer Kommissionen til at offentliggøre det sæt kriterier, der anvendes til at afgøre, om et tredjeland anses for at have et "i det væsentlige tilsvarende" beskyttelsesniveau som det, der gives i EU, navnlig med hensyn til adgang til retsmidler og statslig adgang til data;</w:t>
      </w:r>
    </w:p>
    <w:p w:rsidR="002C1F91" w:rsidRPr="00B701D0" w:rsidRDefault="002C1F91" w:rsidP="002C1F91">
      <w:pPr>
        <w:pStyle w:val="NormalHanging12a"/>
        <w:ind w:hanging="566"/>
      </w:pPr>
      <w:r w:rsidRPr="00B701D0">
        <w:t>23.</w:t>
      </w:r>
      <w:r w:rsidRPr="00B701D0">
        <w:tab/>
        <w:t>gentager, at masseovervågningsprogrammer, der omfatter indsamling af massedata, er en hindring for at bedømme tilstrækkeligheden af beskyttelsesniveauet;</w:t>
      </w:r>
    </w:p>
    <w:p w:rsidR="002C1F91" w:rsidRPr="00B701D0" w:rsidRDefault="002C1F91" w:rsidP="002C1F91">
      <w:pPr>
        <w:pStyle w:val="NormalHanging12a"/>
        <w:ind w:hanging="566"/>
      </w:pPr>
      <w:r w:rsidRPr="00B701D0">
        <w:t>24.</w:t>
      </w:r>
      <w:r w:rsidRPr="00B701D0">
        <w:tab/>
        <w:t>opfordrer databeskyttelsesmyndighederne til systematisk at vurdere, om databeskyttelsesreglerne anvendes i praksis i tredjelande i overensstemmelse med EU-Domstolens retspraksis;</w:t>
      </w:r>
    </w:p>
    <w:p w:rsidR="002C1F91" w:rsidRPr="00B701D0" w:rsidRDefault="002C1F91" w:rsidP="002C1F91">
      <w:pPr>
        <w:pStyle w:val="NormalHanging12a"/>
        <w:ind w:hanging="566"/>
      </w:pPr>
      <w:r w:rsidRPr="00B701D0">
        <w:t>25.</w:t>
      </w:r>
      <w:r w:rsidRPr="00B701D0">
        <w:tab/>
        <w:t>opfordrer indtrængende Kommissionen til uden unødig forsinkelse at offentliggøre sin gennemgang af de afgørelser om tilstrækkeligheden af beskyttelsesniveauet, der er vedtaget i henhold til direktivet fra 1995;</w:t>
      </w:r>
    </w:p>
    <w:p w:rsidR="002C1F91" w:rsidRPr="00B701D0" w:rsidRDefault="002C1F91" w:rsidP="002C1F91">
      <w:pPr>
        <w:pStyle w:val="NormalHanging12a"/>
        <w:ind w:left="1" w:firstLine="0"/>
      </w:pPr>
      <w:r w:rsidRPr="00B701D0">
        <w:rPr>
          <w:b/>
          <w:i/>
        </w:rPr>
        <w:t>FREMTIDIG EU-LOVGIVNING</w:t>
      </w:r>
    </w:p>
    <w:p w:rsidR="002C1F91" w:rsidRPr="00B701D0" w:rsidRDefault="002C1F91" w:rsidP="002C1F91">
      <w:pPr>
        <w:pStyle w:val="NormalHanging12a"/>
        <w:ind w:hanging="566"/>
      </w:pPr>
      <w:r w:rsidRPr="00B701D0">
        <w:t>26.</w:t>
      </w:r>
      <w:r w:rsidRPr="00B701D0">
        <w:tab/>
        <w:t>minder Kommissionen om dens forpligtelse til at sikre, at foranstaltninger, der skal fremlægges i kommende lovgivningsforslag, navnlig vedrørende dataforvaltning, datahandling, digitale tjenester og kunstig intelligens, skal være i overensstemmelse med den generelle forordning om databeskyttelse (EU) 2016/679 og direktiv (EU) 2016/680;</w:t>
      </w:r>
    </w:p>
    <w:p w:rsidR="002C1F91" w:rsidRPr="00B701D0" w:rsidRDefault="003C734A" w:rsidP="00B701D0">
      <w:pPr>
        <w:pStyle w:val="NormalHanging12a"/>
        <w:keepNext/>
        <w:keepLines/>
        <w:ind w:left="0" w:firstLine="0"/>
      </w:pPr>
      <w:r w:rsidRPr="00B701D0">
        <w:rPr>
          <w:b/>
          <w:i/>
        </w:rPr>
        <w:lastRenderedPageBreak/>
        <w:t>E-DATABESKYTTELSESFORORDNINGEN</w:t>
      </w:r>
    </w:p>
    <w:p w:rsidR="002C1F91" w:rsidRPr="00B701D0" w:rsidRDefault="002C1F91" w:rsidP="002C1F91">
      <w:pPr>
        <w:pStyle w:val="NormalHanging12a"/>
        <w:ind w:hanging="566"/>
      </w:pPr>
      <w:r w:rsidRPr="00B701D0">
        <w:t>27.</w:t>
      </w:r>
      <w:r w:rsidRPr="00B701D0">
        <w:tab/>
        <w:t>udtrykker dyb bekymring over medlemsstaternes manglende gennemførelse af e-databeskyttelsesdirektivet i lyset af de ændringer, der er indført med den generelle forordning om databeskyttelse; opfordrer Kommissionen til at fremskynde sin vurdering og indlede overtrædelsesprocedurer mod de medlemsstater, der ikke har gennemført e-databeskyttelsesdirektivet korrekt;</w:t>
      </w:r>
    </w:p>
    <w:p w:rsidR="00866D70" w:rsidRPr="00B701D0" w:rsidRDefault="00FD65B9" w:rsidP="00F632FC">
      <w:pPr>
        <w:pStyle w:val="NormalHanging12a"/>
        <w:ind w:hanging="566"/>
      </w:pPr>
      <w:r w:rsidRPr="00B701D0">
        <w:t>28.</w:t>
      </w:r>
      <w:r w:rsidRPr="00B701D0">
        <w:tab/>
        <w:t>pålægger sin formand at sende denne beslutning til Kommissionen, Det Europæiske Råd, regeringerne og de nationale parlamenter, Det Europæiske Databeskyttelsesråd og Den Europæiske Tilsynsførende for Databeskyttelse.</w:t>
      </w:r>
    </w:p>
    <w:p w:rsidR="003C734A" w:rsidRPr="00B701D0" w:rsidRDefault="003C734A" w:rsidP="00F632FC">
      <w:pPr>
        <w:pStyle w:val="NormalHanging12a"/>
        <w:ind w:hanging="566"/>
      </w:pPr>
    </w:p>
    <w:sectPr w:rsidR="003C734A" w:rsidRPr="00B701D0" w:rsidSect="00842F7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842F78" w:rsidRDefault="00674856">
      <w:r w:rsidRPr="00842F78">
        <w:separator/>
      </w:r>
    </w:p>
  </w:endnote>
  <w:endnote w:type="continuationSeparator" w:id="0">
    <w:p w:rsidR="00674856" w:rsidRPr="00842F78" w:rsidRDefault="00674856">
      <w:r w:rsidRPr="00842F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8" w:rsidRPr="00842F78" w:rsidRDefault="00842F78" w:rsidP="00842F78">
    <w:pPr>
      <w:pStyle w:val="EPFooter"/>
    </w:pPr>
    <w:r w:rsidRPr="00842F78">
      <w:t>PE</w:t>
    </w:r>
    <w:r w:rsidRPr="00842F78">
      <w:rPr>
        <w:rStyle w:val="HideTWBExt"/>
        <w:noProof w:val="0"/>
      </w:rPr>
      <w:t>&lt;NoPE&gt;</w:t>
    </w:r>
    <w:r w:rsidRPr="00842F78">
      <w:t>660.347</w:t>
    </w:r>
    <w:r w:rsidRPr="00842F78">
      <w:rPr>
        <w:rStyle w:val="HideTWBExt"/>
        <w:noProof w:val="0"/>
      </w:rPr>
      <w:t>&lt;/NoPE&gt;&lt;Version&gt;</w:t>
    </w:r>
    <w:r w:rsidRPr="00842F78">
      <w:t>v01-00</w:t>
    </w:r>
    <w:r w:rsidRPr="00842F78">
      <w:rPr>
        <w:rStyle w:val="HideTWBExt"/>
        <w:noProof w:val="0"/>
      </w:rPr>
      <w:t>&lt;/Version&gt;</w:t>
    </w:r>
    <w:r w:rsidRPr="00842F78">
      <w:tab/>
    </w:r>
    <w:r w:rsidRPr="00842F78">
      <w:fldChar w:fldCharType="begin"/>
    </w:r>
    <w:r w:rsidRPr="00842F78">
      <w:instrText xml:space="preserve"> PAGE  \* MERGEFORMAT </w:instrText>
    </w:r>
    <w:r w:rsidRPr="00842F78">
      <w:fldChar w:fldCharType="separate"/>
    </w:r>
    <w:r w:rsidR="00B701D0">
      <w:rPr>
        <w:noProof/>
      </w:rPr>
      <w:t>6</w:t>
    </w:r>
    <w:r w:rsidRPr="00842F78">
      <w:fldChar w:fldCharType="end"/>
    </w:r>
    <w:r w:rsidRPr="00842F78">
      <w:t>/</w:t>
    </w:r>
    <w:fldSimple w:instr=" NUMPAGES  \* MERGEFORMAT ">
      <w:r w:rsidR="00B701D0">
        <w:rPr>
          <w:noProof/>
        </w:rPr>
        <w:t>6</w:t>
      </w:r>
    </w:fldSimple>
    <w:r w:rsidRPr="00842F78">
      <w:tab/>
    </w:r>
    <w:r w:rsidRPr="00842F78">
      <w:rPr>
        <w:rStyle w:val="HideTWBExt"/>
        <w:noProof w:val="0"/>
      </w:rPr>
      <w:t>&lt;PathFdR&gt;</w:t>
    </w:r>
    <w:r w:rsidRPr="00842F78">
      <w:t>RE\1218403DA.docx</w:t>
    </w:r>
    <w:r w:rsidRPr="00842F78">
      <w:rPr>
        <w:rStyle w:val="HideTWBExt"/>
        <w:noProof w:val="0"/>
      </w:rPr>
      <w:t>&lt;/PathFdR&gt;</w:t>
    </w:r>
  </w:p>
  <w:p w:rsidR="00A90219" w:rsidRPr="00842F78" w:rsidRDefault="00842F78" w:rsidP="00842F78">
    <w:pPr>
      <w:pStyle w:val="EPFooter2"/>
    </w:pPr>
    <w:r w:rsidRPr="00842F78">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8" w:rsidRPr="00842F78" w:rsidRDefault="00842F78" w:rsidP="00842F78">
    <w:pPr>
      <w:pStyle w:val="EPFooter"/>
    </w:pPr>
    <w:r w:rsidRPr="00842F78">
      <w:rPr>
        <w:rStyle w:val="HideTWBExt"/>
        <w:noProof w:val="0"/>
      </w:rPr>
      <w:t>&lt;PathFdR&gt;</w:t>
    </w:r>
    <w:r w:rsidRPr="00842F78">
      <w:t>RE\1218403DA.docx</w:t>
    </w:r>
    <w:r w:rsidRPr="00842F78">
      <w:rPr>
        <w:rStyle w:val="HideTWBExt"/>
        <w:noProof w:val="0"/>
      </w:rPr>
      <w:t>&lt;/PathFdR&gt;</w:t>
    </w:r>
    <w:r w:rsidRPr="00842F78">
      <w:tab/>
    </w:r>
    <w:r w:rsidRPr="00842F78">
      <w:fldChar w:fldCharType="begin"/>
    </w:r>
    <w:r w:rsidRPr="00842F78">
      <w:instrText xml:space="preserve"> PAGE  \* MERGEFORMAT </w:instrText>
    </w:r>
    <w:r w:rsidRPr="00842F78">
      <w:fldChar w:fldCharType="separate"/>
    </w:r>
    <w:r w:rsidR="00B701D0">
      <w:rPr>
        <w:noProof/>
      </w:rPr>
      <w:t>5</w:t>
    </w:r>
    <w:r w:rsidRPr="00842F78">
      <w:fldChar w:fldCharType="end"/>
    </w:r>
    <w:r w:rsidRPr="00842F78">
      <w:t>/</w:t>
    </w:r>
    <w:fldSimple w:instr=" NUMPAGES  \* MERGEFORMAT ">
      <w:r w:rsidR="00B701D0">
        <w:rPr>
          <w:noProof/>
        </w:rPr>
        <w:t>5</w:t>
      </w:r>
    </w:fldSimple>
    <w:r w:rsidRPr="00842F78">
      <w:tab/>
      <w:t>PE</w:t>
    </w:r>
    <w:r w:rsidRPr="00842F78">
      <w:rPr>
        <w:rStyle w:val="HideTWBExt"/>
        <w:noProof w:val="0"/>
      </w:rPr>
      <w:t>&lt;NoPE&gt;</w:t>
    </w:r>
    <w:r w:rsidRPr="00842F78">
      <w:t>660.347</w:t>
    </w:r>
    <w:r w:rsidRPr="00842F78">
      <w:rPr>
        <w:rStyle w:val="HideTWBExt"/>
        <w:noProof w:val="0"/>
      </w:rPr>
      <w:t>&lt;/NoPE&gt;&lt;Version&gt;</w:t>
    </w:r>
    <w:r w:rsidRPr="00842F78">
      <w:t>v01-00</w:t>
    </w:r>
    <w:r w:rsidRPr="00842F78">
      <w:rPr>
        <w:rStyle w:val="HideTWBExt"/>
        <w:noProof w:val="0"/>
      </w:rPr>
      <w:t>&lt;/Version&gt;</w:t>
    </w:r>
  </w:p>
  <w:p w:rsidR="00A90219" w:rsidRPr="00842F78" w:rsidRDefault="00842F78" w:rsidP="00842F78">
    <w:pPr>
      <w:pStyle w:val="EPFooter2"/>
    </w:pPr>
    <w:r w:rsidRPr="00842F78">
      <w:tab/>
    </w:r>
    <w:r w:rsidRPr="00842F78">
      <w:tab/>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8" w:rsidRPr="00842F78" w:rsidRDefault="00842F78" w:rsidP="00842F78">
    <w:pPr>
      <w:pStyle w:val="EPFooter"/>
    </w:pPr>
    <w:r w:rsidRPr="00842F78">
      <w:rPr>
        <w:rStyle w:val="HideTWBExt"/>
        <w:noProof w:val="0"/>
      </w:rPr>
      <w:t>&lt;PathFdR&gt;</w:t>
    </w:r>
    <w:r w:rsidRPr="00842F78">
      <w:t>RE\1218403DA.docx</w:t>
    </w:r>
    <w:r w:rsidRPr="00842F78">
      <w:rPr>
        <w:rStyle w:val="HideTWBExt"/>
        <w:noProof w:val="0"/>
      </w:rPr>
      <w:t>&lt;/PathFdR&gt;</w:t>
    </w:r>
    <w:r w:rsidRPr="00842F78">
      <w:tab/>
    </w:r>
    <w:r w:rsidRPr="00842F78">
      <w:tab/>
      <w:t>PE</w:t>
    </w:r>
    <w:r w:rsidRPr="00842F78">
      <w:rPr>
        <w:rStyle w:val="HideTWBExt"/>
        <w:noProof w:val="0"/>
      </w:rPr>
      <w:t>&lt;NoPE&gt;</w:t>
    </w:r>
    <w:r w:rsidRPr="00842F78">
      <w:t>660.347</w:t>
    </w:r>
    <w:r w:rsidRPr="00842F78">
      <w:rPr>
        <w:rStyle w:val="HideTWBExt"/>
        <w:noProof w:val="0"/>
      </w:rPr>
      <w:t>&lt;/NoPE&gt;&lt;Version&gt;</w:t>
    </w:r>
    <w:r w:rsidRPr="00842F78">
      <w:t>v01-00</w:t>
    </w:r>
    <w:r w:rsidRPr="00842F78">
      <w:rPr>
        <w:rStyle w:val="HideTWBExt"/>
        <w:noProof w:val="0"/>
      </w:rPr>
      <w:t>&lt;/Version&gt;</w:t>
    </w:r>
  </w:p>
  <w:p w:rsidR="00A90219" w:rsidRPr="00842F78" w:rsidRDefault="00842F78" w:rsidP="00842F78">
    <w:pPr>
      <w:pStyle w:val="EPFooter2"/>
    </w:pPr>
    <w:r w:rsidRPr="00842F78">
      <w:t>DA</w:t>
    </w:r>
    <w:r w:rsidRPr="00842F78">
      <w:tab/>
    </w:r>
    <w:r w:rsidRPr="00842F78">
      <w:rPr>
        <w:b w:val="0"/>
        <w:i/>
        <w:color w:val="C0C0C0"/>
        <w:sz w:val="22"/>
      </w:rPr>
      <w:t>Forenet i mangfoldighed</w:t>
    </w:r>
    <w:r w:rsidRPr="00842F78">
      <w:tab/>
      <w:t>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842F78" w:rsidRDefault="00674856">
      <w:r w:rsidRPr="00842F78">
        <w:separator/>
      </w:r>
    </w:p>
  </w:footnote>
  <w:footnote w:type="continuationSeparator" w:id="0">
    <w:p w:rsidR="00674856" w:rsidRPr="00842F78" w:rsidRDefault="00674856">
      <w:r w:rsidRPr="00842F78">
        <w:continuationSeparator/>
      </w:r>
    </w:p>
  </w:footnote>
  <w:footnote w:id="1">
    <w:p w:rsidR="002C1F91" w:rsidRPr="00842F78" w:rsidRDefault="002C1F91" w:rsidP="002C1F91">
      <w:pPr>
        <w:pStyle w:val="FootnoteText"/>
      </w:pPr>
      <w:r w:rsidRPr="00842F78">
        <w:rPr>
          <w:rStyle w:val="FootnoteReference"/>
        </w:rPr>
        <w:footnoteRef/>
      </w:r>
      <w:r w:rsidRPr="00842F78">
        <w:t xml:space="preserve"> EUT L 119 af 4.5.2016, s. 1-88.</w:t>
      </w:r>
    </w:p>
  </w:footnote>
  <w:footnote w:id="2">
    <w:p w:rsidR="002C1F91" w:rsidRPr="00842F78" w:rsidRDefault="002C1F91" w:rsidP="002C1F91">
      <w:pPr>
        <w:pStyle w:val="FootnoteText"/>
      </w:pPr>
      <w:r w:rsidRPr="00842F78">
        <w:rPr>
          <w:rStyle w:val="FootnoteReference"/>
        </w:rPr>
        <w:footnoteRef/>
      </w:r>
      <w:r w:rsidRPr="00842F78">
        <w:t xml:space="preserve"> </w:t>
      </w:r>
      <w:r w:rsidR="003C734A" w:rsidRPr="00842F78">
        <w:t>COM(2020)</w:t>
      </w:r>
      <w:r w:rsidR="003C734A">
        <w:t>0</w:t>
      </w:r>
      <w:r w:rsidR="003C734A" w:rsidRPr="00842F78">
        <w:t>264 af 24.6.2020.</w:t>
      </w:r>
    </w:p>
  </w:footnote>
  <w:footnote w:id="3">
    <w:p w:rsidR="002C1F91" w:rsidRPr="00842F78" w:rsidRDefault="002C1F91" w:rsidP="002C1F91">
      <w:pPr>
        <w:pStyle w:val="FootnoteText"/>
      </w:pPr>
      <w:r w:rsidRPr="00842F78">
        <w:rPr>
          <w:rStyle w:val="FootnoteReference"/>
        </w:rPr>
        <w:footnoteRef/>
      </w:r>
      <w:r w:rsidRPr="00842F78">
        <w:t xml:space="preserve"> </w:t>
      </w:r>
      <w:r w:rsidR="003C734A" w:rsidRPr="00842F78">
        <w:t>COM(2020)</w:t>
      </w:r>
      <w:r w:rsidR="003C734A">
        <w:t>0</w:t>
      </w:r>
      <w:r w:rsidR="003C734A" w:rsidRPr="00842F78">
        <w:t>264 af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4A" w:rsidRDefault="003C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4A" w:rsidRDefault="003C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4A" w:rsidRDefault="003C7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DA"/>
    <w:docVar w:name="TXTLANGUEMIN" w:val="da"/>
    <w:docVar w:name="TXTNRPE" w:val="660.347"/>
    <w:docVar w:name="TXTNRRSP" w:val="2020/2727"/>
    <w:docVar w:name="TXTPEorAP" w:val="PE"/>
    <w:docVar w:name="TXTROUTE" w:val="RE\1218403DA.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3C734A"/>
    <w:rsid w:val="00411D03"/>
    <w:rsid w:val="00412503"/>
    <w:rsid w:val="00471D62"/>
    <w:rsid w:val="00483F97"/>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42F78"/>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701D0"/>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B0D4E"/>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10206</Characters>
  <Application>Microsoft Office Word</Application>
  <DocSecurity>0</DocSecurity>
  <Lines>179</Lines>
  <Paragraphs>73</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HEINSOEE Katja</cp:lastModifiedBy>
  <cp:revision>2</cp:revision>
  <cp:lastPrinted>2004-11-19T15:55:00Z</cp:lastPrinted>
  <dcterms:created xsi:type="dcterms:W3CDTF">2020-12-01T09:47:00Z</dcterms:created>
  <dcterms:modified xsi:type="dcterms:W3CDTF">2020-12-01T09:47:00Z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RE\1218403DA.docx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DA</vt:lpwstr>
  </property>
  <property fmtid="{D5CDD505-2E9C-101B-9397-08002B2CF9AE}" pid="14" name="Bookout">
    <vt:lpwstr>OK - 2020/12/01 10:47</vt:lpwstr>
  </property>
</Properties>
</file>