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1D6200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1D6200" w:rsidRDefault="00674856" w:rsidP="00C85D0F">
            <w:pPr>
              <w:pStyle w:val="EPName"/>
            </w:pPr>
            <w:bookmarkStart w:id="0" w:name="_GoBack"/>
            <w:bookmarkEnd w:id="0"/>
            <w:r w:rsidRPr="001D6200">
              <w:t>Европейски парламент</w:t>
            </w:r>
          </w:p>
          <w:p w:rsidR="008F5EFB" w:rsidRPr="001D6200" w:rsidRDefault="002C1F91" w:rsidP="002C1F91">
            <w:pPr>
              <w:pStyle w:val="EPTerm"/>
            </w:pPr>
            <w:r w:rsidRPr="001D6200">
              <w:t>2019-2024</w:t>
            </w:r>
          </w:p>
        </w:tc>
        <w:tc>
          <w:tcPr>
            <w:tcW w:w="2268" w:type="dxa"/>
            <w:shd w:val="clear" w:color="auto" w:fill="auto"/>
          </w:tcPr>
          <w:p w:rsidR="008F5EFB" w:rsidRPr="001D6200" w:rsidRDefault="008F5EFB" w:rsidP="00C85D0F">
            <w:pPr>
              <w:pStyle w:val="EPLogo"/>
            </w:pPr>
            <w:r w:rsidRPr="001D6200"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1D6200" w:rsidRDefault="00E53167" w:rsidP="00E53167">
      <w:pPr>
        <w:pStyle w:val="LineTop"/>
      </w:pPr>
    </w:p>
    <w:p w:rsidR="00E53167" w:rsidRPr="001D6200" w:rsidRDefault="002C1F91" w:rsidP="00E53167">
      <w:pPr>
        <w:pStyle w:val="EPBody"/>
      </w:pPr>
      <w:r w:rsidRPr="001D6200">
        <w:rPr>
          <w:rStyle w:val="HideTWBInt"/>
        </w:rPr>
        <w:t>{LIBE}</w:t>
      </w:r>
      <w:r w:rsidRPr="001D6200">
        <w:t>Комисия по граждански свободи, правосъдие и вътрешни работи</w:t>
      </w:r>
    </w:p>
    <w:p w:rsidR="00094DDA" w:rsidRPr="001D6200" w:rsidRDefault="00094DDA" w:rsidP="00094DDA">
      <w:pPr>
        <w:pStyle w:val="LineBottom"/>
      </w:pPr>
    </w:p>
    <w:p w:rsidR="00094DDA" w:rsidRPr="001D6200" w:rsidRDefault="00094DDA" w:rsidP="00094DDA">
      <w:pPr>
        <w:pStyle w:val="CoverReference"/>
      </w:pPr>
      <w:r w:rsidRPr="001D6200">
        <w:rPr>
          <w:rStyle w:val="HideTWBExt"/>
          <w:b w:val="0"/>
          <w:noProof w:val="0"/>
        </w:rPr>
        <w:t>&lt;NoDocSe&gt;</w:t>
      </w:r>
      <w:r w:rsidRPr="001D6200">
        <w:t>2020/2717(RSP)</w:t>
      </w:r>
      <w:r w:rsidRPr="001D6200">
        <w:rPr>
          <w:rStyle w:val="HideTWBExt"/>
          <w:b w:val="0"/>
          <w:noProof w:val="0"/>
        </w:rPr>
        <w:t>&lt;/NoDocSe&gt;</w:t>
      </w:r>
    </w:p>
    <w:p w:rsidR="00094DDA" w:rsidRPr="001D6200" w:rsidRDefault="00094DDA" w:rsidP="00094DDA">
      <w:pPr>
        <w:pStyle w:val="CoverDate"/>
      </w:pPr>
      <w:r w:rsidRPr="001D6200">
        <w:rPr>
          <w:rStyle w:val="HideTWBExt"/>
          <w:noProof w:val="0"/>
        </w:rPr>
        <w:t>&lt;Date&gt;</w:t>
      </w:r>
      <w:r w:rsidRPr="001D6200">
        <w:t>...</w:t>
      </w:r>
      <w:r w:rsidRPr="001D6200">
        <w:rPr>
          <w:rStyle w:val="HideTWBExt"/>
          <w:noProof w:val="0"/>
        </w:rPr>
        <w:t>&lt;/Date&gt;</w:t>
      </w:r>
    </w:p>
    <w:p w:rsidR="00814BC6" w:rsidRPr="001D6200" w:rsidRDefault="00814BC6">
      <w:pPr>
        <w:pStyle w:val="CoverDocType24a"/>
      </w:pPr>
      <w:r w:rsidRPr="001D6200">
        <w:rPr>
          <w:rStyle w:val="HideTWBExt"/>
          <w:b w:val="0"/>
          <w:noProof w:val="0"/>
        </w:rPr>
        <w:t>&lt;TitreType&gt;</w:t>
      </w:r>
      <w:r w:rsidRPr="001D6200">
        <w:t>ПРОЕКТ НА ПРЕДЛОЖЕНИЕ ЗА РЕЗОЛЮЦИЯ</w:t>
      </w:r>
      <w:r w:rsidRPr="001D6200">
        <w:rPr>
          <w:rStyle w:val="HideTWBExt"/>
          <w:b w:val="0"/>
          <w:noProof w:val="0"/>
        </w:rPr>
        <w:t>&lt;/TitreType&gt;</w:t>
      </w:r>
    </w:p>
    <w:p w:rsidR="00814BC6" w:rsidRPr="001D6200" w:rsidRDefault="00814BC6">
      <w:pPr>
        <w:pStyle w:val="CoverNormal12a"/>
      </w:pPr>
      <w:r w:rsidRPr="001D6200">
        <w:rPr>
          <w:rStyle w:val="HideTWBExt"/>
          <w:noProof w:val="0"/>
        </w:rPr>
        <w:t>&lt;TitreSuite&gt;</w:t>
      </w:r>
      <w:r w:rsidRPr="001D6200">
        <w:t>за приключване на разисквания по изявление на Комисията</w:t>
      </w:r>
      <w:r w:rsidRPr="001D6200">
        <w:rPr>
          <w:rStyle w:val="HideTWBExt"/>
          <w:noProof w:val="0"/>
        </w:rPr>
        <w:t>&lt;/TitreSuite&gt;</w:t>
      </w:r>
    </w:p>
    <w:p w:rsidR="00814BC6" w:rsidRPr="001D6200" w:rsidRDefault="00814BC6">
      <w:pPr>
        <w:pStyle w:val="CoverNormal12a"/>
      </w:pPr>
      <w:r w:rsidRPr="001D6200">
        <w:rPr>
          <w:rStyle w:val="HideTWBExt"/>
          <w:noProof w:val="0"/>
        </w:rPr>
        <w:t>&lt;TitreRecueil&gt;</w:t>
      </w:r>
      <w:r w:rsidRPr="001D6200">
        <w:t>внесен съгласно член 132, параграф 2 от Правилника за дейността</w:t>
      </w:r>
      <w:r w:rsidRPr="001D6200">
        <w:rPr>
          <w:rStyle w:val="HideTWBExt"/>
          <w:noProof w:val="0"/>
        </w:rPr>
        <w:t>&lt;/TitreRecueil&gt;</w:t>
      </w:r>
    </w:p>
    <w:p w:rsidR="00C23264" w:rsidRPr="001D6200" w:rsidRDefault="00C23264" w:rsidP="00C23264">
      <w:pPr>
        <w:pStyle w:val="CoverNormal"/>
      </w:pPr>
      <w:r w:rsidRPr="001D6200">
        <w:rPr>
          <w:rStyle w:val="HideTWBExt"/>
          <w:noProof w:val="0"/>
        </w:rPr>
        <w:t>&lt;Titre&gt;</w:t>
      </w:r>
      <w:r w:rsidRPr="001D6200">
        <w:t>относно доклада на Комисията за оценка на изпълнението на Общия регламент относно защитата на данните две години след неговото прилагане</w:t>
      </w:r>
      <w:r w:rsidRPr="001D6200">
        <w:rPr>
          <w:rStyle w:val="HideTWBExt"/>
          <w:noProof w:val="0"/>
        </w:rPr>
        <w:t>&lt;/Titre&gt;</w:t>
      </w:r>
    </w:p>
    <w:p w:rsidR="00C23264" w:rsidRPr="001D6200" w:rsidRDefault="00C23264" w:rsidP="00C23264">
      <w:pPr>
        <w:pStyle w:val="CoverNormal24a"/>
      </w:pPr>
      <w:r w:rsidRPr="001D6200">
        <w:rPr>
          <w:rStyle w:val="HideTWBExt"/>
          <w:noProof w:val="0"/>
        </w:rPr>
        <w:t>&lt;DocRef&gt;</w:t>
      </w:r>
      <w:r w:rsidRPr="001D6200">
        <w:t>(2020/2717(RSP))</w:t>
      </w:r>
      <w:r w:rsidRPr="001D6200">
        <w:rPr>
          <w:rStyle w:val="HideTWBExt"/>
          <w:noProof w:val="0"/>
        </w:rPr>
        <w:t>&lt;/DocRef&gt;</w:t>
      </w:r>
    </w:p>
    <w:p w:rsidR="002574AA" w:rsidRPr="001D6200" w:rsidRDefault="002574AA" w:rsidP="002574AA">
      <w:pPr>
        <w:pStyle w:val="CoverBold"/>
      </w:pPr>
      <w:r w:rsidRPr="001D6200">
        <w:rPr>
          <w:rStyle w:val="HideTWBExt"/>
          <w:b w:val="0"/>
          <w:noProof w:val="0"/>
        </w:rPr>
        <w:t>&lt;RepeatBlock-By&gt;&lt;Depute&gt;</w:t>
      </w:r>
      <w:r w:rsidRPr="001D6200">
        <w:t>Хуан Фернандо Лопес Агилар</w:t>
      </w:r>
      <w:r w:rsidRPr="001D6200">
        <w:rPr>
          <w:rStyle w:val="HideTWBExt"/>
          <w:b w:val="0"/>
          <w:noProof w:val="0"/>
          <w:color w:val="auto"/>
        </w:rPr>
        <w:t>&lt;/Depute&gt;</w:t>
      </w:r>
    </w:p>
    <w:p w:rsidR="002574AA" w:rsidRPr="001D6200" w:rsidRDefault="002574AA" w:rsidP="002574AA">
      <w:pPr>
        <w:pStyle w:val="CoverNormal"/>
      </w:pPr>
      <w:r w:rsidRPr="001D6200">
        <w:rPr>
          <w:rStyle w:val="HideTWBExt"/>
          <w:noProof w:val="0"/>
        </w:rPr>
        <w:t>&lt;Commission&gt;</w:t>
      </w:r>
      <w:r w:rsidRPr="001D6200">
        <w:rPr>
          <w:rStyle w:val="HideTWBInt"/>
        </w:rPr>
        <w:t>{LIBE}</w:t>
      </w:r>
      <w:r w:rsidRPr="001D6200">
        <w:t>от името на комисията по граждански свободи, правосъдие и вътрешни работи</w:t>
      </w:r>
      <w:r w:rsidRPr="001D6200">
        <w:rPr>
          <w:rStyle w:val="HideTWBExt"/>
          <w:noProof w:val="0"/>
        </w:rPr>
        <w:t>&lt;/Commission&gt;</w:t>
      </w:r>
    </w:p>
    <w:p w:rsidR="002574AA" w:rsidRPr="001D6200" w:rsidRDefault="002574AA" w:rsidP="002574AA">
      <w:pPr>
        <w:pStyle w:val="CoverNormal"/>
      </w:pPr>
      <w:r w:rsidRPr="001D6200">
        <w:rPr>
          <w:rStyle w:val="HideTWBExt"/>
          <w:noProof w:val="0"/>
        </w:rPr>
        <w:t>&lt;/RepeatBlock-By&gt;</w:t>
      </w:r>
    </w:p>
    <w:p w:rsidR="00814BC6" w:rsidRPr="001D6200" w:rsidRDefault="00814BC6">
      <w:pPr>
        <w:pStyle w:val="NormalBold12a"/>
      </w:pPr>
      <w:r w:rsidRPr="001D6200">
        <w:br w:type="page"/>
      </w:r>
      <w:r w:rsidRPr="001D6200">
        <w:lastRenderedPageBreak/>
        <w:t>B9</w:t>
      </w:r>
      <w:r w:rsidRPr="001D6200">
        <w:noBreakHyphen/>
        <w:t>0000/2020</w:t>
      </w:r>
    </w:p>
    <w:p w:rsidR="00C23264" w:rsidRPr="001D6200" w:rsidRDefault="00674856" w:rsidP="00C23264">
      <w:pPr>
        <w:pStyle w:val="NormalBold"/>
      </w:pPr>
      <w:r w:rsidRPr="001D6200">
        <w:t>Резолюция на Европейския парламент относно доклада на Комисията за оценка на изпълнението на Общия регламент относно защитата на данните две години след неговото прилагане</w:t>
      </w:r>
    </w:p>
    <w:p w:rsidR="00C23264" w:rsidRPr="001D6200" w:rsidRDefault="00674856" w:rsidP="00DF7943">
      <w:pPr>
        <w:pStyle w:val="NormalBold"/>
      </w:pPr>
      <w:r w:rsidRPr="001D6200">
        <w:t>(2020/2717(RSP))</w:t>
      </w:r>
    </w:p>
    <w:p w:rsidR="00814BC6" w:rsidRPr="001D6200" w:rsidRDefault="00674856">
      <w:pPr>
        <w:pStyle w:val="EPComma"/>
      </w:pPr>
      <w:r w:rsidRPr="001D6200">
        <w:rPr>
          <w:i/>
        </w:rPr>
        <w:t>Европейският парламент</w:t>
      </w:r>
      <w:r w:rsidRPr="001D6200">
        <w:t>,</w:t>
      </w:r>
    </w:p>
    <w:p w:rsidR="002C1F91" w:rsidRPr="001D6200" w:rsidRDefault="00814BC6" w:rsidP="00FD65B9">
      <w:pPr>
        <w:widowControl/>
        <w:ind w:left="567" w:hanging="567"/>
        <w:rPr>
          <w:szCs w:val="24"/>
        </w:rPr>
      </w:pPr>
      <w:r w:rsidRPr="001D6200">
        <w:t>–</w:t>
      </w:r>
      <w:r w:rsidRPr="001D6200">
        <w:tab/>
        <w:t>като взе предвид Регламент (ЕС) 2016/679 на Европейския парламент и на Съвета от 24 април 2016 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="002C1F91" w:rsidRPr="001D6200">
        <w:rPr>
          <w:rStyle w:val="FootnoteReference"/>
        </w:rPr>
        <w:footnoteReference w:id="1"/>
      </w:r>
      <w:r w:rsidRPr="001D6200">
        <w:t xml:space="preserve">, </w:t>
      </w:r>
    </w:p>
    <w:p w:rsidR="002C1F91" w:rsidRPr="001D6200" w:rsidRDefault="00CC09D8" w:rsidP="00FD65B9">
      <w:pPr>
        <w:widowControl/>
        <w:spacing w:before="240"/>
        <w:ind w:left="567" w:hanging="567"/>
        <w:rPr>
          <w:szCs w:val="24"/>
        </w:rPr>
      </w:pPr>
      <w:r w:rsidRPr="001D6200">
        <w:t>–</w:t>
      </w:r>
      <w:r w:rsidRPr="001D6200">
        <w:tab/>
        <w:t>като взе предвид изявлението на Комисията от 24 юни 2020 г. относно съобщението на Комисията до Европейския парламент и Съвета относно защитата на данните като стълб на оправомощаването на гражданите и на подхода на ЕС по отношение на цифровия преход – две години от прилагането на Общия регламент относно защитата на данните</w:t>
      </w:r>
      <w:r w:rsidR="002C1F91" w:rsidRPr="001D6200">
        <w:rPr>
          <w:rStyle w:val="FootnoteReference"/>
        </w:rPr>
        <w:footnoteReference w:id="2"/>
      </w:r>
      <w:r w:rsidRPr="001D6200">
        <w:t xml:space="preserve">, </w:t>
      </w:r>
    </w:p>
    <w:p w:rsidR="002C1F91" w:rsidRPr="001D6200" w:rsidRDefault="002C1F91" w:rsidP="00FD65B9">
      <w:pPr>
        <w:widowControl/>
        <w:spacing w:before="240"/>
        <w:ind w:left="567" w:hanging="567"/>
        <w:rPr>
          <w:szCs w:val="24"/>
        </w:rPr>
      </w:pPr>
      <w:r w:rsidRPr="001D6200">
        <w:t>–</w:t>
      </w:r>
      <w:r w:rsidRPr="001D6200">
        <w:tab/>
        <w:t>като взе предвид съобщението на Комисията от 24 юни 2020 г. до Европейския парламент и Съвета относно защитата на данните като стълб на оправомощаването на гражданите и на подхода на ЕС по отношение на цифровия преход – две години от прилагането на Общия регламент относно защитата на данните</w:t>
      </w:r>
      <w:r w:rsidRPr="001D6200">
        <w:rPr>
          <w:rStyle w:val="FootnoteReference"/>
        </w:rPr>
        <w:footnoteReference w:id="3"/>
      </w:r>
      <w:r w:rsidRPr="001D6200">
        <w:t xml:space="preserve">, </w:t>
      </w:r>
    </w:p>
    <w:p w:rsidR="00ED22B8" w:rsidRPr="001D6200" w:rsidRDefault="00ED22B8" w:rsidP="00FD65B9">
      <w:pPr>
        <w:pStyle w:val="NormalHanging12a"/>
        <w:spacing w:before="240"/>
      </w:pPr>
      <w:r w:rsidRPr="001D6200">
        <w:t>–</w:t>
      </w:r>
      <w:r w:rsidRPr="001D6200">
        <w:tab/>
        <w:t>като взе предвид член 132, параграф 2 от своя Правилник за дейността,</w:t>
      </w:r>
    </w:p>
    <w:p w:rsidR="00780A7D" w:rsidRPr="001D6200" w:rsidRDefault="00780A7D" w:rsidP="00FD65B9">
      <w:pPr>
        <w:pStyle w:val="NormalHanging12a"/>
      </w:pPr>
      <w:r w:rsidRPr="001D6200">
        <w:t>–</w:t>
      </w:r>
      <w:r w:rsidRPr="001D6200">
        <w:tab/>
        <w:t>като взе предвид предложението за резолюция на комисията по граждански свободи, правосъдие и вътрешни работи,</w:t>
      </w:r>
    </w:p>
    <w:p w:rsidR="00814BC6" w:rsidRPr="001D6200" w:rsidRDefault="002C1F91" w:rsidP="002C1F91">
      <w:pPr>
        <w:pStyle w:val="NormalHanging12a"/>
        <w:ind w:hanging="566"/>
      </w:pPr>
      <w:r w:rsidRPr="001D6200">
        <w:t>А.</w:t>
      </w:r>
      <w:r w:rsidRPr="001D6200">
        <w:tab/>
        <w:t>като има предвид, че Общият регламент относно защитата на данните се прилага от 25 май 2018 г.; като има предвид, че с изключение на Словения всички държави членки приеха ново законодателство или адаптираха националното си законодателство за защита на данните;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Б.</w:t>
      </w:r>
      <w:r w:rsidRPr="001D6200">
        <w:tab/>
        <w:t>като има предвид, че от началото на прилагането на Общия регламент относно защитата на данните надзорните органи отчитат значително увеличение на броя на жалбите; като има предвид, че това показва, че субектите на данни са запознати по-добре с правата си и искат да защитят личните си данни в съответствие с Общия регламент относно защитата на данните; като има предвид, че това показва също, че продължават да се извършват голям брой незаконни операции по обработване на данни;</w:t>
      </w:r>
    </w:p>
    <w:p w:rsidR="002C1F91" w:rsidRPr="001D6200" w:rsidRDefault="002C1F91" w:rsidP="002C1F91">
      <w:pPr>
        <w:pStyle w:val="NormalHanging12a"/>
        <w:ind w:left="1" w:firstLine="0"/>
        <w:rPr>
          <w:b/>
          <w:i/>
        </w:rPr>
      </w:pPr>
      <w:r w:rsidRPr="001D6200">
        <w:rPr>
          <w:b/>
          <w:i/>
        </w:rPr>
        <w:lastRenderedPageBreak/>
        <w:t>ОБЩИ ЗАБЕЛЕЖКИ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1.</w:t>
      </w:r>
      <w:r w:rsidRPr="001D6200">
        <w:tab/>
        <w:t>приветства факта, че Общият регламент относно защитата на данните се наложи като общ стандарт в областта на защитата на личните данни и допринася за сближаването при разработването на норми; приветства факта, че Общият регламент относно защитата на данните постави ЕС на челно място в международните разисквания относно защитата на данните и че редица трети държави съгласуваха своето законодателство в областта на защитата на данните с Общия регламент относно защитата на данните;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2.</w:t>
      </w:r>
      <w:r w:rsidRPr="001D6200">
        <w:tab/>
        <w:t>заключава, че две години след като започна прилагането на Общия регламент относно защитата на данните той се оценява като цялостно успешен, и изразява съгласие с Европейската комисия, че на този етап не е необходимо да се актуализира или преразглежда законодателството;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3.</w:t>
      </w:r>
      <w:r w:rsidRPr="001D6200">
        <w:tab/>
        <w:t>потвърждава, че през следващите години трябва да продължи да се поставя акцент върху подобряването на изпълнението и върху действията за укрепване на Общия регламент относно защитата на данните;</w:t>
      </w:r>
    </w:p>
    <w:p w:rsidR="002C1F91" w:rsidRPr="001D6200" w:rsidRDefault="00FD65B9" w:rsidP="002C1F91">
      <w:pPr>
        <w:pStyle w:val="NormalHanging12a"/>
        <w:ind w:hanging="566"/>
      </w:pPr>
      <w:r w:rsidRPr="001D6200">
        <w:t>4.</w:t>
      </w:r>
      <w:r w:rsidRPr="001D6200">
        <w:tab/>
        <w:t>потвърждава необходимостта от стабилно и ефективно прилагане на Общия регламент относно защитата на данните по отношение на големите цифрови платформи и интегрираните дружества, включително в области като онлайн рекламата и микротаргетирането;</w:t>
      </w:r>
    </w:p>
    <w:p w:rsidR="002C1F91" w:rsidRPr="001D6200" w:rsidRDefault="002C1F91" w:rsidP="002C1F91">
      <w:pPr>
        <w:spacing w:after="240"/>
        <w:rPr>
          <w:rFonts w:eastAsia="DejaVu Sans"/>
          <w:kern w:val="2"/>
        </w:rPr>
      </w:pPr>
      <w:r w:rsidRPr="001D6200">
        <w:rPr>
          <w:b/>
          <w:i/>
        </w:rPr>
        <w:t>ПРАВНО ОСНОВАНИЕ ЗА ОБРАБОТВАНЕТО</w:t>
      </w:r>
    </w:p>
    <w:p w:rsidR="002C1F91" w:rsidRPr="001D6200" w:rsidRDefault="00FD65B9" w:rsidP="002C1F91">
      <w:pPr>
        <w:pStyle w:val="NormalHanging12a"/>
        <w:ind w:hanging="566"/>
      </w:pPr>
      <w:r w:rsidRPr="001D6200">
        <w:t>5.</w:t>
      </w:r>
      <w:r w:rsidRPr="001D6200">
        <w:tab/>
        <w:t>припомня, че от началото на прилагането на Общия регламент относно защитата на данните „съгласие“ означава всяко свободно изразено, конкретно, информирано и недвусмислено указание за волята на субекта на данните, и подчертава, че това се отнася и за Директивата за правото на неприкосновеност на личния живот и електронни комуникации; отбелязва, че въвеждането на валидно съгласие продължава да бъде възпрепятствано от използването на „неясни модели“, проследяването за търговски цели и други неетични практики; изразява загриженост, че физическите лица често са подложени на икономически натиск да дадат съгласие в замяна на отстъпки или други търговски оферти или са принудени да дадат съгласие поради поставянето на достъпа до услуга в зависимост от обвързващи разпоредби, в нарушение на член 7 от Общия регламент относно защитата на данните;</w:t>
      </w:r>
    </w:p>
    <w:p w:rsidR="002C1F91" w:rsidRPr="001D6200" w:rsidRDefault="002C1F91" w:rsidP="002C1F91">
      <w:pPr>
        <w:spacing w:after="240"/>
        <w:rPr>
          <w:rFonts w:eastAsia="DejaVu Sans"/>
          <w:b/>
          <w:i/>
          <w:kern w:val="2"/>
        </w:rPr>
      </w:pPr>
      <w:r w:rsidRPr="001D6200">
        <w:rPr>
          <w:b/>
          <w:i/>
        </w:rPr>
        <w:t>ПРАВА НА СУБЕКТИТЕ НА ДАННИ</w:t>
      </w:r>
    </w:p>
    <w:p w:rsidR="002C1F91" w:rsidRPr="001D6200" w:rsidRDefault="00FD65B9" w:rsidP="002C1F91">
      <w:pPr>
        <w:pStyle w:val="NormalHanging12a"/>
        <w:ind w:hanging="566"/>
      </w:pPr>
      <w:r w:rsidRPr="001D6200">
        <w:t>6.</w:t>
      </w:r>
      <w:r w:rsidRPr="001D6200">
        <w:tab/>
        <w:t>подчертава, че е необходимо да се улесни упражняването на правата на личността, уредени в Общия регламент относно защитата на данните, като преносимостта на данните или правата в контекста на автоматизираното обработване, включително профилирането; призовава Европейския комитет по защита на данните да изготви допълнителни насоки относно автоматизираното вземане на решения;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МАЛКИ ПРЕДПРИЯТИЯ И ОРГАНИЗАЦИИ</w:t>
      </w:r>
    </w:p>
    <w:p w:rsidR="002C1F91" w:rsidRPr="001D6200" w:rsidRDefault="00FD65B9" w:rsidP="002C1F91">
      <w:pPr>
        <w:pStyle w:val="NormalHanging12a"/>
        <w:ind w:hanging="566"/>
      </w:pPr>
      <w:r w:rsidRPr="001D6200">
        <w:lastRenderedPageBreak/>
        <w:t>7.</w:t>
      </w:r>
      <w:r w:rsidRPr="001D6200">
        <w:tab/>
        <w:t>отбелязва, че някои заинтересовани страни съобщават, че прилагането на Общия регламент относно защитата на данните е трудно, особено за малките и средните предприятия (МСП);</w:t>
      </w:r>
    </w:p>
    <w:p w:rsidR="002C1F91" w:rsidRPr="001D6200" w:rsidRDefault="00FD65B9" w:rsidP="002C1F91">
      <w:pPr>
        <w:pStyle w:val="NormalHanging12a"/>
        <w:ind w:hanging="566"/>
      </w:pPr>
      <w:r w:rsidRPr="001D6200">
        <w:t>8.</w:t>
      </w:r>
      <w:r w:rsidRPr="001D6200">
        <w:tab/>
        <w:t>посочва, че не следва да има дерогация за МСП; призовава Европейския комитет по защита на данните да осигури практически инструменти за улесняване на прилагането на Общия регламент относно защитата на данните от страна на МСП с нискорискови дейности по обработване на данни;</w:t>
      </w:r>
    </w:p>
    <w:p w:rsidR="002C1F91" w:rsidRPr="001D6200" w:rsidRDefault="002C1F91" w:rsidP="002C1F91">
      <w:pPr>
        <w:pStyle w:val="NormalHanging12a"/>
        <w:spacing w:before="240"/>
        <w:ind w:left="1" w:firstLine="0"/>
      </w:pPr>
      <w:r w:rsidRPr="001D6200">
        <w:rPr>
          <w:b/>
          <w:i/>
        </w:rPr>
        <w:t>ПРИЛАГАНЕ</w:t>
      </w:r>
    </w:p>
    <w:p w:rsidR="002C1F91" w:rsidRPr="001D6200" w:rsidRDefault="00FD65B9" w:rsidP="002C1F91">
      <w:pPr>
        <w:pStyle w:val="NormalHanging12a"/>
        <w:ind w:hanging="566"/>
      </w:pPr>
      <w:r w:rsidRPr="001D6200">
        <w:t>9.</w:t>
      </w:r>
      <w:r w:rsidRPr="001D6200">
        <w:tab/>
        <w:t>изразява загриженост във връзка с неравномерното прилагане на Общия регламент относно защитата на данните от страна на националните органи за защита на данните;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10.</w:t>
      </w:r>
      <w:r w:rsidRPr="001D6200">
        <w:tab/>
        <w:t>отбелязва, че от началото на прилагането на Общия регламент относно защитата на данните, въпреки че бяха наложени значителни глоби в няколко случая на сериозни нарушения, възможностите, предлагани в това отношение от Общия регламент относно защитата на данните, далеч не бяха използвани в пълна степен и имаше противоречия в строгостта на санкциите, прилагани в държавите членки;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11.</w:t>
      </w:r>
      <w:r w:rsidRPr="001D6200">
        <w:tab/>
        <w:t>изразява загриженост във връзка с продължителността на разследването на случаи от страна на някои органи за защита на данните и свързаното с това неблагоприятно въздействие върху ефективното прилагане и върху доверието на гражданите; настоятелно призовава органите за защита на данните да ускорят вземането на решения по случаите и да използват всички механизми, които им предоставя Общият регламент относно защитата на данните, включително прибягване до временно или окончателно ограничаване или забрана за обработване;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12.</w:t>
      </w:r>
      <w:r w:rsidRPr="001D6200">
        <w:tab/>
        <w:t>изразява съжаление, че органите за защита на данните на 21 държави членки изрично са заявили, че не разполагат с достатъчно човешки, технически и финансови ресурси, за да изпълняват ефективно своите задачи и да упражняват правомощията си; настоятелно призовава Европейската комисия да предприеме подходящи мерки, включително чрез незабавно започване на производства за установяване на неизпълнение на задължения срещу държавите членки, които не са изпълнили това задължение;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13.</w:t>
      </w:r>
      <w:r w:rsidRPr="001D6200">
        <w:tab/>
        <w:t>изразява съжаление, че по отношение на колективната защита по-голямата част от държавите членки решиха да не прилагат член 80, параграф 2 от Общия регламент относно защитата на данните; призовава всички държави членки да се възползват от член 80, параграф 2;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СЪТРУДНИЧЕСТВО И СЪГЛАСУВАНОСТ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14.</w:t>
      </w:r>
      <w:r w:rsidRPr="001D6200">
        <w:tab/>
        <w:t xml:space="preserve">посочва, че слабото прилагане е особено очевидно при трансграничните жалби, тоест по отношение на механизмите за сътрудничество и съгласуваност; призовава Европейския комитет по защита на данните да увеличи усилията си за обезпечаване на правилното прилагане на членове 60 и 63 от Общия регламент </w:t>
      </w:r>
      <w:r w:rsidRPr="001D6200">
        <w:lastRenderedPageBreak/>
        <w:t>относно защитата на данните и да използва процедурата по спешност съгласно член 66 от Общия регламент относно защитата на данните;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15.</w:t>
      </w:r>
      <w:r w:rsidRPr="001D6200">
        <w:tab/>
        <w:t>констатира несъответствия между националните насоки и насоките на Европейския комитет по защита на данните;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16.</w:t>
      </w:r>
      <w:r w:rsidRPr="001D6200">
        <w:tab/>
        <w:t>призовава всички държави членки да предвидят специфична подкрепа за субектите на данни или за представляващите ги организации, когато са страна по трансгранични жалби; посочва, че високите процедурни разходи, свързани с упражняването на правата на субектите на данни, могат да имат възпиращо действие; призовава държавите членки да ограничат тези разходи в националните си административно-процесуални закони;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РАЗПОКЪСАНОСТ НА ПРИЛАГАНЕТО НА ОБЩИЯ РЕГЛАМЕНТ ОТНОСНО ЗАЩИТАТА НА ДАННИТЕ</w:t>
      </w:r>
    </w:p>
    <w:p w:rsidR="002C1F91" w:rsidRPr="001D6200" w:rsidRDefault="002C1F91" w:rsidP="002C1F91">
      <w:pPr>
        <w:pStyle w:val="NormalHanging12a"/>
        <w:ind w:hanging="566"/>
      </w:pPr>
      <w:r w:rsidRPr="001D6200">
        <w:t>17.</w:t>
      </w:r>
      <w:r w:rsidRPr="001D6200">
        <w:tab/>
        <w:t>наблюдава известна степен на разпокъсаност, която се дължи най-вече на широкото използване на факултативни клаузи за спецификация; изразява загриженост, че действието на Общия регламент относно защитата на данните е възпрепятствано от начина, по който държавите членки прилагат тези дерогации по отношение на спецификациите (напр. възрастта на децата при даване на съгласие);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ЗАЩИТА НА ДАННИТЕ НА ЕТАПА НА ПРОЕКТИРАНЕТО</w:t>
      </w:r>
    </w:p>
    <w:p w:rsidR="002C1F91" w:rsidRPr="001D6200" w:rsidRDefault="00E403A7" w:rsidP="002C1F91">
      <w:pPr>
        <w:pStyle w:val="NormalHanging12a"/>
        <w:ind w:hanging="566"/>
      </w:pPr>
      <w:r w:rsidRPr="001D6200">
        <w:t>18.</w:t>
      </w:r>
      <w:r w:rsidRPr="001D6200">
        <w:tab/>
        <w:t>призовава надзорните органи да направят оценка на прилагането на член 25 относно защитата на данните на етапа на проектирането и по подразбиране, по-специално с оглед на прилагането на принципите на свеждане на данните до минимум и на ограничаване в рамките на целта, в съответствие с насоките на Европейския комитет по защита на данните;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НАСОКИ</w:t>
      </w:r>
    </w:p>
    <w:p w:rsidR="002C1F91" w:rsidRPr="001D6200" w:rsidRDefault="00FD65B9" w:rsidP="002C1F91">
      <w:pPr>
        <w:pStyle w:val="NormalHanging12a"/>
        <w:ind w:hanging="566"/>
      </w:pPr>
      <w:r w:rsidRPr="001D6200">
        <w:t>19.</w:t>
      </w:r>
      <w:r w:rsidRPr="001D6200">
        <w:tab/>
        <w:t>призовава Европейския комитет по защита на данните да разработи стандарти и насоки, които помагат за практическото прилагане на изискванията за защита на данните, наред с другото за оценките на въздействието върху защитата на данните (член 35), информацията, предоставяна на субектите на данни (членове 12, 13 и 14), упражняването на правата на субектите на данни (членове 15 – 18, 20 и 21) и регистрите на дейностите по обработване (член 30);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МЕЖДУНАРОДНИ ПОТОЦИ ОТ ЛИЧНИ ДАННИ И СЪТРУДНИЧЕСТВО</w:t>
      </w:r>
    </w:p>
    <w:p w:rsidR="002C1F91" w:rsidRPr="001D6200" w:rsidRDefault="00E403A7" w:rsidP="002C1F91">
      <w:pPr>
        <w:pStyle w:val="NormalHanging12a"/>
        <w:ind w:hanging="566"/>
      </w:pPr>
      <w:r w:rsidRPr="001D6200">
        <w:t>20.</w:t>
      </w:r>
      <w:r w:rsidRPr="001D6200">
        <w:tab/>
        <w:t>подчертава, че е важно да се създадат условия за свободното движение на лични данни на международно равнище, без да се понижава нивото на защита, обезпечавано от Общия регламент относно защитата на данните; подкрепя практиката на Европейската комисия да разглежда защитата на данните и потоците от лични данни отделно от търговските споразумения;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21.</w:t>
      </w:r>
      <w:r w:rsidRPr="001D6200">
        <w:tab/>
        <w:t xml:space="preserve">подчертава, че решенията относно адекватното ниво на защита не следва да бъдат </w:t>
      </w:r>
      <w:r w:rsidRPr="001D6200">
        <w:lastRenderedPageBreak/>
        <w:t>политически, а правни решения;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22.</w:t>
      </w:r>
      <w:r w:rsidRPr="001D6200">
        <w:tab/>
        <w:t>призовава Европейската комисия да публикува набора от критерии, използвани за определяне на това дали се счита, че дадена трета държава предоставя ниво на защита, което „по същество е равностойно“ на нивото на защита в ЕС, особено по отношение на достъпа до средства за правна защита и достъпа на правителствата до данните;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23.</w:t>
      </w:r>
      <w:r w:rsidRPr="001D6200">
        <w:tab/>
        <w:t>отново заявява, че програмите за масово наблюдение, които обхващат събирането на масиви от данни, възпрепятстват решенията за адекватност на защитата;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24.</w:t>
      </w:r>
      <w:r w:rsidRPr="001D6200">
        <w:tab/>
        <w:t>призовава органите за защита на данните систематично да оценяват дали правилата за защита на данните се прилагат на практика в третите държави, в съответствие със съдебната практика на Съда;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25.</w:t>
      </w:r>
      <w:r w:rsidRPr="001D6200">
        <w:tab/>
        <w:t>настоятелно призовава Комисията да публикува без ненужно забавяне своя преглед на решенията относно адекватното ниво на защита, приети съгласно Директивата от 1995 г.;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БЪДЕЩО ЗАКОНОДАТЕЛСТВО НА СЪЮЗА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26.</w:t>
      </w:r>
      <w:r w:rsidRPr="001D6200">
        <w:tab/>
        <w:t>припомня на Комисията нейното задължение да гарантира, че мерките, които ще бъдат представени в предстоящите законодателни предложения, по-специално относно управлението на данните, законодателния акт за данните, законодателния акт за цифровите услуги, изкуствения интелект, са в съответствие с Регламент (ЕС) 2016/679 (Общия регламент относно защитата на данните) и Директива (ЕС) 2016/680;</w:t>
      </w:r>
    </w:p>
    <w:p w:rsidR="002C1F91" w:rsidRPr="001D6200" w:rsidRDefault="002C1F91" w:rsidP="002C1F91">
      <w:pPr>
        <w:pStyle w:val="NormalHanging12a"/>
        <w:ind w:left="1" w:firstLine="0"/>
      </w:pPr>
      <w:r w:rsidRPr="001D6200">
        <w:rPr>
          <w:b/>
          <w:i/>
        </w:rPr>
        <w:t>Регламент за неприкосновеността на личния живот и електронните съобщения</w:t>
      </w:r>
    </w:p>
    <w:p w:rsidR="002C1F91" w:rsidRPr="001D6200" w:rsidRDefault="002C1F91" w:rsidP="002C1F91">
      <w:pPr>
        <w:pStyle w:val="NormalHanging12a"/>
        <w:ind w:hanging="566"/>
      </w:pPr>
      <w:r w:rsidRPr="001D6200">
        <w:t>27.</w:t>
      </w:r>
      <w:r w:rsidRPr="001D6200">
        <w:tab/>
        <w:t>изразява дълбока загриженост във връзка с неприлагането на Директивата за правото на неприкосновеност на личния живот и електронни комуникации от страна на държавите членки с оглед на промените, въведени с Общия регламент относно защитата на данните; призовава Комисията да ускори изготвянето на своята оценка и да започне производства за установяване на неизпълнение на задължения срещу държавите членки, които не са приложили правилно Директивата за правото на неприкосновеност на личния живот и електронни комуникации;</w:t>
      </w:r>
    </w:p>
    <w:p w:rsidR="00866D70" w:rsidRPr="001D6200" w:rsidRDefault="00FD65B9" w:rsidP="00F632FC">
      <w:pPr>
        <w:pStyle w:val="NormalHanging12a"/>
        <w:ind w:hanging="566"/>
      </w:pPr>
      <w:r w:rsidRPr="001D6200">
        <w:t>28.</w:t>
      </w:r>
      <w:r w:rsidRPr="001D6200">
        <w:tab/>
        <w:t>възлага на своя председател да предаде настоящата резолюция на Комисията, Европейския съвет, правителствата и националните парламенти, Европейския комитет по защита на данните и Европейския надзорен орган по защита на данните.</w:t>
      </w:r>
    </w:p>
    <w:sectPr w:rsidR="00866D70" w:rsidRPr="001D6200" w:rsidSect="00B76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6" w:rsidRPr="00B768F3" w:rsidRDefault="00674856">
      <w:r w:rsidRPr="00B768F3">
        <w:separator/>
      </w:r>
    </w:p>
  </w:endnote>
  <w:endnote w:type="continuationSeparator" w:id="0">
    <w:p w:rsidR="00674856" w:rsidRPr="00B768F3" w:rsidRDefault="00674856">
      <w:r w:rsidRPr="00B768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F3" w:rsidRPr="00B768F3" w:rsidRDefault="00B768F3" w:rsidP="00B768F3">
    <w:pPr>
      <w:pStyle w:val="EPFooter"/>
    </w:pPr>
    <w:r w:rsidRPr="00B768F3">
      <w:t>PE</w:t>
    </w:r>
    <w:r w:rsidRPr="00B768F3">
      <w:rPr>
        <w:rStyle w:val="HideTWBExt"/>
        <w:noProof w:val="0"/>
      </w:rPr>
      <w:t>&lt;NoPE&gt;</w:t>
    </w:r>
    <w:r w:rsidRPr="00B768F3">
      <w:t>660.347</w:t>
    </w:r>
    <w:r w:rsidRPr="00B768F3">
      <w:rPr>
        <w:rStyle w:val="HideTWBExt"/>
        <w:noProof w:val="0"/>
      </w:rPr>
      <w:t>&lt;/NoPE&gt;&lt;Version&gt;</w:t>
    </w:r>
    <w:r w:rsidRPr="00B768F3">
      <w:t>v01-00</w:t>
    </w:r>
    <w:r w:rsidRPr="00B768F3">
      <w:rPr>
        <w:rStyle w:val="HideTWBExt"/>
        <w:noProof w:val="0"/>
      </w:rPr>
      <w:t>&lt;/Version&gt;</w:t>
    </w:r>
    <w:r w:rsidRPr="00B768F3">
      <w:tab/>
    </w:r>
    <w:r w:rsidRPr="00B768F3">
      <w:fldChar w:fldCharType="begin"/>
    </w:r>
    <w:r w:rsidRPr="00B768F3">
      <w:instrText xml:space="preserve"> PAGE  \* MERGEFORMAT </w:instrText>
    </w:r>
    <w:r w:rsidRPr="00B768F3">
      <w:fldChar w:fldCharType="separate"/>
    </w:r>
    <w:r w:rsidR="001D6200">
      <w:rPr>
        <w:noProof/>
      </w:rPr>
      <w:t>2</w:t>
    </w:r>
    <w:r w:rsidRPr="00B768F3">
      <w:fldChar w:fldCharType="end"/>
    </w:r>
    <w:r w:rsidRPr="00B768F3">
      <w:t>/</w:t>
    </w:r>
    <w:fldSimple w:instr=" NUMPAGES  \* MERGEFORMAT ">
      <w:r w:rsidR="001D6200">
        <w:rPr>
          <w:noProof/>
        </w:rPr>
        <w:t>6</w:t>
      </w:r>
    </w:fldSimple>
    <w:r w:rsidRPr="00B768F3">
      <w:tab/>
    </w:r>
    <w:r w:rsidRPr="00B768F3">
      <w:rPr>
        <w:rStyle w:val="HideTWBExt"/>
        <w:noProof w:val="0"/>
      </w:rPr>
      <w:t>&lt;PathFdR&gt;</w:t>
    </w:r>
    <w:r w:rsidRPr="00B768F3">
      <w:t>RE\1218403BG.docx</w:t>
    </w:r>
    <w:r w:rsidRPr="00B768F3">
      <w:rPr>
        <w:rStyle w:val="HideTWBExt"/>
        <w:noProof w:val="0"/>
      </w:rPr>
      <w:t>&lt;/PathFdR&gt;</w:t>
    </w:r>
  </w:p>
  <w:p w:rsidR="00A90219" w:rsidRPr="00B768F3" w:rsidRDefault="00B768F3" w:rsidP="00B768F3">
    <w:pPr>
      <w:pStyle w:val="EPFooter2"/>
    </w:pPr>
    <w:r w:rsidRPr="00B768F3"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F3" w:rsidRPr="00B768F3" w:rsidRDefault="00B768F3" w:rsidP="00B768F3">
    <w:pPr>
      <w:pStyle w:val="EPFooter"/>
    </w:pPr>
    <w:r w:rsidRPr="00B768F3">
      <w:rPr>
        <w:rStyle w:val="HideTWBExt"/>
        <w:noProof w:val="0"/>
      </w:rPr>
      <w:t>&lt;PathFdR&gt;</w:t>
    </w:r>
    <w:r w:rsidRPr="00B768F3">
      <w:t>RE\1218403BG.docx</w:t>
    </w:r>
    <w:r w:rsidRPr="00B768F3">
      <w:rPr>
        <w:rStyle w:val="HideTWBExt"/>
        <w:noProof w:val="0"/>
      </w:rPr>
      <w:t>&lt;/PathFdR&gt;</w:t>
    </w:r>
    <w:r w:rsidRPr="00B768F3">
      <w:tab/>
    </w:r>
    <w:r w:rsidRPr="00B768F3">
      <w:fldChar w:fldCharType="begin"/>
    </w:r>
    <w:r w:rsidRPr="00B768F3">
      <w:instrText xml:space="preserve"> PAGE  \* MERGEFORMAT </w:instrText>
    </w:r>
    <w:r w:rsidRPr="00B768F3">
      <w:fldChar w:fldCharType="separate"/>
    </w:r>
    <w:r w:rsidR="001D6200">
      <w:rPr>
        <w:noProof/>
      </w:rPr>
      <w:t>6</w:t>
    </w:r>
    <w:r w:rsidRPr="00B768F3">
      <w:fldChar w:fldCharType="end"/>
    </w:r>
    <w:r w:rsidRPr="00B768F3">
      <w:t>/</w:t>
    </w:r>
    <w:fldSimple w:instr=" NUMPAGES  \* MERGEFORMAT ">
      <w:r w:rsidR="001D6200">
        <w:rPr>
          <w:noProof/>
        </w:rPr>
        <w:t>6</w:t>
      </w:r>
    </w:fldSimple>
    <w:r w:rsidRPr="00B768F3">
      <w:tab/>
      <w:t>PE</w:t>
    </w:r>
    <w:r w:rsidRPr="00B768F3">
      <w:rPr>
        <w:rStyle w:val="HideTWBExt"/>
        <w:noProof w:val="0"/>
      </w:rPr>
      <w:t>&lt;NoPE&gt;</w:t>
    </w:r>
    <w:r w:rsidRPr="00B768F3">
      <w:t>660.347</w:t>
    </w:r>
    <w:r w:rsidRPr="00B768F3">
      <w:rPr>
        <w:rStyle w:val="HideTWBExt"/>
        <w:noProof w:val="0"/>
      </w:rPr>
      <w:t>&lt;/NoPE&gt;&lt;Version&gt;</w:t>
    </w:r>
    <w:r w:rsidRPr="00B768F3">
      <w:t>v01-00</w:t>
    </w:r>
    <w:r w:rsidRPr="00B768F3">
      <w:rPr>
        <w:rStyle w:val="HideTWBExt"/>
        <w:noProof w:val="0"/>
      </w:rPr>
      <w:t>&lt;/Version&gt;</w:t>
    </w:r>
  </w:p>
  <w:p w:rsidR="00A90219" w:rsidRPr="00B768F3" w:rsidRDefault="00B768F3" w:rsidP="00B768F3">
    <w:pPr>
      <w:pStyle w:val="EPFooter2"/>
    </w:pPr>
    <w:r w:rsidRPr="00B768F3">
      <w:tab/>
    </w:r>
    <w:r w:rsidRPr="00B768F3">
      <w:tab/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F3" w:rsidRPr="00B768F3" w:rsidRDefault="00B768F3" w:rsidP="00B768F3">
    <w:pPr>
      <w:pStyle w:val="EPFooter"/>
    </w:pPr>
    <w:r w:rsidRPr="00B768F3">
      <w:rPr>
        <w:rStyle w:val="HideTWBExt"/>
        <w:noProof w:val="0"/>
      </w:rPr>
      <w:t>&lt;PathFdR&gt;</w:t>
    </w:r>
    <w:r w:rsidRPr="00B768F3">
      <w:t>RE\1218403BG.docx</w:t>
    </w:r>
    <w:r w:rsidRPr="00B768F3">
      <w:rPr>
        <w:rStyle w:val="HideTWBExt"/>
        <w:noProof w:val="0"/>
      </w:rPr>
      <w:t>&lt;/PathFdR&gt;</w:t>
    </w:r>
    <w:r w:rsidRPr="00B768F3">
      <w:tab/>
    </w:r>
    <w:r w:rsidRPr="00B768F3">
      <w:tab/>
      <w:t>PE</w:t>
    </w:r>
    <w:r w:rsidRPr="00B768F3">
      <w:rPr>
        <w:rStyle w:val="HideTWBExt"/>
        <w:noProof w:val="0"/>
      </w:rPr>
      <w:t>&lt;NoPE&gt;</w:t>
    </w:r>
    <w:r w:rsidRPr="00B768F3">
      <w:t>660.347</w:t>
    </w:r>
    <w:r w:rsidRPr="00B768F3">
      <w:rPr>
        <w:rStyle w:val="HideTWBExt"/>
        <w:noProof w:val="0"/>
      </w:rPr>
      <w:t>&lt;/NoPE&gt;&lt;Version&gt;</w:t>
    </w:r>
    <w:r w:rsidRPr="00B768F3">
      <w:t>v01-00</w:t>
    </w:r>
    <w:r w:rsidRPr="00B768F3">
      <w:rPr>
        <w:rStyle w:val="HideTWBExt"/>
        <w:noProof w:val="0"/>
      </w:rPr>
      <w:t>&lt;/Version&gt;</w:t>
    </w:r>
  </w:p>
  <w:p w:rsidR="00A90219" w:rsidRPr="00B768F3" w:rsidRDefault="00B768F3" w:rsidP="00B768F3">
    <w:pPr>
      <w:pStyle w:val="EPFooter2"/>
    </w:pPr>
    <w:r w:rsidRPr="00B768F3">
      <w:t>BG</w:t>
    </w:r>
    <w:r w:rsidRPr="00B768F3">
      <w:tab/>
    </w:r>
    <w:r w:rsidRPr="00B768F3">
      <w:rPr>
        <w:b w:val="0"/>
        <w:i/>
        <w:color w:val="C0C0C0"/>
        <w:sz w:val="22"/>
      </w:rPr>
      <w:t>Единство в многообразието</w:t>
    </w:r>
    <w:r w:rsidRPr="00B768F3">
      <w:tab/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6" w:rsidRPr="00B768F3" w:rsidRDefault="00674856">
      <w:r w:rsidRPr="00B768F3">
        <w:separator/>
      </w:r>
    </w:p>
  </w:footnote>
  <w:footnote w:type="continuationSeparator" w:id="0">
    <w:p w:rsidR="00674856" w:rsidRPr="00B768F3" w:rsidRDefault="00674856">
      <w:r w:rsidRPr="00B768F3">
        <w:continuationSeparator/>
      </w:r>
    </w:p>
  </w:footnote>
  <w:footnote w:id="1">
    <w:p w:rsidR="002C1F91" w:rsidRPr="00B768F3" w:rsidRDefault="002C1F91" w:rsidP="002C1F91">
      <w:pPr>
        <w:pStyle w:val="FootnoteText"/>
      </w:pPr>
      <w:r w:rsidRPr="00B768F3">
        <w:rPr>
          <w:rStyle w:val="FootnoteReference"/>
        </w:rPr>
        <w:footnoteRef/>
      </w:r>
      <w:r w:rsidRPr="00B768F3">
        <w:t xml:space="preserve"> ОВ L 119, 4.5.2016 г., стр. 1 – 88.</w:t>
      </w:r>
    </w:p>
  </w:footnote>
  <w:footnote w:id="2">
    <w:p w:rsidR="002C1F91" w:rsidRPr="00B768F3" w:rsidRDefault="002C1F91" w:rsidP="002C1F91">
      <w:pPr>
        <w:pStyle w:val="FootnoteText"/>
      </w:pPr>
      <w:r w:rsidRPr="00B768F3">
        <w:rPr>
          <w:rStyle w:val="FootnoteReference"/>
        </w:rPr>
        <w:footnoteRef/>
      </w:r>
      <w:r w:rsidRPr="00B768F3">
        <w:t xml:space="preserve"> COM(2020)0264, 24.6.2020 г.</w:t>
      </w:r>
    </w:p>
  </w:footnote>
  <w:footnote w:id="3">
    <w:p w:rsidR="002C1F91" w:rsidRPr="00B768F3" w:rsidRDefault="002C1F91" w:rsidP="002C1F91">
      <w:pPr>
        <w:pStyle w:val="FootnoteText"/>
      </w:pPr>
      <w:r w:rsidRPr="00B768F3">
        <w:rPr>
          <w:rStyle w:val="FootnoteReference"/>
        </w:rPr>
        <w:footnoteRef/>
      </w:r>
      <w:r w:rsidRPr="00B768F3">
        <w:t xml:space="preserve"> COM(2020)0264, 24.6.2020 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00" w:rsidRDefault="001D6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00" w:rsidRDefault="001D6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00" w:rsidRDefault="001D6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137"/>
    <w:multiLevelType w:val="hybridMultilevel"/>
    <w:tmpl w:val="0D68AE64"/>
    <w:lvl w:ilvl="0" w:tplc="8970022E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2406"/>
    <w:multiLevelType w:val="hybridMultilevel"/>
    <w:tmpl w:val="2564CCA6"/>
    <w:lvl w:ilvl="0" w:tplc="DF847724">
      <w:start w:val="1"/>
      <w:numFmt w:val="decimal"/>
      <w:lvlText w:val="%1."/>
      <w:lvlJc w:val="left"/>
      <w:pPr>
        <w:ind w:left="926" w:hanging="566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18"/>
    <w:docVar w:name="TXTLANGUE" w:val="EN"/>
    <w:docVar w:name="TXTLANGUEMIN" w:val="en"/>
    <w:docVar w:name="TXTNRPE" w:val="660.347"/>
    <w:docVar w:name="TXTNRRSP" w:val="2020/2727"/>
    <w:docVar w:name="TXTPEorAP" w:val="PE"/>
    <w:docVar w:name="TXTROUTE" w:val="RE\1218403EN.docx"/>
    <w:docVar w:name="TXTTITLE" w:val="the Commission evaluation report on the implementation of the General Data Protection Regulation two years after its application"/>
    <w:docVar w:name="TXTVERSION" w:val="01-00"/>
  </w:docVars>
  <w:rsids>
    <w:rsidRoot w:val="00674856"/>
    <w:rsid w:val="00037F46"/>
    <w:rsid w:val="00094DDA"/>
    <w:rsid w:val="0010559F"/>
    <w:rsid w:val="00117781"/>
    <w:rsid w:val="001B49A3"/>
    <w:rsid w:val="001B7CFB"/>
    <w:rsid w:val="001C16A7"/>
    <w:rsid w:val="001C62C5"/>
    <w:rsid w:val="001D6200"/>
    <w:rsid w:val="001E2450"/>
    <w:rsid w:val="00222BBB"/>
    <w:rsid w:val="002574AA"/>
    <w:rsid w:val="002C1F91"/>
    <w:rsid w:val="002C7767"/>
    <w:rsid w:val="00303413"/>
    <w:rsid w:val="00304E12"/>
    <w:rsid w:val="003772FA"/>
    <w:rsid w:val="00411D03"/>
    <w:rsid w:val="00412503"/>
    <w:rsid w:val="00471D62"/>
    <w:rsid w:val="004B5166"/>
    <w:rsid w:val="00516BD3"/>
    <w:rsid w:val="0058312A"/>
    <w:rsid w:val="005D6861"/>
    <w:rsid w:val="00654CBD"/>
    <w:rsid w:val="006726A1"/>
    <w:rsid w:val="00674856"/>
    <w:rsid w:val="006A27B7"/>
    <w:rsid w:val="006F0FD2"/>
    <w:rsid w:val="006F48B8"/>
    <w:rsid w:val="00706BC0"/>
    <w:rsid w:val="00712090"/>
    <w:rsid w:val="00723A0B"/>
    <w:rsid w:val="00780A7D"/>
    <w:rsid w:val="007E1E11"/>
    <w:rsid w:val="00814BC6"/>
    <w:rsid w:val="008278C0"/>
    <w:rsid w:val="00866D70"/>
    <w:rsid w:val="008A4052"/>
    <w:rsid w:val="008D7B31"/>
    <w:rsid w:val="008F5EFB"/>
    <w:rsid w:val="00907285"/>
    <w:rsid w:val="00910F7E"/>
    <w:rsid w:val="00981ED6"/>
    <w:rsid w:val="009D24DE"/>
    <w:rsid w:val="00A32337"/>
    <w:rsid w:val="00A345F8"/>
    <w:rsid w:val="00A4763A"/>
    <w:rsid w:val="00A516B8"/>
    <w:rsid w:val="00A90219"/>
    <w:rsid w:val="00AC3F0E"/>
    <w:rsid w:val="00B34A46"/>
    <w:rsid w:val="00B768F3"/>
    <w:rsid w:val="00B90331"/>
    <w:rsid w:val="00BC3002"/>
    <w:rsid w:val="00BF2C2D"/>
    <w:rsid w:val="00C23264"/>
    <w:rsid w:val="00CC09D8"/>
    <w:rsid w:val="00D12F64"/>
    <w:rsid w:val="00D44718"/>
    <w:rsid w:val="00D90D37"/>
    <w:rsid w:val="00DF7943"/>
    <w:rsid w:val="00E403A7"/>
    <w:rsid w:val="00E53167"/>
    <w:rsid w:val="00E65EE4"/>
    <w:rsid w:val="00EA43FB"/>
    <w:rsid w:val="00EC05E9"/>
    <w:rsid w:val="00ED22B8"/>
    <w:rsid w:val="00F02A2C"/>
    <w:rsid w:val="00F148F1"/>
    <w:rsid w:val="00F26DE8"/>
    <w:rsid w:val="00F4455A"/>
    <w:rsid w:val="00F632FC"/>
    <w:rsid w:val="00F7050A"/>
    <w:rsid w:val="00F9377B"/>
    <w:rsid w:val="00F959BA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B4B2-DC15-411E-949B-0680070C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C1F91"/>
    <w:pPr>
      <w:widowControl/>
      <w:jc w:val="both"/>
    </w:pPr>
    <w:rPr>
      <w:rFonts w:eastAsiaTheme="minorHAns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F91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C1F91"/>
    <w:rPr>
      <w:vertAlign w:val="superscript"/>
    </w:rPr>
  </w:style>
  <w:style w:type="paragraph" w:styleId="Footer">
    <w:name w:val="footer"/>
    <w:basedOn w:val="Normal"/>
    <w:link w:val="FooterChar"/>
    <w:semiHidden/>
    <w:rsid w:val="002C1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C1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10755</Characters>
  <Application>Microsoft Office Word</Application>
  <DocSecurity>0</DocSecurity>
  <Lines>215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PESHEVA Kalina</cp:lastModifiedBy>
  <cp:revision>2</cp:revision>
  <cp:lastPrinted>2004-11-19T15:55:00Z</cp:lastPrinted>
  <dcterms:created xsi:type="dcterms:W3CDTF">2020-11-30T15:56:00Z</dcterms:created>
  <dcterms:modified xsi:type="dcterms:W3CDTF">2020-11-30T15:56:00Z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1218403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RE\1218403BG.docx</vt:lpwstr>
  </property>
  <property fmtid="{D5CDD505-2E9C-101B-9397-08002B2CF9AE}" pid="10" name="PE number">
    <vt:lpwstr>660.347</vt:lpwstr>
  </property>
  <property fmtid="{D5CDD505-2E9C-101B-9397-08002B2CF9AE}" pid="11" name="SendToEpades">
    <vt:lpwstr>OK - 2020/11/20 16:40</vt:lpwstr>
  </property>
  <property fmtid="{D5CDD505-2E9C-101B-9397-08002B2CF9AE}" pid="12" name="SDLStudio">
    <vt:lpwstr/>
  </property>
  <property fmtid="{D5CDD505-2E9C-101B-9397-08002B2CF9AE}" pid="13" name="&lt;Extension&gt;">
    <vt:lpwstr>BG</vt:lpwstr>
  </property>
  <property fmtid="{D5CDD505-2E9C-101B-9397-08002B2CF9AE}" pid="14" name="Bookout">
    <vt:lpwstr>OK - 2020/11/30 16:56</vt:lpwstr>
  </property>
</Properties>
</file>