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2" w:type="dxa"/>
        <w:tblCellMar>
          <w:left w:w="0" w:type="dxa"/>
          <w:right w:w="0" w:type="dxa"/>
        </w:tblCellMar>
        <w:tblLook w:val="01E0" w:firstRow="1" w:lastRow="1" w:firstColumn="1" w:lastColumn="1" w:noHBand="0" w:noVBand="0"/>
      </w:tblPr>
      <w:tblGrid>
        <w:gridCol w:w="6804"/>
        <w:gridCol w:w="2268"/>
      </w:tblGrid>
      <w:tr w:rsidR="008F5EFB" w:rsidRPr="009D3A51" w14:paraId="5A95D407" w14:textId="77777777" w:rsidTr="00C85D0F">
        <w:trPr>
          <w:trHeight w:hRule="exact" w:val="1418"/>
        </w:trPr>
        <w:tc>
          <w:tcPr>
            <w:tcW w:w="6804" w:type="dxa"/>
            <w:shd w:val="clear" w:color="auto" w:fill="auto"/>
            <w:vAlign w:val="center"/>
          </w:tcPr>
          <w:p w14:paraId="702AD9E4" w14:textId="77777777" w:rsidR="008F5EFB" w:rsidRPr="009D3A51" w:rsidRDefault="00F510C8" w:rsidP="00C85D0F">
            <w:pPr>
              <w:pStyle w:val="EPName"/>
            </w:pPr>
            <w:r w:rsidRPr="009D3A51">
              <w:t>Europaparlamentet</w:t>
            </w:r>
          </w:p>
          <w:p w14:paraId="36F604D4" w14:textId="77777777" w:rsidR="008F5EFB" w:rsidRPr="009D3A51" w:rsidRDefault="003A76FC" w:rsidP="003A76FC">
            <w:pPr>
              <w:pStyle w:val="EPTerm"/>
            </w:pPr>
            <w:r w:rsidRPr="009D3A51">
              <w:t>2019-2024</w:t>
            </w:r>
          </w:p>
        </w:tc>
        <w:tc>
          <w:tcPr>
            <w:tcW w:w="2268" w:type="dxa"/>
            <w:shd w:val="clear" w:color="auto" w:fill="auto"/>
          </w:tcPr>
          <w:p w14:paraId="1723FC61" w14:textId="77777777" w:rsidR="008F5EFB" w:rsidRPr="009D3A51" w:rsidRDefault="008F5EFB" w:rsidP="00C85D0F">
            <w:pPr>
              <w:pStyle w:val="EPLogo"/>
            </w:pPr>
            <w:r w:rsidRPr="009D3A51">
              <w:rPr>
                <w:lang w:eastAsia="sv-SE"/>
              </w:rPr>
              <w:drawing>
                <wp:inline distT="0" distB="0" distL="0" distR="0" wp14:anchorId="56207258" wp14:editId="35CF6CB1">
                  <wp:extent cx="1158875" cy="652145"/>
                  <wp:effectExtent l="0" t="0" r="0" b="0"/>
                  <wp:docPr id="1" name="Picture 1" descr="EP logo RGB_M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 logo RGB_Mu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8875" cy="652145"/>
                          </a:xfrm>
                          <a:prstGeom prst="rect">
                            <a:avLst/>
                          </a:prstGeom>
                          <a:noFill/>
                          <a:ln>
                            <a:noFill/>
                          </a:ln>
                        </pic:spPr>
                      </pic:pic>
                    </a:graphicData>
                  </a:graphic>
                </wp:inline>
              </w:drawing>
            </w:r>
          </w:p>
        </w:tc>
      </w:tr>
    </w:tbl>
    <w:p w14:paraId="40F3F2A0" w14:textId="77777777" w:rsidR="00E53167" w:rsidRPr="009D3A51" w:rsidRDefault="00E53167" w:rsidP="00E53167">
      <w:pPr>
        <w:pStyle w:val="LineTop"/>
      </w:pPr>
    </w:p>
    <w:p w14:paraId="69AFB50C" w14:textId="77777777" w:rsidR="00E53167" w:rsidRPr="009D3A51" w:rsidRDefault="003A76FC" w:rsidP="00E53167">
      <w:pPr>
        <w:pStyle w:val="EPBody"/>
      </w:pPr>
      <w:r w:rsidRPr="009D3A51">
        <w:rPr>
          <w:rStyle w:val="HideTWBInt"/>
        </w:rPr>
        <w:t>{LIBE}</w:t>
      </w:r>
      <w:r w:rsidRPr="009D3A51">
        <w:t>Utskottet för medborgerliga fri- och rättigheter samt rättsliga och inrikes frågor</w:t>
      </w:r>
    </w:p>
    <w:p w14:paraId="14C16DCC" w14:textId="77777777" w:rsidR="00094DDA" w:rsidRPr="009D3A51" w:rsidRDefault="00094DDA" w:rsidP="00094DDA">
      <w:pPr>
        <w:pStyle w:val="LineBottom"/>
      </w:pPr>
    </w:p>
    <w:p w14:paraId="5B9DD5D1" w14:textId="77777777" w:rsidR="00094DDA" w:rsidRPr="009D3A51" w:rsidRDefault="00094DDA" w:rsidP="00094DDA">
      <w:pPr>
        <w:pStyle w:val="CoverReference"/>
      </w:pPr>
      <w:r w:rsidRPr="009D3A51">
        <w:rPr>
          <w:rStyle w:val="HideTWBExt"/>
          <w:b w:val="0"/>
          <w:noProof w:val="0"/>
        </w:rPr>
        <w:t>&lt;NoDocSe&gt;</w:t>
      </w:r>
      <w:r w:rsidRPr="009D3A51">
        <w:t>2020/2789(RSP)</w:t>
      </w:r>
      <w:r w:rsidRPr="009D3A51">
        <w:rPr>
          <w:rStyle w:val="HideTWBExt"/>
          <w:b w:val="0"/>
          <w:noProof w:val="0"/>
        </w:rPr>
        <w:t>&lt;/NoDocSe&gt;</w:t>
      </w:r>
    </w:p>
    <w:p w14:paraId="5120A14B" w14:textId="77777777" w:rsidR="00094DDA" w:rsidRPr="009D3A51" w:rsidRDefault="00094DDA" w:rsidP="00094DDA">
      <w:pPr>
        <w:pStyle w:val="CoverDate"/>
      </w:pPr>
      <w:r w:rsidRPr="009D3A51">
        <w:rPr>
          <w:rStyle w:val="HideTWBExt"/>
          <w:noProof w:val="0"/>
        </w:rPr>
        <w:t>&lt;Date&gt;</w:t>
      </w:r>
      <w:r w:rsidRPr="009D3A51">
        <w:rPr>
          <w:rStyle w:val="HideTWBInt"/>
        </w:rPr>
        <w:t>{13/01/2021}</w:t>
      </w:r>
      <w:r w:rsidRPr="009D3A51">
        <w:t>13.1.2021</w:t>
      </w:r>
      <w:r w:rsidRPr="009D3A51">
        <w:rPr>
          <w:rStyle w:val="HideTWBExt"/>
          <w:noProof w:val="0"/>
        </w:rPr>
        <w:t>&lt;/Date&gt;</w:t>
      </w:r>
    </w:p>
    <w:p w14:paraId="6BD8A970" w14:textId="77777777" w:rsidR="00814BC6" w:rsidRPr="009D3A51" w:rsidRDefault="00814BC6">
      <w:pPr>
        <w:pStyle w:val="CoverDocType24a"/>
      </w:pPr>
      <w:r w:rsidRPr="009D3A51">
        <w:rPr>
          <w:rStyle w:val="HideTWBExt"/>
          <w:b w:val="0"/>
          <w:noProof w:val="0"/>
        </w:rPr>
        <w:t>&lt;TitreType&gt;</w:t>
      </w:r>
      <w:r w:rsidRPr="009D3A51">
        <w:t>UTKAST TILL FÖRSLAG TILL RESOLUTION</w:t>
      </w:r>
      <w:r w:rsidRPr="009D3A51">
        <w:rPr>
          <w:rStyle w:val="HideTWBExt"/>
          <w:b w:val="0"/>
          <w:noProof w:val="0"/>
        </w:rPr>
        <w:t>&lt;/TitreType&gt;</w:t>
      </w:r>
    </w:p>
    <w:p w14:paraId="71E91CCE" w14:textId="77777777" w:rsidR="00814BC6" w:rsidRPr="009D3A51" w:rsidRDefault="00814BC6">
      <w:pPr>
        <w:pStyle w:val="CoverNormal12a"/>
      </w:pPr>
      <w:r w:rsidRPr="009D3A51">
        <w:rPr>
          <w:rStyle w:val="HideTWBExt"/>
          <w:noProof w:val="0"/>
        </w:rPr>
        <w:t>&lt;TitreSuite&gt;</w:t>
      </w:r>
      <w:r w:rsidRPr="009D3A51">
        <w:t>till följd av ett uttalande av kommissionen</w:t>
      </w:r>
      <w:r w:rsidRPr="009D3A51">
        <w:rPr>
          <w:rStyle w:val="HideTWBExt"/>
          <w:noProof w:val="0"/>
        </w:rPr>
        <w:t>&lt;/TitreSuite&gt;</w:t>
      </w:r>
    </w:p>
    <w:p w14:paraId="1702F310" w14:textId="77777777" w:rsidR="00814BC6" w:rsidRPr="009D3A51" w:rsidRDefault="00814BC6">
      <w:pPr>
        <w:pStyle w:val="CoverNormal12a"/>
      </w:pPr>
      <w:r w:rsidRPr="009D3A51">
        <w:rPr>
          <w:rStyle w:val="HideTWBExt"/>
          <w:noProof w:val="0"/>
        </w:rPr>
        <w:t>&lt;TitreRecueil&gt;</w:t>
      </w:r>
      <w:r w:rsidRPr="009D3A51">
        <w:t>i enlighet med artikel 132.2 i arbetsordningen</w:t>
      </w:r>
      <w:r w:rsidRPr="009D3A51">
        <w:rPr>
          <w:rStyle w:val="HideTWBExt"/>
          <w:noProof w:val="0"/>
        </w:rPr>
        <w:t>&lt;/TitreRecueil&gt;</w:t>
      </w:r>
    </w:p>
    <w:p w14:paraId="673379C3" w14:textId="453B0284" w:rsidR="00C23264" w:rsidRPr="009D3A51" w:rsidRDefault="00C23264" w:rsidP="00C23264">
      <w:pPr>
        <w:pStyle w:val="CoverNormal"/>
      </w:pPr>
      <w:r w:rsidRPr="009D3A51">
        <w:rPr>
          <w:rStyle w:val="HideTWBExt"/>
          <w:noProof w:val="0"/>
        </w:rPr>
        <w:t>&lt;Titre&gt;</w:t>
      </w:r>
      <w:r w:rsidRPr="009D3A51">
        <w:t>om Europeiska unionens domstols dom av den 16 juli 2020 i mål C-311/18, Data Protection Commissioner mot Facebook Ireland Limited, Maximillian Schrems (”Schrems II”)</w:t>
      </w:r>
      <w:r w:rsidRPr="009D3A51">
        <w:rPr>
          <w:rStyle w:val="HideTWBExt"/>
          <w:noProof w:val="0"/>
        </w:rPr>
        <w:t>&lt;/Titre&gt;</w:t>
      </w:r>
    </w:p>
    <w:p w14:paraId="3CD31C96" w14:textId="77777777" w:rsidR="00C23264" w:rsidRPr="009D3A51" w:rsidRDefault="00C23264" w:rsidP="00C23264">
      <w:pPr>
        <w:pStyle w:val="CoverNormal24a"/>
      </w:pPr>
      <w:r w:rsidRPr="009D3A51">
        <w:rPr>
          <w:rStyle w:val="HideTWBExt"/>
          <w:noProof w:val="0"/>
        </w:rPr>
        <w:t>&lt;DocRef&gt;</w:t>
      </w:r>
      <w:r w:rsidRPr="009D3A51">
        <w:t>(2020/2789(RSP))</w:t>
      </w:r>
      <w:r w:rsidRPr="009D3A51">
        <w:rPr>
          <w:rStyle w:val="HideTWBExt"/>
          <w:noProof w:val="0"/>
        </w:rPr>
        <w:t>&lt;/DocRef&gt;</w:t>
      </w:r>
    </w:p>
    <w:p w14:paraId="09FC6BCE" w14:textId="77777777" w:rsidR="002574AA" w:rsidRPr="009D3A51" w:rsidRDefault="002574AA" w:rsidP="002574AA">
      <w:pPr>
        <w:pStyle w:val="CoverBold"/>
      </w:pPr>
      <w:r w:rsidRPr="009D3A51">
        <w:rPr>
          <w:rStyle w:val="HideTWBExt"/>
          <w:b w:val="0"/>
          <w:noProof w:val="0"/>
        </w:rPr>
        <w:t>&lt;RepeatBlock-By&gt;&lt;Depute&gt;</w:t>
      </w:r>
      <w:r w:rsidRPr="009D3A51">
        <w:t>Juan Fernando López Aguilar</w:t>
      </w:r>
      <w:r w:rsidRPr="009D3A51">
        <w:rPr>
          <w:rStyle w:val="HideTWBExt"/>
          <w:b w:val="0"/>
          <w:noProof w:val="0"/>
          <w:color w:val="auto"/>
        </w:rPr>
        <w:t>&lt;/Depute&gt;</w:t>
      </w:r>
    </w:p>
    <w:p w14:paraId="33C071FD" w14:textId="22287308" w:rsidR="002574AA" w:rsidRPr="009D3A51" w:rsidRDefault="002574AA" w:rsidP="002574AA">
      <w:pPr>
        <w:pStyle w:val="CoverNormal"/>
      </w:pPr>
      <w:r w:rsidRPr="009D3A51">
        <w:rPr>
          <w:rStyle w:val="HideTWBExt"/>
          <w:noProof w:val="0"/>
        </w:rPr>
        <w:t>&lt;Commission&gt;</w:t>
      </w:r>
      <w:r w:rsidRPr="009D3A51">
        <w:rPr>
          <w:rStyle w:val="HideTWBInt"/>
        </w:rPr>
        <w:t>{LIBE}</w:t>
      </w:r>
      <w:r w:rsidRPr="009D3A51">
        <w:t xml:space="preserve">för utskottet för medborgerliga fri- och rättigheter samt rättsliga och </w:t>
      </w:r>
      <w:r w:rsidR="008A233B" w:rsidRPr="009D3A51">
        <w:t>inrikes </w:t>
      </w:r>
      <w:r w:rsidRPr="009D3A51">
        <w:t>frågor</w:t>
      </w:r>
      <w:r w:rsidRPr="009D3A51">
        <w:rPr>
          <w:rStyle w:val="HideTWBExt"/>
          <w:noProof w:val="0"/>
        </w:rPr>
        <w:t>&lt;/Commission&gt;</w:t>
      </w:r>
    </w:p>
    <w:p w14:paraId="78E1BA91" w14:textId="77777777" w:rsidR="002574AA" w:rsidRPr="009D3A51" w:rsidRDefault="002574AA" w:rsidP="002574AA">
      <w:pPr>
        <w:pStyle w:val="CoverNormal"/>
      </w:pPr>
      <w:r w:rsidRPr="009D3A51">
        <w:rPr>
          <w:rStyle w:val="HideTWBExt"/>
          <w:noProof w:val="0"/>
        </w:rPr>
        <w:t>&lt;/RepeatBlock-By&gt;</w:t>
      </w:r>
    </w:p>
    <w:p w14:paraId="06BF4DB5" w14:textId="77777777" w:rsidR="00814BC6" w:rsidRPr="009D3A51" w:rsidRDefault="00814BC6">
      <w:pPr>
        <w:pStyle w:val="NormalBold12a"/>
      </w:pPr>
      <w:r w:rsidRPr="009D3A51">
        <w:br w:type="page"/>
      </w:r>
      <w:r w:rsidRPr="009D3A51">
        <w:lastRenderedPageBreak/>
        <w:t>B9</w:t>
      </w:r>
      <w:r w:rsidRPr="009D3A51">
        <w:noBreakHyphen/>
        <w:t>0000/2021</w:t>
      </w:r>
    </w:p>
    <w:p w14:paraId="7414C422" w14:textId="003536D8" w:rsidR="00C23264" w:rsidRPr="009D3A51" w:rsidRDefault="001E1556" w:rsidP="00C23264">
      <w:pPr>
        <w:pStyle w:val="NormalBold"/>
      </w:pPr>
      <w:r w:rsidRPr="009D3A51">
        <w:t xml:space="preserve">Europaparlamentets resolution om Europeiska </w:t>
      </w:r>
      <w:r w:rsidR="008A233B" w:rsidRPr="009D3A51">
        <w:t>unionens domstols dom av den 16 </w:t>
      </w:r>
      <w:r w:rsidRPr="009D3A51">
        <w:t>juli 2020 i mål C-311/18 – Data Protection Commissioner mot Facebook Ireland Limited, Maximillian Schrems (”Schrems II”)</w:t>
      </w:r>
    </w:p>
    <w:p w14:paraId="5BB55312" w14:textId="77777777" w:rsidR="00C23264" w:rsidRPr="009D3A51" w:rsidRDefault="00F510C8" w:rsidP="00DF7943">
      <w:pPr>
        <w:pStyle w:val="NormalBold"/>
      </w:pPr>
      <w:r w:rsidRPr="009D3A51">
        <w:t>(2020/2789(RSP))</w:t>
      </w:r>
    </w:p>
    <w:p w14:paraId="5640CA28" w14:textId="77777777" w:rsidR="00814BC6" w:rsidRPr="009D3A51" w:rsidRDefault="00F510C8">
      <w:pPr>
        <w:pStyle w:val="EPComma"/>
      </w:pPr>
      <w:r w:rsidRPr="009D3A51">
        <w:rPr>
          <w:i/>
        </w:rPr>
        <w:t>Europaparlamentet utfärdar denna resolution</w:t>
      </w:r>
    </w:p>
    <w:p w14:paraId="0E983A99" w14:textId="345AD13F" w:rsidR="00814BC6" w:rsidRPr="009D3A51" w:rsidRDefault="00814BC6">
      <w:pPr>
        <w:pStyle w:val="NormalHanging12a"/>
      </w:pPr>
      <w:r w:rsidRPr="009D3A51">
        <w:t>–</w:t>
      </w:r>
      <w:r w:rsidRPr="009D3A51">
        <w:tab/>
        <w:t>med beaktande av Europeiska unionens stadga om de grundläggande rättigheterna, särskilt artiklarna 7, 8, 47 och 52,</w:t>
      </w:r>
    </w:p>
    <w:p w14:paraId="74E75821" w14:textId="3854FEEE" w:rsidR="001E1556" w:rsidRPr="009D3A51" w:rsidRDefault="001E1556" w:rsidP="003A76FC">
      <w:pPr>
        <w:widowControl/>
        <w:spacing w:after="240"/>
        <w:ind w:left="567" w:hanging="567"/>
      </w:pPr>
      <w:r w:rsidRPr="009D3A51">
        <w:t>–</w:t>
      </w:r>
      <w:r w:rsidRPr="009D3A51">
        <w:tab/>
        <w:t>med beaktande av Europeiska unionens dom</w:t>
      </w:r>
      <w:r w:rsidR="008A233B" w:rsidRPr="009D3A51">
        <w:t>stols dom av den 16 juli 2020 i </w:t>
      </w:r>
      <w:r w:rsidRPr="009D3A51">
        <w:t>må</w:t>
      </w:r>
      <w:r w:rsidR="008A233B" w:rsidRPr="009D3A51">
        <w:t>l C</w:t>
      </w:r>
      <w:r w:rsidR="008A233B" w:rsidRPr="009D3A51">
        <w:noBreakHyphen/>
      </w:r>
      <w:r w:rsidRPr="009D3A51">
        <w:t>311/18, Data Protection Commissioner mot Facebook Ireland Limited och Maximillian Schrems</w:t>
      </w:r>
      <w:r w:rsidRPr="009D3A51">
        <w:rPr>
          <w:vertAlign w:val="superscript"/>
        </w:rPr>
        <w:footnoteReference w:id="1"/>
      </w:r>
      <w:r w:rsidRPr="009D3A51">
        <w:t xml:space="preserve"> (”Schrems II”),</w:t>
      </w:r>
    </w:p>
    <w:p w14:paraId="6126C222" w14:textId="526882D5" w:rsidR="003A76FC" w:rsidRPr="009D3A51" w:rsidRDefault="003A76FC" w:rsidP="003A76FC">
      <w:pPr>
        <w:pStyle w:val="NormalHanging12a"/>
      </w:pPr>
      <w:r w:rsidRPr="009D3A51">
        <w:t>–</w:t>
      </w:r>
      <w:r w:rsidRPr="009D3A51">
        <w:tab/>
        <w:t>med beaktande av Europeiska unionens domstols do</w:t>
      </w:r>
      <w:r w:rsidR="008A233B" w:rsidRPr="009D3A51">
        <w:t>m av den 6 oktober 2015 i mål C</w:t>
      </w:r>
      <w:r w:rsidR="008A233B" w:rsidRPr="009D3A51">
        <w:noBreakHyphen/>
      </w:r>
      <w:r w:rsidRPr="009D3A51">
        <w:t>362/14, Maximillian Schrems mot Data Protection Commissioner</w:t>
      </w:r>
      <w:r w:rsidRPr="009D3A51">
        <w:rPr>
          <w:vertAlign w:val="superscript"/>
        </w:rPr>
        <w:footnoteReference w:id="2"/>
      </w:r>
      <w:r w:rsidRPr="009D3A51">
        <w:t xml:space="preserve"> (”Schrems I”),</w:t>
      </w:r>
    </w:p>
    <w:p w14:paraId="26F28811" w14:textId="51FE9FD8" w:rsidR="003A76FC" w:rsidRPr="009D3A51" w:rsidRDefault="003A76FC" w:rsidP="003A76FC">
      <w:pPr>
        <w:pStyle w:val="NormalHanging12a"/>
      </w:pPr>
      <w:r w:rsidRPr="009D3A51">
        <w:t>–</w:t>
      </w:r>
      <w:r w:rsidRPr="009D3A51">
        <w:tab/>
        <w:t>med beaktande av Europeiska unionens domst</w:t>
      </w:r>
      <w:r w:rsidR="008A233B" w:rsidRPr="009D3A51">
        <w:t>ols dom av den 6 oktober 2020 i </w:t>
      </w:r>
      <w:r w:rsidRPr="009D3A51">
        <w:t>mål</w:t>
      </w:r>
      <w:bookmarkStart w:id="0" w:name="pagePrincipale"/>
      <w:bookmarkEnd w:id="0"/>
      <w:r w:rsidR="008A233B" w:rsidRPr="009D3A51">
        <w:t> </w:t>
      </w:r>
      <w:r w:rsidRPr="009D3A51">
        <w:t>C</w:t>
      </w:r>
      <w:r w:rsidRPr="009D3A51">
        <w:noBreakHyphen/>
        <w:t>623/17 Privacy International mot Secretary of State of Foreign and Commonwealth affairs</w:t>
      </w:r>
      <w:r w:rsidRPr="009D3A51">
        <w:rPr>
          <w:vertAlign w:val="superscript"/>
        </w:rPr>
        <w:footnoteReference w:id="3"/>
      </w:r>
      <w:r w:rsidRPr="009D3A51">
        <w:t>,</w:t>
      </w:r>
    </w:p>
    <w:p w14:paraId="415AC0D4" w14:textId="77777777" w:rsidR="003A76FC" w:rsidRPr="009D3A51" w:rsidRDefault="003A76FC" w:rsidP="003A76FC">
      <w:pPr>
        <w:pStyle w:val="NormalHanging12a"/>
      </w:pPr>
      <w:r w:rsidRPr="009D3A51">
        <w:t>–</w:t>
      </w:r>
      <w:r w:rsidRPr="009D3A51">
        <w:tab/>
        <w:t>med beaktande av sin resolution av den 5 juli 2018 om huruvida ett adekvat skydd säkerställs genom skölden för skydd av privatlivet i EU och USA</w:t>
      </w:r>
      <w:r w:rsidRPr="009D3A51">
        <w:rPr>
          <w:vertAlign w:val="superscript"/>
        </w:rPr>
        <w:footnoteReference w:id="4"/>
      </w:r>
      <w:r w:rsidRPr="009D3A51">
        <w:t xml:space="preserve">, </w:t>
      </w:r>
    </w:p>
    <w:p w14:paraId="51A457E3" w14:textId="77777777" w:rsidR="003A76FC" w:rsidRPr="009D3A51" w:rsidRDefault="003A76FC" w:rsidP="003A76FC">
      <w:pPr>
        <w:pStyle w:val="NormalHanging12a"/>
      </w:pPr>
      <w:r w:rsidRPr="009D3A51">
        <w:t>–</w:t>
      </w:r>
      <w:r w:rsidRPr="009D3A51">
        <w:tab/>
        <w:t>med beaktande av sin resolution av den 25 oktober 2018 om Cambridge Analyticas utnyttjande av Facebooks användaruppgifter och dess inverkan på uppgiftsskyddet</w:t>
      </w:r>
      <w:r w:rsidRPr="009D3A51">
        <w:rPr>
          <w:vertAlign w:val="superscript"/>
        </w:rPr>
        <w:footnoteReference w:id="5"/>
      </w:r>
      <w:r w:rsidRPr="009D3A51">
        <w:t xml:space="preserve">, </w:t>
      </w:r>
    </w:p>
    <w:p w14:paraId="28CC7542" w14:textId="1B95DF47" w:rsidR="003A76FC" w:rsidRPr="009D3A51" w:rsidRDefault="003A76FC" w:rsidP="003A76FC">
      <w:pPr>
        <w:pStyle w:val="NormalHanging12a"/>
      </w:pPr>
      <w:r w:rsidRPr="009D3A51">
        <w:t>–</w:t>
      </w:r>
      <w:r w:rsidRPr="009D3A51">
        <w:tab/>
        <w:t>med beaktande av sin resolution av den 23 nov</w:t>
      </w:r>
      <w:r w:rsidR="008A233B" w:rsidRPr="009D3A51">
        <w:t>ember 2020 om översynen av EU:s </w:t>
      </w:r>
      <w:r w:rsidRPr="009D3A51">
        <w:t>handelspolitik</w:t>
      </w:r>
      <w:r w:rsidRPr="009D3A51">
        <w:rPr>
          <w:vertAlign w:val="superscript"/>
        </w:rPr>
        <w:footnoteReference w:id="6"/>
      </w:r>
      <w:r w:rsidRPr="009D3A51">
        <w:t xml:space="preserve">, </w:t>
      </w:r>
    </w:p>
    <w:p w14:paraId="46BB3DFE" w14:textId="77777777" w:rsidR="003A76FC" w:rsidRPr="009D3A51" w:rsidRDefault="003A76FC" w:rsidP="003A76FC">
      <w:pPr>
        <w:pStyle w:val="NormalHanging12a"/>
      </w:pPr>
      <w:r w:rsidRPr="009D3A51">
        <w:t>–</w:t>
      </w:r>
      <w:r w:rsidRPr="009D3A51">
        <w:tab/>
        <w:t>med beaktande av förordning (EU) 2016/679 (den allmänna dataskyddsförordningen)</w:t>
      </w:r>
      <w:r w:rsidRPr="009D3A51">
        <w:rPr>
          <w:vertAlign w:val="superscript"/>
        </w:rPr>
        <w:footnoteReference w:id="7"/>
      </w:r>
      <w:r w:rsidRPr="009D3A51">
        <w:t xml:space="preserve">, </w:t>
      </w:r>
    </w:p>
    <w:p w14:paraId="18460B06" w14:textId="77777777" w:rsidR="003A76FC" w:rsidRPr="009D3A51" w:rsidRDefault="003A76FC" w:rsidP="008A233B">
      <w:pPr>
        <w:pStyle w:val="NormalHanging12a"/>
        <w:widowControl/>
      </w:pPr>
      <w:r w:rsidRPr="009D3A51">
        <w:t>–</w:t>
      </w:r>
      <w:r w:rsidRPr="009D3A51">
        <w:tab/>
        <w:t xml:space="preserve">med beaktande av Europeiska dataskyddsstyrelsens rekommendationer 01/2020, om åtgärder som kompletterar överföringsverktyg för att säkerställa överensstämmelse med </w:t>
      </w:r>
      <w:r w:rsidRPr="009D3A51">
        <w:lastRenderedPageBreak/>
        <w:t>EU:s skyddsnivå för personuppgifter, och 02/2020 om de europeiska grundläggande garantierna för övervakningsåtgärder</w:t>
      </w:r>
      <w:r w:rsidRPr="009D3A51">
        <w:rPr>
          <w:vertAlign w:val="superscript"/>
        </w:rPr>
        <w:footnoteReference w:id="8"/>
      </w:r>
      <w:r w:rsidRPr="009D3A51">
        <w:t>,</w:t>
      </w:r>
    </w:p>
    <w:p w14:paraId="52219F2C" w14:textId="77777777" w:rsidR="00ED22B8" w:rsidRPr="009D3A51" w:rsidRDefault="00ED22B8" w:rsidP="00ED22B8">
      <w:pPr>
        <w:pStyle w:val="NormalHanging12a"/>
      </w:pPr>
      <w:r w:rsidRPr="009D3A51">
        <w:t>–</w:t>
      </w:r>
      <w:r w:rsidRPr="009D3A51">
        <w:tab/>
        <w:t>med beaktande av artikel 132.2 i arbetsordningen, och av följande skäl:</w:t>
      </w:r>
    </w:p>
    <w:p w14:paraId="6EE44B73" w14:textId="14A89C72" w:rsidR="00814BC6" w:rsidRPr="009D3A51" w:rsidRDefault="001C31D8" w:rsidP="001C31D8">
      <w:pPr>
        <w:pStyle w:val="NormalHanging12a"/>
        <w:ind w:hanging="566"/>
      </w:pPr>
      <w:r w:rsidRPr="009D3A51">
        <w:t>A.</w:t>
      </w:r>
      <w:r w:rsidRPr="009D3A51">
        <w:tab/>
        <w:t>Europeiska unionens domstol påpekade i sin dom i ”Schrems I-målet” att odifferentierad tillgång för underrättelsemyndigheter till innehållet i elektronisk kommunikation kränker det väsentliga innehållet i rätten till konfidentialitet vid kommunikation enligt artikel 7 i stadgan om de grundläggande rättigheterna.</w:t>
      </w:r>
    </w:p>
    <w:p w14:paraId="472F6D45" w14:textId="54928942" w:rsidR="00250718" w:rsidRPr="009D3A51" w:rsidRDefault="001C31D8" w:rsidP="001C31D8">
      <w:pPr>
        <w:pStyle w:val="NormalHanging12a"/>
        <w:ind w:hanging="566"/>
      </w:pPr>
      <w:r w:rsidRPr="009D3A51">
        <w:t>B.</w:t>
      </w:r>
      <w:r w:rsidRPr="009D3A51">
        <w:tab/>
        <w:t>I sin dom i ”Schrems II-målet” påpekade domstolen att Förenta staterna (USA) inte tillhandahåller tillräckliga rättsmedel för personer som inte är amerikanska medborgare mot massövervakningen, och att detta strider mot det väsentliga innehållet i rätten till rättsmedel enligt artikel 47 i stadgan.</w:t>
      </w:r>
    </w:p>
    <w:p w14:paraId="017FB887" w14:textId="464EB56A" w:rsidR="00250718" w:rsidRPr="009D3A51" w:rsidRDefault="001C31D8" w:rsidP="001C31D8">
      <w:pPr>
        <w:pStyle w:val="NormalHanging12a"/>
        <w:ind w:hanging="566"/>
      </w:pPr>
      <w:r w:rsidRPr="009D3A51">
        <w:t>C.</w:t>
      </w:r>
      <w:r w:rsidRPr="009D3A51">
        <w:tab/>
        <w:t>Redan i sin resolution av den 25 oktober 2018 uppmanade Europaparlamentet kommissionen att upphäva skölden för skydd av privatlivet.</w:t>
      </w:r>
    </w:p>
    <w:p w14:paraId="1BD6B8F6" w14:textId="77777777" w:rsidR="00250718" w:rsidRPr="009D3A51" w:rsidRDefault="00250718" w:rsidP="00250718">
      <w:pPr>
        <w:pStyle w:val="NormalHanging12a"/>
        <w:ind w:left="1" w:firstLine="0"/>
      </w:pPr>
      <w:r w:rsidRPr="009D3A51">
        <w:rPr>
          <w:b/>
          <w:bCs/>
          <w:i/>
          <w:iCs/>
        </w:rPr>
        <w:t>Allmänna kommentarer</w:t>
      </w:r>
    </w:p>
    <w:p w14:paraId="17826566" w14:textId="7E560143" w:rsidR="00814BC6" w:rsidRPr="009D3A51" w:rsidRDefault="001C31D8" w:rsidP="001C31D8">
      <w:pPr>
        <w:pStyle w:val="NormalHanging12a"/>
        <w:ind w:hanging="566"/>
      </w:pPr>
      <w:r w:rsidRPr="009D3A51">
        <w:t>1.</w:t>
      </w:r>
      <w:r w:rsidRPr="009D3A51">
        <w:tab/>
        <w:t>Europaparlamentet noterar Europeiska unionens domstols dom av den 16 juli 2020, där domstolen bekräftade giltigheten av beslut 2010/87 om standardavtalsklausuler och menade att sådana klausuler utgör en effektiv mekanism för att säkerställa efterlevnad av den skyddsnivå som unionsrätten föreskriver. Parlamentet noterar vidare att domstolen ogiltigförklarade kommissionens beslut 2016/1250 om huruvida det skydd som erbjuds genom skölden för skydd av privatlivet i EU och USA är tillräckligt.</w:t>
      </w:r>
    </w:p>
    <w:p w14:paraId="0078C998" w14:textId="153BE441" w:rsidR="00A462B1" w:rsidRPr="009D3A51" w:rsidRDefault="001C31D8" w:rsidP="001C31D8">
      <w:pPr>
        <w:pStyle w:val="NormalHanging12a"/>
        <w:ind w:hanging="566"/>
      </w:pPr>
      <w:r w:rsidRPr="009D3A51">
        <w:t>2.</w:t>
      </w:r>
      <w:r w:rsidRPr="009D3A51">
        <w:tab/>
        <w:t>Europaparlamentet menar att domstolens dom har betydande konsekvenser för beslut om adekvat skyddsnivå som rör tredjeländer. Parlamentet upprepar att det måste råda klarhet angående rättsläget och finnas rättslig förutsebarhet.</w:t>
      </w:r>
    </w:p>
    <w:p w14:paraId="34DA8BA6" w14:textId="4BA85E71" w:rsidR="00A462B1" w:rsidRPr="009D3A51" w:rsidRDefault="001C31D8" w:rsidP="001C31D8">
      <w:pPr>
        <w:pStyle w:val="NormalHanging12a"/>
        <w:ind w:hanging="566"/>
      </w:pPr>
      <w:r w:rsidRPr="009D3A51">
        <w:t>3.</w:t>
      </w:r>
      <w:r w:rsidRPr="009D3A51">
        <w:tab/>
        <w:t>Europaparlamentet är bekymrat över att det irländska dataskyddsombudet inledde hela ”Schrems II-målet”, i stället för att fatta ett beslut inom ramen för sina befogenheter enligt artikel 58 i den allmänna dataskyddsförordningen. Parlamentet är djupt oroat över att flera klagomål om överträdelser av den allmänna dataskyddsförordningen som ingavs den 25 maj 2018 ännu inte har avgjorts av det irländska dataskyddsombudet, som är ledande myndighet för dessa fall. Parlamentet fördömer skarpt den irländska dataskyddsmyndighetens försök att överföra kostnaderna för rättsförfarandet till Maximillian Schrems, vilket skulle skapat en enorm dämpande effekt. Parlamentet uppmanar kommissionen att inleda överträdelseförfaranden mot Irland för att landet inte genomför den allmänna dataskyddsförordningen på ett korrekt sätt.</w:t>
      </w:r>
    </w:p>
    <w:p w14:paraId="1689259E" w14:textId="3740CA94" w:rsidR="00BF6571" w:rsidRPr="009D3A51" w:rsidRDefault="001C31D8" w:rsidP="008A233B">
      <w:pPr>
        <w:pStyle w:val="NormalHanging12a"/>
        <w:widowControl/>
      </w:pPr>
      <w:r w:rsidRPr="009D3A51">
        <w:t>4.</w:t>
      </w:r>
      <w:r w:rsidRPr="009D3A51">
        <w:tab/>
        <w:t xml:space="preserve">Europaparlamentet uppmanar kommissionen att offentliggöra ytterligare vägledning om internationella dataöverföringar för företag, särskilt för små och medelstora företag, </w:t>
      </w:r>
      <w:r w:rsidRPr="009D3A51">
        <w:lastRenderedPageBreak/>
        <w:t>med information om de ytterligare skyddsåtgärder som krävs för överföringar med hjälp av standardavtalsklausuler.</w:t>
      </w:r>
    </w:p>
    <w:p w14:paraId="24D1A15F" w14:textId="202FFCBA" w:rsidR="00BF6571" w:rsidRPr="009D3A51" w:rsidRDefault="00BF6571" w:rsidP="00BF6571">
      <w:pPr>
        <w:pStyle w:val="NormalHanging12a"/>
        <w:ind w:left="1" w:firstLine="0"/>
      </w:pPr>
      <w:r w:rsidRPr="009D3A51">
        <w:rPr>
          <w:b/>
          <w:i/>
        </w:rPr>
        <w:t>Standardavtalsklausuler</w:t>
      </w:r>
    </w:p>
    <w:p w14:paraId="50727A17" w14:textId="3317E88A" w:rsidR="00BF6571" w:rsidRPr="009D3A51" w:rsidRDefault="001C31D8" w:rsidP="001C31D8">
      <w:pPr>
        <w:pStyle w:val="NormalHanging12a"/>
        <w:ind w:hanging="566"/>
      </w:pPr>
      <w:r w:rsidRPr="009D3A51">
        <w:t>5.</w:t>
      </w:r>
      <w:r w:rsidRPr="009D3A51">
        <w:tab/>
        <w:t>Europaparlamentet noterar kommissionens utkast till genomförandebeslut och till standardavtalsklausuler. Parlamentet välkomnar att kommissionen nu vill ha återkoppling från berörda parter om sitt utkast.</w:t>
      </w:r>
    </w:p>
    <w:p w14:paraId="51C87763" w14:textId="747E79E9" w:rsidR="00BF6571" w:rsidRPr="009D3A51" w:rsidRDefault="001C31D8" w:rsidP="001C31D8">
      <w:pPr>
        <w:pStyle w:val="NormalHanging12a"/>
        <w:ind w:hanging="566"/>
      </w:pPr>
      <w:r w:rsidRPr="009D3A51">
        <w:t>6.</w:t>
      </w:r>
      <w:r w:rsidRPr="009D3A51">
        <w:tab/>
        <w:t xml:space="preserve">Europaparlamentet noterar Europeiska dataskyddsstyrelsens rekommendationer 01/2020, om åtgärder som kompletterar överföringsverktyg för att säkerställa överensstämmelse med EU:s skyddsnivå för personuppgifter. Parlamentet är oroat över de potentiella konflikterna mellan dessa rekommendationer och kommissionens förslag till standardavtalsklausuler. Parlamentet anser att det krävs mer detaljerade riktlinjer från Europeiska dataskyddsstyrelsen. </w:t>
      </w:r>
    </w:p>
    <w:p w14:paraId="396927EB" w14:textId="23EE71B6" w:rsidR="00BF6571" w:rsidRPr="009D3A51" w:rsidRDefault="001C31D8" w:rsidP="001C31D8">
      <w:pPr>
        <w:pStyle w:val="NormalHanging12a"/>
        <w:ind w:hanging="566"/>
      </w:pPr>
      <w:r w:rsidRPr="009D3A51">
        <w:t>7.</w:t>
      </w:r>
      <w:r w:rsidRPr="009D3A51">
        <w:tab/>
        <w:t>Europaparlamentet anser att det är av avgörande betydelse att EU-företagen förlitar sig på solida mekanismer som är förenliga med domstolens dom. Parlamentet anser i detta avseende att kommissionens nuvarande förslag till mall för standardavtalsklausuler måste ta vederbörlig hänsyn till alla relevanta rekommen</w:t>
      </w:r>
      <w:r w:rsidR="008A233B" w:rsidRPr="009D3A51">
        <w:t>dationer. Parlamentet stöder en </w:t>
      </w:r>
      <w:r w:rsidRPr="009D3A51">
        <w:t>verktygslåda med kompletterande åtgärder, t.ex. säkerhetscertifiering och krypteringsgarantier, som godtas av regleringsmyndigheterna.</w:t>
      </w:r>
    </w:p>
    <w:p w14:paraId="4334779F" w14:textId="277AEA7B" w:rsidR="00BF6571" w:rsidRPr="009D3A51" w:rsidRDefault="001C31D8" w:rsidP="001C31D8">
      <w:pPr>
        <w:pStyle w:val="NormalHanging12a"/>
        <w:ind w:hanging="566"/>
      </w:pPr>
      <w:r w:rsidRPr="009D3A51">
        <w:t>8.</w:t>
      </w:r>
      <w:r w:rsidRPr="009D3A51">
        <w:tab/>
        <w:t>Europaparlamentet påpekar att för personuppgiftsansvariga som omfattas av den amerikanska lag som reglerar övervakning av utländsk underrättelseverksamhet (Foreign Intelligence Surveillance Act) är en överföring av personuppgifter från EU inte möjlig enligt dessa standardavtalsklausuler, på grund av den höga risken för massövervakning. Endast en omfattande re</w:t>
      </w:r>
      <w:r w:rsidR="008A233B" w:rsidRPr="009D3A51">
        <w:t>form av övervakningsmetoderna i </w:t>
      </w:r>
      <w:r w:rsidRPr="009D3A51">
        <w:t>Förenta staterna kan på ett hållbart sätt lösa detta problem och skapa rättslig förutsebarhet för företag och registrerade.</w:t>
      </w:r>
    </w:p>
    <w:p w14:paraId="39276751" w14:textId="70DCCAE0" w:rsidR="00BF6571" w:rsidRPr="009D3A51" w:rsidRDefault="001C31D8" w:rsidP="001C31D8">
      <w:pPr>
        <w:pStyle w:val="NormalHanging12a"/>
        <w:ind w:hanging="566"/>
      </w:pPr>
      <w:r w:rsidRPr="009D3A51">
        <w:t>9.</w:t>
      </w:r>
      <w:r w:rsidRPr="009D3A51">
        <w:tab/>
        <w:t>Europaparlamentet påminner om att ett stort antal små och medelstora företag använder sig av standardavtalsklausuler. Parlamentet betonar att bolag och små och medelstora företag snarast behöver tydliga riktlinjer och stöd vid tillämpningen och tolkningen av domstolens dom.</w:t>
      </w:r>
    </w:p>
    <w:p w14:paraId="73B6FF38" w14:textId="3F7C1FC2" w:rsidR="00BF6571" w:rsidRPr="009D3A51" w:rsidRDefault="001C31D8" w:rsidP="001C31D8">
      <w:pPr>
        <w:pStyle w:val="NormalHanging12a"/>
        <w:ind w:hanging="566"/>
      </w:pPr>
      <w:r w:rsidRPr="009D3A51">
        <w:t>10.</w:t>
      </w:r>
      <w:r w:rsidRPr="009D3A51">
        <w:tab/>
        <w:t>Europaparlamentet framhåller den begränsade förhandlingsstyrkan och rättskapaciteten hos de europeiska små och medelstora företagen, som genom de föreskrivna självbedömningarna av huruvida skyddsnivån är adekvat i tredjeländer förväntas förstå de komplexa rättsliga ramarna i olika länder utanför EU. Parlamentet uppmanar kommissionen och Europeiska dataskyddsstyrelsen att grundligt undersöka behovet av eventuella kompletterande åtgärder och, om sådana krävs, av deras genomförbarhet, särskilt för små och medelstora företag.</w:t>
      </w:r>
    </w:p>
    <w:p w14:paraId="7E0D5CA8" w14:textId="231D8B77" w:rsidR="00BF6571" w:rsidRPr="009D3A51" w:rsidRDefault="001C31D8" w:rsidP="001C31D8">
      <w:pPr>
        <w:pStyle w:val="NormalHanging12a"/>
        <w:ind w:hanging="566"/>
      </w:pPr>
      <w:r w:rsidRPr="009D3A51">
        <w:t>11.</w:t>
      </w:r>
      <w:r w:rsidRPr="009D3A51">
        <w:tab/>
        <w:t>Europaparlamentet uppmanar med kraft de nationella tillsynsmyndigheterna att i sådana fall använda sina respektive befogenheter enligt artikel 3 i utkastet till genomförandebeslut och enligt artikel 58 i den allmänna dataskyddsförordningen.</w:t>
      </w:r>
    </w:p>
    <w:p w14:paraId="09D6268F" w14:textId="528C5193" w:rsidR="00BF6571" w:rsidRPr="009D3A51" w:rsidRDefault="00BF6571" w:rsidP="008A233B">
      <w:pPr>
        <w:pStyle w:val="NormalHanging12a"/>
        <w:keepNext/>
        <w:ind w:left="0" w:firstLine="0"/>
      </w:pPr>
      <w:r w:rsidRPr="009D3A51">
        <w:rPr>
          <w:b/>
          <w:i/>
        </w:rPr>
        <w:lastRenderedPageBreak/>
        <w:t xml:space="preserve">Skölden för skydd </w:t>
      </w:r>
      <w:bookmarkStart w:id="1" w:name="_GoBack"/>
      <w:bookmarkEnd w:id="1"/>
      <w:r w:rsidRPr="009D3A51">
        <w:rPr>
          <w:b/>
          <w:i/>
        </w:rPr>
        <w:t>av privatlivet</w:t>
      </w:r>
    </w:p>
    <w:p w14:paraId="038B72A1" w14:textId="36CA07D9" w:rsidR="00BF6571" w:rsidRPr="009D3A51" w:rsidRDefault="001C31D8" w:rsidP="001C31D8">
      <w:pPr>
        <w:pStyle w:val="NormalHanging12a"/>
        <w:ind w:hanging="566"/>
      </w:pPr>
      <w:r w:rsidRPr="009D3A51">
        <w:t>12.</w:t>
      </w:r>
      <w:r w:rsidRPr="009D3A51">
        <w:tab/>
        <w:t>Europaparlamentet noterar att domstolen, trots att skölden för skydd av privatlivet innebär förbättringar jämfört med safe harbour-arrangemangen, fann att skölden för skydd av privatlivet i EU och USA inte garanterar en väsentligen likvärdig och därmed adekvat skyddsnivå jämfört med den som föreskrivs i den allmänna dataskyddsförordningen och i EU:s stadga om de grundläggande rättigheterna, bland annat på grund av de villkor som införts när det gäller amerikanska myndigheters tillgång till personuppgifter som överförs inom ramen för skölden för skydd av privatlivet och på grund av att registrerade i EU saknar rättigheter att föra talan mot de amerikanska myndigheterna i amerikanska domstolar.</w:t>
      </w:r>
    </w:p>
    <w:p w14:paraId="26CF2723" w14:textId="0297FD1B" w:rsidR="00BF6571" w:rsidRPr="009D3A51" w:rsidRDefault="001C31D8" w:rsidP="001C31D8">
      <w:pPr>
        <w:pStyle w:val="NormalHanging12a"/>
        <w:ind w:hanging="566"/>
      </w:pPr>
      <w:r w:rsidRPr="009D3A51">
        <w:t>13.</w:t>
      </w:r>
      <w:r w:rsidRPr="009D3A51">
        <w:tab/>
        <w:t>Europaparlamentet påminner om sin resolution från 2018 om skölden för skydd av privatlivet, vars text underströk risken att denna sköld</w:t>
      </w:r>
      <w:r w:rsidR="008A233B" w:rsidRPr="009D3A51">
        <w:t xml:space="preserve"> ogiltigförklaras av Europeiska </w:t>
      </w:r>
      <w:r w:rsidRPr="009D3A51">
        <w:t>unionens domstol.</w:t>
      </w:r>
    </w:p>
    <w:p w14:paraId="7FF8DF33" w14:textId="0C61E4F7" w:rsidR="00BF6571" w:rsidRPr="009D3A51" w:rsidRDefault="00BF6571" w:rsidP="00BF6571">
      <w:pPr>
        <w:pStyle w:val="NormalHanging12a"/>
        <w:spacing w:before="240"/>
        <w:ind w:left="1" w:firstLine="0"/>
      </w:pPr>
      <w:r w:rsidRPr="009D3A51">
        <w:rPr>
          <w:b/>
          <w:i/>
        </w:rPr>
        <w:t>Massövervakning och rättsliga ramar</w:t>
      </w:r>
    </w:p>
    <w:p w14:paraId="5CEDF62D" w14:textId="3A8437DC" w:rsidR="00BF6571" w:rsidRPr="009D3A51" w:rsidRDefault="001C31D8" w:rsidP="001C31D8">
      <w:pPr>
        <w:pStyle w:val="NormalHanging12a"/>
        <w:ind w:hanging="566"/>
      </w:pPr>
      <w:r w:rsidRPr="009D3A51">
        <w:t>14.</w:t>
      </w:r>
      <w:r w:rsidRPr="009D3A51">
        <w:tab/>
        <w:t>Europaparlamentet uppmuntrar kommissionen att fortsätta att övervaka användningen av massövervakningsteknik i Förenade kungariket.</w:t>
      </w:r>
    </w:p>
    <w:p w14:paraId="5DCAA0DA" w14:textId="1D12F8DE" w:rsidR="00BF6571" w:rsidRPr="009D3A51" w:rsidRDefault="001C31D8" w:rsidP="001C31D8">
      <w:pPr>
        <w:pStyle w:val="NormalHanging12a"/>
        <w:ind w:hanging="566"/>
      </w:pPr>
      <w:r w:rsidRPr="009D3A51">
        <w:t>15.</w:t>
      </w:r>
      <w:r w:rsidRPr="009D3A51">
        <w:tab/>
        <w:t>Europaparlamentet påpekar att varken Kaliforniens Consumer Privacy Act (lag om skydd av konsumenters personuppgifter) i Förenta staterna eller något av de federala förslagen hittills uppfyller den allmänna dataskydd</w:t>
      </w:r>
      <w:r w:rsidR="008A233B" w:rsidRPr="009D3A51">
        <w:t>sförordningens krav avseende en </w:t>
      </w:r>
      <w:r w:rsidRPr="009D3A51">
        <w:t>adekvat skyddsnivå. Parlamentet uppmuntrar den amerikanska federala lagstiftaren att på nationell nivå anta en kraftfull och övergripande federal lag om dataskydd och integritetsfrågor som uppfyller dessa krav.</w:t>
      </w:r>
    </w:p>
    <w:p w14:paraId="60391FF9" w14:textId="737D8934" w:rsidR="00BF6571" w:rsidRPr="009D3A51" w:rsidRDefault="001C31D8" w:rsidP="001C31D8">
      <w:pPr>
        <w:pStyle w:val="NormalHanging12a"/>
        <w:ind w:hanging="566"/>
      </w:pPr>
      <w:r w:rsidRPr="009D3A51">
        <w:t>16.</w:t>
      </w:r>
      <w:r w:rsidRPr="009D3A51">
        <w:tab/>
        <w:t>Europaparlamentet påpekar att sådan lagstiftning om uppgiftsskydd och skydd av personlig integritet för konsumenter inte i sig kommer att avhjälpa de grundläggande problem som domstolen identifierat avseende amerikanska underrättelsetjänsters massövervakning och den otillräckliga tillgången till rättsmedel. Parlamentet uppmanar Förenta staternas federala lagstiftare att över</w:t>
      </w:r>
      <w:r w:rsidR="008A233B" w:rsidRPr="009D3A51">
        <w:t>väga ändringar av avsnitt 702 i </w:t>
      </w:r>
      <w:r w:rsidRPr="009D3A51">
        <w:t>Foreign Intelligence Surveillance Act (den amerikanska lag som reglerar övervakning av utländsk underrättelseverksamhet i USA), Executive Order 12333 och Presidential Policy Directive 28, särskilt när det gäller att ge EU-medborgare och amerikanska medborgare samma skyddsnivå.</w:t>
      </w:r>
    </w:p>
    <w:p w14:paraId="39D79FD9" w14:textId="4D78380C" w:rsidR="00BF6571" w:rsidRPr="009D3A51" w:rsidRDefault="00BF6571" w:rsidP="00BF6571">
      <w:pPr>
        <w:pStyle w:val="NormalHanging12a"/>
        <w:ind w:left="1" w:firstLine="0"/>
      </w:pPr>
      <w:r w:rsidRPr="009D3A51">
        <w:rPr>
          <w:b/>
          <w:i/>
        </w:rPr>
        <w:t>Beslut om adekvat skyddsnivå</w:t>
      </w:r>
    </w:p>
    <w:p w14:paraId="00A43691" w14:textId="4893C986" w:rsidR="00BF6571" w:rsidRPr="009D3A51" w:rsidRDefault="001C31D8" w:rsidP="001C31D8">
      <w:pPr>
        <w:pStyle w:val="NormalHanging12a"/>
        <w:ind w:hanging="566"/>
      </w:pPr>
      <w:r w:rsidRPr="009D3A51">
        <w:t>17.</w:t>
      </w:r>
      <w:r w:rsidRPr="009D3A51">
        <w:tab/>
        <w:t>Europaparlamentet uppmanar kommissionen att vidta alla nödvändiga åtgärder för att se till att alla ytterligare arrangemang med USA är helt förenliga med förordning (EU) 2016/679, med EU:s stadga om de grundläggande rättigheterna och med alla aspekter av domen från Europeiska unionens domstol.</w:t>
      </w:r>
    </w:p>
    <w:p w14:paraId="5121FE11" w14:textId="2969E211" w:rsidR="00BF6571" w:rsidRPr="009D3A51" w:rsidRDefault="001C31D8" w:rsidP="001C31D8">
      <w:pPr>
        <w:pStyle w:val="NormalHanging12a"/>
        <w:ind w:hanging="566"/>
      </w:pPr>
      <w:r w:rsidRPr="009D3A51">
        <w:t>18.</w:t>
      </w:r>
      <w:r w:rsidRPr="009D3A51">
        <w:tab/>
        <w:t>Europaparlamentet påminner om kommissionens skyldighet att se över alla beslut om adekvat skyddsnivå som antagits enligt direktiv (EG) 95/46 med tillämpning av slutsatserna i domarna i målen ”Schrems I och II” för att bedöma huruvida en</w:t>
      </w:r>
      <w:r w:rsidR="008A233B" w:rsidRPr="009D3A51">
        <w:t> </w:t>
      </w:r>
      <w:r w:rsidRPr="009D3A51">
        <w:t>väsentligen likvärdig skyddsnivå erbjuds.</w:t>
      </w:r>
    </w:p>
    <w:p w14:paraId="3ABA9745" w14:textId="3C48E7D7" w:rsidR="00BF6571" w:rsidRPr="009D3A51" w:rsidRDefault="001C31D8" w:rsidP="001C31D8">
      <w:pPr>
        <w:pStyle w:val="NormalHanging12a"/>
        <w:ind w:hanging="566"/>
      </w:pPr>
      <w:r w:rsidRPr="009D3A51">
        <w:lastRenderedPageBreak/>
        <w:t>19.</w:t>
      </w:r>
      <w:r w:rsidRPr="009D3A51">
        <w:tab/>
        <w:t>Europaparlamentet uppmanar kommissionen att inte fatta något nytt beslut om adekvat skyddsnivå med avseende på Förenta staterna, såvida det inte görs meningsfulla reformer i lagstiftning och praxis på området för offentliga myndigheters tillgång till information, särskilt avseende nationell säkerhet och underrättelseverksamhet.</w:t>
      </w:r>
    </w:p>
    <w:p w14:paraId="4D5DE174" w14:textId="416E086C" w:rsidR="00BF6571" w:rsidRPr="009D3A51" w:rsidRDefault="001C31D8" w:rsidP="008A233B">
      <w:pPr>
        <w:pStyle w:val="NormalHanging12a"/>
        <w:widowControl/>
      </w:pPr>
      <w:r w:rsidRPr="009D3A51">
        <w:t>20.</w:t>
      </w:r>
      <w:r w:rsidRPr="009D3A51">
        <w:tab/>
        <w:t>Europaparlamentet uppmanar kommissionen att offentliggöra en uppdaterad förteckning över kriterier som den tar hänsyn till när den bedömer huruvida ett tredjeland uppfyller kraven för ett beslut om adekvat skyddsnivå.</w:t>
      </w:r>
    </w:p>
    <w:p w14:paraId="332C3C2E" w14:textId="3FD09EEF" w:rsidR="00BF6571" w:rsidRPr="009D3A51" w:rsidRDefault="001C31D8" w:rsidP="001C31D8">
      <w:pPr>
        <w:pStyle w:val="NormalHanging12a"/>
        <w:ind w:hanging="566"/>
      </w:pPr>
      <w:r w:rsidRPr="009D3A51">
        <w:t>21.</w:t>
      </w:r>
      <w:r w:rsidRPr="009D3A51">
        <w:tab/>
        <w:t>Europaparlamentet uppdrar åt talmannen att översända denna resolution till kommissionen, Europeiska rådet, rådet, Europeiska dataskyddsstyrelsen och de nationella parlamenten.</w:t>
      </w:r>
    </w:p>
    <w:sectPr w:rsidR="00BF6571" w:rsidRPr="009D3A51" w:rsidSect="00C46FF9">
      <w:headerReference w:type="even" r:id="rId9"/>
      <w:headerReference w:type="default" r:id="rId10"/>
      <w:footerReference w:type="even" r:id="rId11"/>
      <w:footerReference w:type="default" r:id="rId12"/>
      <w:headerReference w:type="first" r:id="rId13"/>
      <w:footerReference w:type="first" r:id="rId14"/>
      <w:footnotePr>
        <w:numRestart w:val="eachSect"/>
      </w:footnotePr>
      <w:endnotePr>
        <w:numFmt w:val="decimal"/>
      </w:endnotePr>
      <w:pgSz w:w="11906" w:h="16838" w:code="9"/>
      <w:pgMar w:top="1134" w:right="1418" w:bottom="1418" w:left="1418" w:header="1134" w:footer="567"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8380B4" w14:textId="77777777" w:rsidR="00F510C8" w:rsidRPr="00C46FF9" w:rsidRDefault="00F510C8">
      <w:r w:rsidRPr="00C46FF9">
        <w:separator/>
      </w:r>
    </w:p>
  </w:endnote>
  <w:endnote w:type="continuationSeparator" w:id="0">
    <w:p w14:paraId="0DE703E5" w14:textId="77777777" w:rsidR="00F510C8" w:rsidRPr="00C46FF9" w:rsidRDefault="00F510C8">
      <w:r w:rsidRPr="00C46FF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DejaVu Serif">
    <w:altName w:val="Times New Roman"/>
    <w:charset w:val="01"/>
    <w:family w:val="roman"/>
    <w:pitch w:val="variable"/>
  </w:font>
  <w:font w:name="DejaVu Sans">
    <w:altName w:val="Times New Roman"/>
    <w:charset w:val="01"/>
    <w:family w:val="roman"/>
    <w:pitch w:val="variable"/>
  </w:font>
  <w:font w:name="Noto Sans Devanagari">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okChampa">
    <w:altName w:val="Leelawadee UI"/>
    <w:charset w:val="DE"/>
    <w:family w:val="swiss"/>
    <w:pitch w:val="variable"/>
    <w:sig w:usb0="00000000" w:usb1="00000000" w:usb2="00000000" w:usb3="00000000" w:csb0="0001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354A75" w14:textId="4155A13C" w:rsidR="00C46FF9" w:rsidRPr="00C46FF9" w:rsidRDefault="00C46FF9" w:rsidP="00C46FF9">
    <w:pPr>
      <w:pStyle w:val="EPFooter"/>
    </w:pPr>
    <w:r w:rsidRPr="00C46FF9">
      <w:t>PE</w:t>
    </w:r>
    <w:r w:rsidRPr="00C46FF9">
      <w:rPr>
        <w:rStyle w:val="HideTWBExt"/>
        <w:noProof w:val="0"/>
      </w:rPr>
      <w:t>&lt;NoPE&gt;</w:t>
    </w:r>
    <w:r w:rsidRPr="00C46FF9">
      <w:t>663.216</w:t>
    </w:r>
    <w:r w:rsidRPr="00C46FF9">
      <w:rPr>
        <w:rStyle w:val="HideTWBExt"/>
        <w:noProof w:val="0"/>
      </w:rPr>
      <w:t>&lt;/NoPE&gt;&lt;Version&gt;</w:t>
    </w:r>
    <w:r w:rsidRPr="00C46FF9">
      <w:t>v01-00</w:t>
    </w:r>
    <w:r w:rsidRPr="00C46FF9">
      <w:rPr>
        <w:rStyle w:val="HideTWBExt"/>
        <w:noProof w:val="0"/>
      </w:rPr>
      <w:t>&lt;/Version&gt;</w:t>
    </w:r>
    <w:r w:rsidRPr="00C46FF9">
      <w:tab/>
    </w:r>
    <w:r w:rsidRPr="00C46FF9">
      <w:fldChar w:fldCharType="begin"/>
    </w:r>
    <w:r w:rsidRPr="00C46FF9">
      <w:instrText xml:space="preserve"> PAGE  \* MERGEFORMAT </w:instrText>
    </w:r>
    <w:r w:rsidRPr="00C46FF9">
      <w:fldChar w:fldCharType="separate"/>
    </w:r>
    <w:r w:rsidR="009D3A51">
      <w:rPr>
        <w:noProof/>
      </w:rPr>
      <w:t>4</w:t>
    </w:r>
    <w:r w:rsidRPr="00C46FF9">
      <w:fldChar w:fldCharType="end"/>
    </w:r>
    <w:r w:rsidRPr="00C46FF9">
      <w:t>/</w:t>
    </w:r>
    <w:fldSimple w:instr=" NUMPAGES  \* MERGEFORMAT ">
      <w:r w:rsidR="009D3A51">
        <w:rPr>
          <w:noProof/>
        </w:rPr>
        <w:t>6</w:t>
      </w:r>
    </w:fldSimple>
    <w:r w:rsidRPr="00C46FF9">
      <w:tab/>
    </w:r>
    <w:r w:rsidRPr="00C46FF9">
      <w:rPr>
        <w:rStyle w:val="HideTWBExt"/>
        <w:noProof w:val="0"/>
      </w:rPr>
      <w:t>&lt;PathFdR&gt;</w:t>
    </w:r>
    <w:r w:rsidRPr="00C46FF9">
      <w:t>RE\1222135SV.docx</w:t>
    </w:r>
    <w:r w:rsidRPr="00C46FF9">
      <w:rPr>
        <w:rStyle w:val="HideTWBExt"/>
        <w:noProof w:val="0"/>
      </w:rPr>
      <w:t>&lt;/PathFdR&gt;</w:t>
    </w:r>
  </w:p>
  <w:p w14:paraId="012744B5" w14:textId="551A4BFA" w:rsidR="00A90219" w:rsidRPr="00C46FF9" w:rsidRDefault="00C46FF9" w:rsidP="00C46FF9">
    <w:pPr>
      <w:pStyle w:val="EPFooter2"/>
    </w:pPr>
    <w:r w:rsidRPr="00C46FF9">
      <w:t>SV</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C59756" w14:textId="3651A893" w:rsidR="00C46FF9" w:rsidRPr="00C46FF9" w:rsidRDefault="00C46FF9" w:rsidP="00C46FF9">
    <w:pPr>
      <w:pStyle w:val="EPFooter"/>
    </w:pPr>
    <w:r w:rsidRPr="00C46FF9">
      <w:rPr>
        <w:rStyle w:val="HideTWBExt"/>
        <w:noProof w:val="0"/>
      </w:rPr>
      <w:t>&lt;PathFdR&gt;</w:t>
    </w:r>
    <w:r w:rsidRPr="00C46FF9">
      <w:t>RE\1222135SV.docx</w:t>
    </w:r>
    <w:r w:rsidRPr="00C46FF9">
      <w:rPr>
        <w:rStyle w:val="HideTWBExt"/>
        <w:noProof w:val="0"/>
      </w:rPr>
      <w:t>&lt;/PathFdR&gt;</w:t>
    </w:r>
    <w:r w:rsidRPr="00C46FF9">
      <w:tab/>
    </w:r>
    <w:r w:rsidRPr="00C46FF9">
      <w:fldChar w:fldCharType="begin"/>
    </w:r>
    <w:r w:rsidRPr="00C46FF9">
      <w:instrText xml:space="preserve"> PAGE  \* MERGEFORMAT </w:instrText>
    </w:r>
    <w:r w:rsidRPr="00C46FF9">
      <w:fldChar w:fldCharType="separate"/>
    </w:r>
    <w:r w:rsidR="009D3A51">
      <w:rPr>
        <w:noProof/>
      </w:rPr>
      <w:t>5</w:t>
    </w:r>
    <w:r w:rsidRPr="00C46FF9">
      <w:fldChar w:fldCharType="end"/>
    </w:r>
    <w:r w:rsidRPr="00C46FF9">
      <w:t>/</w:t>
    </w:r>
    <w:fldSimple w:instr=" NUMPAGES  \* MERGEFORMAT ">
      <w:r w:rsidR="009D3A51">
        <w:rPr>
          <w:noProof/>
        </w:rPr>
        <w:t>6</w:t>
      </w:r>
    </w:fldSimple>
    <w:r w:rsidRPr="00C46FF9">
      <w:tab/>
      <w:t>PE</w:t>
    </w:r>
    <w:r w:rsidRPr="00C46FF9">
      <w:rPr>
        <w:rStyle w:val="HideTWBExt"/>
        <w:noProof w:val="0"/>
      </w:rPr>
      <w:t>&lt;NoPE&gt;</w:t>
    </w:r>
    <w:r w:rsidRPr="00C46FF9">
      <w:t>663.216</w:t>
    </w:r>
    <w:r w:rsidRPr="00C46FF9">
      <w:rPr>
        <w:rStyle w:val="HideTWBExt"/>
        <w:noProof w:val="0"/>
      </w:rPr>
      <w:t>&lt;/NoPE&gt;&lt;Version&gt;</w:t>
    </w:r>
    <w:r w:rsidRPr="00C46FF9">
      <w:t>v01-00</w:t>
    </w:r>
    <w:r w:rsidRPr="00C46FF9">
      <w:rPr>
        <w:rStyle w:val="HideTWBExt"/>
        <w:noProof w:val="0"/>
      </w:rPr>
      <w:t>&lt;/Version&gt;</w:t>
    </w:r>
  </w:p>
  <w:p w14:paraId="200C4218" w14:textId="7593A5C8" w:rsidR="00A90219" w:rsidRPr="00C46FF9" w:rsidRDefault="00C46FF9" w:rsidP="00C46FF9">
    <w:pPr>
      <w:pStyle w:val="EPFooter2"/>
    </w:pPr>
    <w:r w:rsidRPr="00C46FF9">
      <w:tab/>
    </w:r>
    <w:r w:rsidRPr="00C46FF9">
      <w:tab/>
      <w:t>SV</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BFF7BA" w14:textId="77777777" w:rsidR="00C46FF9" w:rsidRPr="00C46FF9" w:rsidRDefault="00C46FF9" w:rsidP="00C46FF9">
    <w:pPr>
      <w:pStyle w:val="EPFooter"/>
    </w:pPr>
    <w:r w:rsidRPr="00C46FF9">
      <w:rPr>
        <w:rStyle w:val="HideTWBExt"/>
        <w:noProof w:val="0"/>
      </w:rPr>
      <w:t>&lt;PathFdR&gt;</w:t>
    </w:r>
    <w:r w:rsidRPr="00C46FF9">
      <w:t>RE\1222135SV.docx</w:t>
    </w:r>
    <w:r w:rsidRPr="00C46FF9">
      <w:rPr>
        <w:rStyle w:val="HideTWBExt"/>
        <w:noProof w:val="0"/>
      </w:rPr>
      <w:t>&lt;/PathFdR&gt;</w:t>
    </w:r>
    <w:r w:rsidRPr="00C46FF9">
      <w:tab/>
    </w:r>
    <w:r w:rsidRPr="00C46FF9">
      <w:tab/>
      <w:t>PE</w:t>
    </w:r>
    <w:r w:rsidRPr="00C46FF9">
      <w:rPr>
        <w:rStyle w:val="HideTWBExt"/>
        <w:noProof w:val="0"/>
      </w:rPr>
      <w:t>&lt;NoPE&gt;</w:t>
    </w:r>
    <w:r w:rsidRPr="00C46FF9">
      <w:t>663.216</w:t>
    </w:r>
    <w:r w:rsidRPr="00C46FF9">
      <w:rPr>
        <w:rStyle w:val="HideTWBExt"/>
        <w:noProof w:val="0"/>
      </w:rPr>
      <w:t>&lt;/NoPE&gt;&lt;Version&gt;</w:t>
    </w:r>
    <w:r w:rsidRPr="00C46FF9">
      <w:t>v01-00</w:t>
    </w:r>
    <w:r w:rsidRPr="00C46FF9">
      <w:rPr>
        <w:rStyle w:val="HideTWBExt"/>
        <w:noProof w:val="0"/>
      </w:rPr>
      <w:t>&lt;/Version&gt;</w:t>
    </w:r>
  </w:p>
  <w:p w14:paraId="7556990F" w14:textId="4FD23018" w:rsidR="00A90219" w:rsidRPr="00C46FF9" w:rsidRDefault="00C46FF9" w:rsidP="00C46FF9">
    <w:pPr>
      <w:pStyle w:val="EPFooter2"/>
    </w:pPr>
    <w:r w:rsidRPr="00C46FF9">
      <w:t>SV</w:t>
    </w:r>
    <w:r w:rsidRPr="00C46FF9">
      <w:tab/>
    </w:r>
    <w:r w:rsidRPr="00C46FF9">
      <w:rPr>
        <w:b w:val="0"/>
        <w:i/>
        <w:color w:val="C0C0C0"/>
        <w:sz w:val="22"/>
      </w:rPr>
      <w:t>Förenade i mångfalden</w:t>
    </w:r>
    <w:r w:rsidRPr="00C46FF9">
      <w:tab/>
      <w:t>SV</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FFF761" w14:textId="77777777" w:rsidR="00F510C8" w:rsidRPr="00C46FF9" w:rsidRDefault="00F510C8">
      <w:r w:rsidRPr="00C46FF9">
        <w:separator/>
      </w:r>
    </w:p>
  </w:footnote>
  <w:footnote w:type="continuationSeparator" w:id="0">
    <w:p w14:paraId="739DD931" w14:textId="77777777" w:rsidR="00F510C8" w:rsidRPr="00C46FF9" w:rsidRDefault="00F510C8">
      <w:r w:rsidRPr="00C46FF9">
        <w:continuationSeparator/>
      </w:r>
    </w:p>
  </w:footnote>
  <w:footnote w:id="1">
    <w:p w14:paraId="6D9CB35F" w14:textId="55F593B9" w:rsidR="001E1556" w:rsidRPr="00C46FF9" w:rsidRDefault="001E1556" w:rsidP="001E1556">
      <w:pPr>
        <w:pStyle w:val="FootnoteText"/>
        <w:rPr>
          <w:rFonts w:ascii="Times New Roman" w:hAnsi="Times New Roman" w:cs="Times New Roman"/>
        </w:rPr>
      </w:pPr>
      <w:r w:rsidRPr="008A233B">
        <w:rPr>
          <w:rStyle w:val="Funotenzeichen"/>
          <w:rFonts w:ascii="Times New Roman" w:hAnsi="Times New Roman" w:cs="Times New Roman"/>
          <w:vertAlign w:val="superscript"/>
        </w:rPr>
        <w:footnoteRef/>
      </w:r>
      <w:r w:rsidR="008A233B">
        <w:t xml:space="preserve"> </w:t>
      </w:r>
      <w:hyperlink r:id="rId1" w:history="1">
        <w:hyperlink r:id="rId2" w:history="1">
          <w:r w:rsidRPr="00C46FF9">
            <w:rPr>
              <w:rStyle w:val="Hyperlink"/>
              <w:rFonts w:ascii="Times New Roman" w:hAnsi="Times New Roman"/>
            </w:rPr>
            <w:t>https://eur-lex.europa.eu/legal-content/EN/TXT/?uri=CELEX%3A62018CA0311&amp;qid=1610640279033</w:t>
          </w:r>
        </w:hyperlink>
      </w:hyperlink>
      <w:r w:rsidRPr="00C46FF9">
        <w:rPr>
          <w:rFonts w:ascii="Times New Roman" w:hAnsi="Times New Roman"/>
        </w:rPr>
        <w:t xml:space="preserve"> </w:t>
      </w:r>
    </w:p>
  </w:footnote>
  <w:footnote w:id="2">
    <w:p w14:paraId="547F0DAC" w14:textId="4930FDA4" w:rsidR="003A76FC" w:rsidRPr="00C46FF9" w:rsidRDefault="003A76FC" w:rsidP="003A76FC">
      <w:pPr>
        <w:pStyle w:val="FootnoteText"/>
      </w:pPr>
      <w:r w:rsidRPr="00C46FF9">
        <w:rPr>
          <w:rStyle w:val="FootnoteReference"/>
        </w:rPr>
        <w:footnoteRef/>
      </w:r>
      <w:r w:rsidRPr="00C46FF9">
        <w:t xml:space="preserve"> </w:t>
      </w:r>
      <w:hyperlink r:id="rId3" w:history="1">
        <w:r w:rsidRPr="00C46FF9">
          <w:rPr>
            <w:rStyle w:val="Hyperlink"/>
          </w:rPr>
          <w:t>https://eur-lex.europa.eu/legal-content/SV/TXT/?uri=CELEX%3A62014CJ0362</w:t>
        </w:r>
      </w:hyperlink>
      <w:r w:rsidRPr="00C46FF9">
        <w:t xml:space="preserve"> </w:t>
      </w:r>
    </w:p>
  </w:footnote>
  <w:footnote w:id="3">
    <w:p w14:paraId="293C707A" w14:textId="777F69D2" w:rsidR="003A76FC" w:rsidRPr="00C46FF9" w:rsidRDefault="003A76FC" w:rsidP="003A76FC">
      <w:pPr>
        <w:pStyle w:val="FootnoteText"/>
      </w:pPr>
      <w:r w:rsidRPr="00C46FF9">
        <w:rPr>
          <w:rStyle w:val="FootnoteReference"/>
        </w:rPr>
        <w:footnoteRef/>
      </w:r>
      <w:r w:rsidRPr="00C46FF9">
        <w:t xml:space="preserve"> </w:t>
      </w:r>
      <w:hyperlink r:id="rId4" w:history="1">
        <w:r w:rsidRPr="00C46FF9">
          <w:rPr>
            <w:rStyle w:val="Hyperlink"/>
          </w:rPr>
          <w:t>https://eur-lex.europa.eu/legal-content/SV/TXT/?uri=CELEX:62017CJ0623</w:t>
        </w:r>
      </w:hyperlink>
      <w:r w:rsidRPr="00C46FF9">
        <w:t xml:space="preserve"> </w:t>
      </w:r>
    </w:p>
  </w:footnote>
  <w:footnote w:id="4">
    <w:p w14:paraId="0EB3CEDE" w14:textId="6E0B970C" w:rsidR="003A76FC" w:rsidRPr="00C46FF9" w:rsidRDefault="003A76FC" w:rsidP="003A76FC">
      <w:pPr>
        <w:pStyle w:val="FootnoteText"/>
        <w:rPr>
          <w:rFonts w:ascii="Times New Roman" w:hAnsi="Times New Roman" w:cs="Times New Roman"/>
        </w:rPr>
      </w:pPr>
      <w:r w:rsidRPr="008A233B">
        <w:rPr>
          <w:rFonts w:ascii="Times New Roman" w:hAnsi="Times New Roman" w:cs="Times New Roman"/>
          <w:vertAlign w:val="superscript"/>
        </w:rPr>
        <w:footnoteRef/>
      </w:r>
      <w:r w:rsidR="008A233B">
        <w:rPr>
          <w:rFonts w:ascii="Times New Roman" w:hAnsi="Times New Roman"/>
        </w:rPr>
        <w:t xml:space="preserve"> </w:t>
      </w:r>
      <w:r w:rsidRPr="00C46FF9">
        <w:rPr>
          <w:rFonts w:ascii="Times New Roman" w:hAnsi="Times New Roman"/>
        </w:rPr>
        <w:t xml:space="preserve">P8_TA(2018)0315, </w:t>
      </w:r>
      <w:hyperlink r:id="rId5" w:history="1">
        <w:r w:rsidRPr="00C46FF9">
          <w:rPr>
            <w:rFonts w:ascii="Times New Roman" w:hAnsi="Times New Roman"/>
          </w:rPr>
          <w:t>https://www.europarl.europa.eu/doceo/document/TA-8-2018-0315_SV.html</w:t>
        </w:r>
      </w:hyperlink>
      <w:r w:rsidRPr="00C46FF9">
        <w:rPr>
          <w:rFonts w:ascii="Times New Roman" w:hAnsi="Times New Roman"/>
        </w:rPr>
        <w:t xml:space="preserve"> </w:t>
      </w:r>
    </w:p>
  </w:footnote>
  <w:footnote w:id="5">
    <w:p w14:paraId="2313C642" w14:textId="4DAE87A4" w:rsidR="003A76FC" w:rsidRPr="00C46FF9" w:rsidRDefault="003A76FC" w:rsidP="003A76FC">
      <w:pPr>
        <w:rPr>
          <w:sz w:val="20"/>
        </w:rPr>
      </w:pPr>
      <w:r w:rsidRPr="008A233B">
        <w:rPr>
          <w:sz w:val="20"/>
          <w:vertAlign w:val="superscript"/>
        </w:rPr>
        <w:footnoteRef/>
      </w:r>
      <w:r w:rsidR="008A233B">
        <w:rPr>
          <w:sz w:val="20"/>
        </w:rPr>
        <w:t xml:space="preserve"> </w:t>
      </w:r>
      <w:r w:rsidRPr="00C46FF9">
        <w:rPr>
          <w:sz w:val="20"/>
        </w:rPr>
        <w:t xml:space="preserve">P8_TA(2018)0433, </w:t>
      </w:r>
      <w:hyperlink r:id="rId6" w:history="1">
        <w:r w:rsidRPr="00C46FF9">
          <w:rPr>
            <w:sz w:val="20"/>
          </w:rPr>
          <w:t>https://www.europarl.europa.eu/doceo/document/TA-8-2018-0433_SV.html</w:t>
        </w:r>
      </w:hyperlink>
      <w:r w:rsidRPr="00C46FF9">
        <w:rPr>
          <w:sz w:val="20"/>
        </w:rPr>
        <w:t xml:space="preserve"> </w:t>
      </w:r>
    </w:p>
  </w:footnote>
  <w:footnote w:id="6">
    <w:p w14:paraId="48A9A0E0" w14:textId="50A3049C" w:rsidR="003A76FC" w:rsidRPr="00C46FF9" w:rsidRDefault="003A76FC" w:rsidP="003A76FC">
      <w:pPr>
        <w:pStyle w:val="FootnoteText"/>
        <w:rPr>
          <w:rFonts w:ascii="Times New Roman" w:hAnsi="Times New Roman" w:cs="Times New Roman"/>
        </w:rPr>
      </w:pPr>
      <w:r w:rsidRPr="00C46FF9">
        <w:rPr>
          <w:rStyle w:val="FootnoteReference"/>
          <w:rFonts w:ascii="Times New Roman" w:hAnsi="Times New Roman" w:cs="Times New Roman"/>
        </w:rPr>
        <w:footnoteRef/>
      </w:r>
      <w:r w:rsidR="008A233B">
        <w:rPr>
          <w:rFonts w:ascii="Times New Roman" w:hAnsi="Times New Roman"/>
        </w:rPr>
        <w:t xml:space="preserve"> </w:t>
      </w:r>
      <w:r w:rsidRPr="00C46FF9">
        <w:rPr>
          <w:rFonts w:ascii="Times New Roman" w:hAnsi="Times New Roman"/>
        </w:rPr>
        <w:t>P9_TA(2020)0337, https://www.europarl.europa.eu/doceo/document/TA-9-2020-0337_SV.html</w:t>
      </w:r>
    </w:p>
  </w:footnote>
  <w:footnote w:id="7">
    <w:p w14:paraId="2E8D957B" w14:textId="3B968827" w:rsidR="003A76FC" w:rsidRPr="008A233B" w:rsidRDefault="003A76FC" w:rsidP="003A76FC">
      <w:pPr>
        <w:pStyle w:val="BodyText"/>
        <w:rPr>
          <w:sz w:val="20"/>
        </w:rPr>
      </w:pPr>
      <w:r w:rsidRPr="008A233B">
        <w:rPr>
          <w:sz w:val="20"/>
          <w:vertAlign w:val="superscript"/>
        </w:rPr>
        <w:footnoteRef/>
      </w:r>
      <w:r w:rsidR="008A233B">
        <w:rPr>
          <w:sz w:val="20"/>
        </w:rPr>
        <w:t xml:space="preserve"> </w:t>
      </w:r>
      <w:r w:rsidRPr="008A233B">
        <w:rPr>
          <w:sz w:val="20"/>
        </w:rPr>
        <w:t xml:space="preserve">Europaparlamentets och rådets förordning (EU) 2016/679 av den 27 april 2016 om skydd för fysiska personer med avseende på behandling av personuppgifter och om det fria flödet av sådana uppgifter och om upphävande av direktiv 95/46/EG (allmän dataskyddsförordning) (EUT L 119, 4.5.2016, s. 1) </w:t>
      </w:r>
      <w:hyperlink r:id="rId7" w:history="1">
        <w:r w:rsidRPr="008A233B">
          <w:rPr>
            <w:color w:val="4472C4" w:themeColor="accent5"/>
            <w:sz w:val="20"/>
            <w:u w:val="single"/>
          </w:rPr>
          <w:t>http://data.europa.eu/eli/reg/2016/679/oj</w:t>
        </w:r>
      </w:hyperlink>
      <w:r w:rsidRPr="008A233B">
        <w:rPr>
          <w:sz w:val="20"/>
        </w:rPr>
        <w:t>.</w:t>
      </w:r>
    </w:p>
    <w:p w14:paraId="08AC5CF0" w14:textId="77777777" w:rsidR="003A76FC" w:rsidRPr="00C46FF9" w:rsidRDefault="003A76FC" w:rsidP="003A76FC">
      <w:pPr>
        <w:pStyle w:val="FootnoteText"/>
        <w:rPr>
          <w:rFonts w:ascii="DejaVu Sans" w:hAnsi="DejaVu Sans"/>
        </w:rPr>
      </w:pPr>
    </w:p>
  </w:footnote>
  <w:footnote w:id="8">
    <w:p w14:paraId="11E936E8" w14:textId="18F21763" w:rsidR="008A233B" w:rsidRDefault="003A76FC" w:rsidP="008A233B">
      <w:pPr>
        <w:pStyle w:val="FootnoteText"/>
        <w:ind w:left="0" w:firstLine="0"/>
        <w:rPr>
          <w:rStyle w:val="Hyperlink"/>
        </w:rPr>
      </w:pPr>
      <w:r w:rsidRPr="00C46FF9">
        <w:rPr>
          <w:rStyle w:val="FootnoteReference"/>
        </w:rPr>
        <w:footnoteRef/>
      </w:r>
      <w:r w:rsidRPr="00C46FF9">
        <w:t xml:space="preserve"> </w:t>
      </w:r>
      <w:hyperlink r:id="rId8" w:history="1">
        <w:r w:rsidRPr="00C46FF9">
          <w:rPr>
            <w:rStyle w:val="Hyperlink"/>
          </w:rPr>
          <w:t>https://edpb.europa.eu/our-work-tools/public-consultations-art-704/2020/recommendations-012020-measures-supplement-transfer_en</w:t>
        </w:r>
      </w:hyperlink>
      <w:r w:rsidR="008A233B">
        <w:rPr>
          <w:rStyle w:val="Hyperlink"/>
        </w:rPr>
        <w:t xml:space="preserve"> </w:t>
      </w:r>
    </w:p>
    <w:p w14:paraId="69DFD773" w14:textId="1A77F4ED" w:rsidR="003A76FC" w:rsidRPr="00C46FF9" w:rsidRDefault="009D3A51" w:rsidP="008A233B">
      <w:pPr>
        <w:pStyle w:val="FootnoteText"/>
        <w:ind w:left="0" w:firstLine="0"/>
      </w:pPr>
      <w:hyperlink r:id="rId9" w:history="1">
        <w:r w:rsidR="003A76FC" w:rsidRPr="00C46FF9">
          <w:rPr>
            <w:rStyle w:val="Hyperlink"/>
          </w:rPr>
          <w:t>https://edpb.europa.eu/our-work-tools/our-documents/recommendations/edpb-recommendations-022020-european-essential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759569" w14:textId="77777777" w:rsidR="008A233B" w:rsidRDefault="008A23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E5D3C" w14:textId="77777777" w:rsidR="008A233B" w:rsidRDefault="008A23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BF0FF" w14:textId="77777777" w:rsidR="008A233B" w:rsidRDefault="008A23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B22A8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C0EE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FB40F5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F525D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730919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26A2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DC9A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120C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92AAA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B4278A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9086570"/>
    <w:multiLevelType w:val="hybridMultilevel"/>
    <w:tmpl w:val="19DA1E1E"/>
    <w:lvl w:ilvl="0" w:tplc="5378A36C">
      <w:start w:val="1"/>
      <w:numFmt w:val="upperLetter"/>
      <w:lvlText w:val="%1."/>
      <w:lvlJc w:val="left"/>
      <w:pPr>
        <w:ind w:left="926" w:hanging="566"/>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1" w15:restartNumberingAfterBreak="0">
    <w:nsid w:val="52001B35"/>
    <w:multiLevelType w:val="hybridMultilevel"/>
    <w:tmpl w:val="F57E875E"/>
    <w:lvl w:ilvl="0" w:tplc="A9940D5C">
      <w:start w:val="1"/>
      <w:numFmt w:val="decimal"/>
      <w:lvlText w:val="%1."/>
      <w:lvlJc w:val="left"/>
      <w:pPr>
        <w:ind w:left="926" w:hanging="566"/>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num w:numId="1">
    <w:abstractNumId w:val="9"/>
  </w:num>
  <w:num w:numId="2">
    <w:abstractNumId w:val="9"/>
  </w:num>
  <w:num w:numId="3">
    <w:abstractNumId w:val="7"/>
  </w:num>
  <w:num w:numId="4">
    <w:abstractNumId w:val="7"/>
  </w:num>
  <w:num w:numId="5">
    <w:abstractNumId w:val="6"/>
  </w:num>
  <w:num w:numId="6">
    <w:abstractNumId w:val="6"/>
  </w:num>
  <w:num w:numId="7">
    <w:abstractNumId w:val="5"/>
  </w:num>
  <w:num w:numId="8">
    <w:abstractNumId w:val="5"/>
  </w:num>
  <w:num w:numId="9">
    <w:abstractNumId w:val="4"/>
  </w:num>
  <w:num w:numId="10">
    <w:abstractNumId w:val="4"/>
  </w:num>
  <w:num w:numId="11">
    <w:abstractNumId w:val="8"/>
  </w:num>
  <w:num w:numId="12">
    <w:abstractNumId w:val="8"/>
  </w:num>
  <w:num w:numId="13">
    <w:abstractNumId w:val="3"/>
  </w:num>
  <w:num w:numId="14">
    <w:abstractNumId w:val="3"/>
  </w:num>
  <w:num w:numId="15">
    <w:abstractNumId w:val="2"/>
  </w:num>
  <w:num w:numId="16">
    <w:abstractNumId w:val="2"/>
  </w:num>
  <w:num w:numId="17">
    <w:abstractNumId w:val="1"/>
  </w:num>
  <w:num w:numId="18">
    <w:abstractNumId w:val="1"/>
  </w:num>
  <w:num w:numId="19">
    <w:abstractNumId w:val="0"/>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 w:numId="41">
    <w:abstractNumId w:val="10"/>
  </w:num>
  <w:num w:numId="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KEY" w:val="LIBE"/>
    <w:docVar w:name="DOCTYPEMNU" w:val=" 1"/>
    <w:docVar w:name="LastEditedSection" w:val=" 1"/>
    <w:docVar w:name="STATMNU" w:val=" 1"/>
    <w:docVar w:name="strDocTypeID" w:val="RE_Statements"/>
    <w:docVar w:name="strSubDir" w:val="1222"/>
    <w:docVar w:name="TXTLANGUE" w:val="EN"/>
    <w:docVar w:name="TXTLANGUEMIN" w:val="en"/>
    <w:docVar w:name="TXTNRPE" w:val="663.216"/>
    <w:docVar w:name="TXTNRRSP" w:val="2020/2789"/>
    <w:docVar w:name="TXTPEorAP" w:val="PE"/>
    <w:docVar w:name="TXTROUTE" w:val="RE\1222135EN.docx"/>
    <w:docVar w:name="TXTTITLE" w:val="on the Resolution on the ruling of the ECJ of 16 July 2020 - Data Protection Commissioner v Facebook Ireland Limited, Maximillian Schrems (“Schrems II”) - Case C-311/18"/>
    <w:docVar w:name="TXTVERSION" w:val="01-00"/>
  </w:docVars>
  <w:rsids>
    <w:rsidRoot w:val="00F510C8"/>
    <w:rsid w:val="00037F46"/>
    <w:rsid w:val="00094DDA"/>
    <w:rsid w:val="000F4BF6"/>
    <w:rsid w:val="00117781"/>
    <w:rsid w:val="001B49A3"/>
    <w:rsid w:val="001B7CFB"/>
    <w:rsid w:val="001C16A7"/>
    <w:rsid w:val="001C31D8"/>
    <w:rsid w:val="001C62C5"/>
    <w:rsid w:val="001E1556"/>
    <w:rsid w:val="001E2450"/>
    <w:rsid w:val="00222BBB"/>
    <w:rsid w:val="00250718"/>
    <w:rsid w:val="002574AA"/>
    <w:rsid w:val="002C7767"/>
    <w:rsid w:val="00303413"/>
    <w:rsid w:val="003772FA"/>
    <w:rsid w:val="003A76FC"/>
    <w:rsid w:val="00411D03"/>
    <w:rsid w:val="00412503"/>
    <w:rsid w:val="00471D62"/>
    <w:rsid w:val="004B5166"/>
    <w:rsid w:val="00516BD3"/>
    <w:rsid w:val="0053700E"/>
    <w:rsid w:val="0058312A"/>
    <w:rsid w:val="005D6861"/>
    <w:rsid w:val="00654CBD"/>
    <w:rsid w:val="006726A1"/>
    <w:rsid w:val="006A27B7"/>
    <w:rsid w:val="006F48B8"/>
    <w:rsid w:val="00706BC0"/>
    <w:rsid w:val="00723A0B"/>
    <w:rsid w:val="00780A7D"/>
    <w:rsid w:val="007E1E11"/>
    <w:rsid w:val="00814BC6"/>
    <w:rsid w:val="008278C0"/>
    <w:rsid w:val="00866D70"/>
    <w:rsid w:val="008A233B"/>
    <w:rsid w:val="008A4052"/>
    <w:rsid w:val="008D7B31"/>
    <w:rsid w:val="008F5EFB"/>
    <w:rsid w:val="00907285"/>
    <w:rsid w:val="00910F7E"/>
    <w:rsid w:val="00981ED6"/>
    <w:rsid w:val="009C510E"/>
    <w:rsid w:val="009D24DE"/>
    <w:rsid w:val="009D3A51"/>
    <w:rsid w:val="00A32337"/>
    <w:rsid w:val="00A462B1"/>
    <w:rsid w:val="00A4763A"/>
    <w:rsid w:val="00A516B8"/>
    <w:rsid w:val="00A90219"/>
    <w:rsid w:val="00A9528E"/>
    <w:rsid w:val="00B16A0B"/>
    <w:rsid w:val="00B34A46"/>
    <w:rsid w:val="00B90331"/>
    <w:rsid w:val="00B90DC2"/>
    <w:rsid w:val="00BC3002"/>
    <w:rsid w:val="00BF2C2D"/>
    <w:rsid w:val="00BF6571"/>
    <w:rsid w:val="00C23264"/>
    <w:rsid w:val="00C46FF9"/>
    <w:rsid w:val="00CC09D8"/>
    <w:rsid w:val="00D12F64"/>
    <w:rsid w:val="00D44718"/>
    <w:rsid w:val="00D90D37"/>
    <w:rsid w:val="00DF5457"/>
    <w:rsid w:val="00DF7943"/>
    <w:rsid w:val="00E53167"/>
    <w:rsid w:val="00EA43FB"/>
    <w:rsid w:val="00EC05E9"/>
    <w:rsid w:val="00ED22B8"/>
    <w:rsid w:val="00F02A2C"/>
    <w:rsid w:val="00F11EF3"/>
    <w:rsid w:val="00F26DE8"/>
    <w:rsid w:val="00F4455A"/>
    <w:rsid w:val="00F510C8"/>
    <w:rsid w:val="00F7050A"/>
    <w:rsid w:val="00F959BA"/>
    <w:rsid w:val="00FB7A18"/>
  </w:rsids>
  <m:mathPr>
    <m:mathFont m:val="Cambria Math"/>
    <m:brkBin m:val="before"/>
    <m:brkBinSub m:val="--"/>
    <m:smallFrac m:val="0"/>
    <m:dispDef/>
    <m:lMargin m:val="0"/>
    <m:rMargin m:val="0"/>
    <m:defJc m:val="centerGroup"/>
    <m:wrapIndent m:val="1440"/>
    <m:intLim m:val="subSup"/>
    <m:naryLim m:val="undOvr"/>
  </m:mathPr>
  <w:themeFontLang w:val="en-GB"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0D77AC"/>
  <w15:chartTrackingRefBased/>
  <w15:docId w15:val="{E6272C54-2F65-43C4-A91C-140847F81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semiHidden="1"/>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718"/>
    <w:pPr>
      <w:widowControl w:val="0"/>
    </w:pPr>
    <w:rPr>
      <w:sz w:val="24"/>
    </w:rPr>
  </w:style>
  <w:style w:type="paragraph" w:styleId="Heading1">
    <w:name w:val="heading 1"/>
    <w:basedOn w:val="Normal"/>
    <w:next w:val="Normal"/>
    <w:semiHidden/>
    <w:qFormat/>
    <w:pPr>
      <w:keepNext/>
      <w:spacing w:before="240" w:after="60"/>
      <w:outlineLvl w:val="0"/>
    </w:pPr>
    <w:rPr>
      <w:rFonts w:ascii="Arial" w:hAnsi="Arial"/>
      <w:b/>
      <w:kern w:val="28"/>
      <w:sz w:val="28"/>
    </w:rPr>
  </w:style>
  <w:style w:type="paragraph" w:styleId="Heading2">
    <w:name w:val="heading 2"/>
    <w:basedOn w:val="Normal"/>
    <w:next w:val="Normal"/>
    <w:semiHidden/>
    <w:qFormat/>
    <w:pPr>
      <w:keepNext/>
      <w:spacing w:before="240" w:after="60"/>
      <w:outlineLvl w:val="1"/>
    </w:pPr>
    <w:rPr>
      <w:rFonts w:ascii="Arial" w:hAnsi="Arial"/>
      <w:b/>
      <w:i/>
    </w:rPr>
  </w:style>
  <w:style w:type="paragraph" w:styleId="Heading3">
    <w:name w:val="heading 3"/>
    <w:basedOn w:val="Normal"/>
    <w:next w:val="Normal"/>
    <w:semiHidden/>
    <w:qFormat/>
    <w:pPr>
      <w:keepNext/>
      <w:spacing w:before="240" w:after="60"/>
      <w:outlineLvl w:val="2"/>
    </w:pPr>
    <w:rPr>
      <w:rFonts w:ascii="Arial" w:hAnsi="Arial"/>
    </w:rPr>
  </w:style>
  <w:style w:type="paragraph" w:styleId="Heading4">
    <w:name w:val="heading 4"/>
    <w:basedOn w:val="Normal"/>
    <w:next w:val="Normal"/>
    <w:semiHidden/>
    <w:qFormat/>
    <w:pPr>
      <w:keepNext/>
      <w:spacing w:before="240" w:after="60"/>
      <w:outlineLvl w:val="3"/>
    </w:pPr>
    <w:rPr>
      <w:rFonts w:ascii="Arial" w:hAnsi="Arial"/>
      <w:b/>
    </w:rPr>
  </w:style>
  <w:style w:type="paragraph" w:styleId="Heading5">
    <w:name w:val="heading 5"/>
    <w:basedOn w:val="Normal"/>
    <w:next w:val="Normal"/>
    <w:semiHidden/>
    <w:qFormat/>
    <w:pPr>
      <w:spacing w:before="240" w:after="60"/>
      <w:outlineLvl w:val="4"/>
    </w:pPr>
    <w:rPr>
      <w:sz w:val="22"/>
    </w:rPr>
  </w:style>
  <w:style w:type="paragraph" w:styleId="Heading6">
    <w:name w:val="heading 6"/>
    <w:basedOn w:val="Normal"/>
    <w:next w:val="Normal"/>
    <w:semiHidden/>
    <w:qFormat/>
    <w:pPr>
      <w:spacing w:before="240" w:after="60"/>
      <w:outlineLvl w:val="5"/>
    </w:pPr>
    <w:rPr>
      <w:i/>
      <w:sz w:val="22"/>
    </w:rPr>
  </w:style>
  <w:style w:type="paragraph" w:styleId="Heading7">
    <w:name w:val="heading 7"/>
    <w:basedOn w:val="Normal"/>
    <w:next w:val="Normal"/>
    <w:semiHidden/>
    <w:qFormat/>
    <w:pPr>
      <w:spacing w:before="240" w:after="60"/>
      <w:outlineLvl w:val="6"/>
    </w:pPr>
    <w:rPr>
      <w:rFonts w:ascii="Arial" w:hAnsi="Arial"/>
    </w:rPr>
  </w:style>
  <w:style w:type="paragraph" w:styleId="Heading8">
    <w:name w:val="heading 8"/>
    <w:basedOn w:val="Normal"/>
    <w:next w:val="Normal"/>
    <w:semiHidden/>
    <w:qFormat/>
    <w:pPr>
      <w:spacing w:before="240" w:after="60"/>
      <w:outlineLvl w:val="7"/>
    </w:pPr>
    <w:rPr>
      <w:rFonts w:ascii="Arial" w:hAnsi="Arial"/>
      <w:i/>
    </w:rPr>
  </w:style>
  <w:style w:type="paragraph" w:styleId="Heading9">
    <w:name w:val="heading 9"/>
    <w:basedOn w:val="Normal"/>
    <w:next w:val="Normal"/>
    <w:semiHidden/>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ideTWBExt">
    <w:name w:val="HideTWBExt"/>
    <w:basedOn w:val="DefaultParagraphFont"/>
    <w:rPr>
      <w:rFonts w:ascii="Arial" w:hAnsi="Arial" w:cs="Arial"/>
      <w:b w:val="0"/>
      <w:i w:val="0"/>
      <w:strike w:val="0"/>
      <w:noProof/>
      <w:vanish/>
      <w:color w:val="000080"/>
      <w:sz w:val="20"/>
    </w:rPr>
  </w:style>
  <w:style w:type="paragraph" w:customStyle="1" w:styleId="EPFooter2">
    <w:name w:val="EPFooter2"/>
    <w:basedOn w:val="Normal"/>
    <w:next w:val="Normal"/>
    <w:pPr>
      <w:widowControl/>
      <w:tabs>
        <w:tab w:val="center" w:pos="4535"/>
        <w:tab w:val="right" w:pos="9921"/>
      </w:tabs>
      <w:ind w:left="-850" w:right="-850"/>
    </w:pPr>
    <w:rPr>
      <w:rFonts w:ascii="Arial" w:hAnsi="Arial" w:cs="Arial"/>
      <w:b/>
      <w:sz w:val="48"/>
    </w:rPr>
  </w:style>
  <w:style w:type="paragraph" w:customStyle="1" w:styleId="EPComma">
    <w:name w:val="EPComma"/>
    <w:basedOn w:val="Normal"/>
    <w:rsid w:val="00DF7943"/>
    <w:pPr>
      <w:spacing w:before="480" w:after="240"/>
    </w:pPr>
  </w:style>
  <w:style w:type="paragraph" w:styleId="TOC1">
    <w:name w:val="toc 1"/>
    <w:basedOn w:val="EPComma"/>
    <w:next w:val="EPComma"/>
    <w:autoRedefine/>
    <w:semiHidden/>
  </w:style>
  <w:style w:type="paragraph" w:styleId="TOCHeading">
    <w:name w:val="TOC Heading"/>
    <w:basedOn w:val="Normal"/>
    <w:next w:val="Normal"/>
    <w:semiHidden/>
    <w:qFormat/>
    <w:pPr>
      <w:keepNext/>
      <w:spacing w:before="240" w:after="240"/>
      <w:jc w:val="center"/>
    </w:pPr>
    <w:rPr>
      <w:rFonts w:ascii="Arial" w:hAnsi="Arial"/>
      <w:b/>
    </w:rPr>
  </w:style>
  <w:style w:type="character" w:customStyle="1" w:styleId="HideTWBInt">
    <w:name w:val="HideTWBInt"/>
    <w:rPr>
      <w:rFonts w:ascii="Arial" w:hAnsi="Arial" w:cs="Arial"/>
      <w:vanish/>
      <w:color w:val="808080"/>
      <w:sz w:val="20"/>
    </w:rPr>
  </w:style>
  <w:style w:type="paragraph" w:customStyle="1" w:styleId="NormalBold">
    <w:name w:val="NormalBold"/>
    <w:basedOn w:val="Normal"/>
    <w:rPr>
      <w:b/>
    </w:rPr>
  </w:style>
  <w:style w:type="paragraph" w:customStyle="1" w:styleId="NormalBold12a">
    <w:name w:val="NormalBold12a"/>
    <w:basedOn w:val="Normal"/>
    <w:pPr>
      <w:spacing w:after="240"/>
    </w:pPr>
    <w:rPr>
      <w:b/>
    </w:rPr>
  </w:style>
  <w:style w:type="paragraph" w:customStyle="1" w:styleId="NormalHanging12a">
    <w:name w:val="NormalHanging12a"/>
    <w:basedOn w:val="Normal"/>
    <w:pPr>
      <w:spacing w:after="240"/>
      <w:ind w:left="567" w:hanging="567"/>
    </w:pPr>
  </w:style>
  <w:style w:type="paragraph" w:customStyle="1" w:styleId="CoverBold">
    <w:name w:val="CoverBold"/>
    <w:basedOn w:val="Normal"/>
    <w:rsid w:val="00B90331"/>
    <w:pPr>
      <w:ind w:left="1417"/>
    </w:pPr>
    <w:rPr>
      <w:b/>
    </w:rPr>
  </w:style>
  <w:style w:type="paragraph" w:customStyle="1" w:styleId="CoverNormal">
    <w:name w:val="CoverNormal"/>
    <w:basedOn w:val="Normal"/>
    <w:pPr>
      <w:ind w:left="1418"/>
    </w:pPr>
  </w:style>
  <w:style w:type="paragraph" w:customStyle="1" w:styleId="CoverNormal12a">
    <w:name w:val="CoverNormal12a"/>
    <w:basedOn w:val="Normal"/>
    <w:rsid w:val="00B90331"/>
    <w:pPr>
      <w:spacing w:after="240"/>
      <w:ind w:left="1418"/>
    </w:pPr>
  </w:style>
  <w:style w:type="paragraph" w:customStyle="1" w:styleId="CoverNormal24a">
    <w:name w:val="CoverNormal24a"/>
    <w:basedOn w:val="Normal"/>
    <w:rsid w:val="00B90331"/>
    <w:pPr>
      <w:spacing w:after="480"/>
      <w:ind w:left="1417"/>
    </w:pPr>
  </w:style>
  <w:style w:type="paragraph" w:customStyle="1" w:styleId="CoverDocType24a">
    <w:name w:val="CoverDocType24a"/>
    <w:basedOn w:val="Normal"/>
    <w:rsid w:val="00EC05E9"/>
    <w:pPr>
      <w:spacing w:after="480"/>
      <w:ind w:left="1418"/>
    </w:pPr>
    <w:rPr>
      <w:rFonts w:ascii="Arial" w:hAnsi="Arial"/>
      <w:b/>
      <w:sz w:val="48"/>
    </w:rPr>
  </w:style>
  <w:style w:type="paragraph" w:styleId="Header">
    <w:name w:val="header"/>
    <w:basedOn w:val="Normal"/>
    <w:link w:val="HeaderChar"/>
    <w:semiHidden/>
    <w:rsid w:val="007E1E11"/>
    <w:pPr>
      <w:tabs>
        <w:tab w:val="center" w:pos="4513"/>
        <w:tab w:val="right" w:pos="9026"/>
      </w:tabs>
    </w:pPr>
  </w:style>
  <w:style w:type="table" w:styleId="TableGrid">
    <w:name w:val="Table Grid"/>
    <w:basedOn w:val="TableNormal"/>
    <w:rsid w:val="00E531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Body">
    <w:name w:val="EPBody"/>
    <w:basedOn w:val="Normal"/>
    <w:rsid w:val="00E53167"/>
    <w:pPr>
      <w:jc w:val="center"/>
    </w:pPr>
    <w:rPr>
      <w:rFonts w:ascii="Arial" w:hAnsi="Arial" w:cs="Arial"/>
      <w:i/>
      <w:sz w:val="22"/>
      <w:szCs w:val="22"/>
    </w:rPr>
  </w:style>
  <w:style w:type="paragraph" w:customStyle="1" w:styleId="LineTop">
    <w:name w:val="LineTop"/>
    <w:basedOn w:val="Normal"/>
    <w:next w:val="Normal"/>
    <w:rsid w:val="00E53167"/>
    <w:pPr>
      <w:pBdr>
        <w:top w:val="single" w:sz="4" w:space="1" w:color="auto"/>
      </w:pBdr>
      <w:jc w:val="center"/>
    </w:pPr>
    <w:rPr>
      <w:rFonts w:ascii="Arial" w:hAnsi="Arial" w:cs="Arial"/>
      <w:sz w:val="16"/>
      <w:szCs w:val="16"/>
    </w:rPr>
  </w:style>
  <w:style w:type="paragraph" w:customStyle="1" w:styleId="LineBottom">
    <w:name w:val="LineBottom"/>
    <w:basedOn w:val="Normal"/>
    <w:next w:val="Normal"/>
    <w:rsid w:val="00094DDA"/>
    <w:pPr>
      <w:pBdr>
        <w:bottom w:val="single" w:sz="4" w:space="1" w:color="auto"/>
      </w:pBdr>
      <w:spacing w:after="240"/>
      <w:jc w:val="center"/>
    </w:pPr>
    <w:rPr>
      <w:rFonts w:ascii="Arial" w:hAnsi="Arial" w:cs="Arial"/>
      <w:sz w:val="16"/>
      <w:szCs w:val="16"/>
    </w:rPr>
  </w:style>
  <w:style w:type="paragraph" w:customStyle="1" w:styleId="EPName">
    <w:name w:val="EPName"/>
    <w:basedOn w:val="Normal"/>
    <w:rsid w:val="00706BC0"/>
    <w:pPr>
      <w:spacing w:before="80" w:after="80"/>
    </w:pPr>
    <w:rPr>
      <w:rFonts w:ascii="Arial Narrow" w:hAnsi="Arial Narrow" w:cs="Arial"/>
      <w:b/>
      <w:sz w:val="32"/>
      <w:szCs w:val="22"/>
    </w:rPr>
  </w:style>
  <w:style w:type="paragraph" w:customStyle="1" w:styleId="EPTerm">
    <w:name w:val="EPTerm"/>
    <w:basedOn w:val="Normal"/>
    <w:next w:val="Normal"/>
    <w:rsid w:val="00706BC0"/>
    <w:pPr>
      <w:spacing w:after="80"/>
    </w:pPr>
    <w:rPr>
      <w:rFonts w:ascii="Arial" w:hAnsi="Arial" w:cs="Arial"/>
      <w:sz w:val="20"/>
      <w:szCs w:val="22"/>
    </w:rPr>
  </w:style>
  <w:style w:type="paragraph" w:customStyle="1" w:styleId="EPLogo">
    <w:name w:val="EPLogo"/>
    <w:basedOn w:val="Normal"/>
    <w:qFormat/>
    <w:rsid w:val="00706BC0"/>
    <w:pPr>
      <w:jc w:val="right"/>
    </w:pPr>
  </w:style>
  <w:style w:type="paragraph" w:customStyle="1" w:styleId="CoverReference">
    <w:name w:val="CoverReference"/>
    <w:basedOn w:val="Normal"/>
    <w:rsid w:val="00094DDA"/>
    <w:pPr>
      <w:spacing w:before="1080"/>
      <w:jc w:val="right"/>
    </w:pPr>
    <w:rPr>
      <w:rFonts w:ascii="Arial" w:hAnsi="Arial" w:cs="Arial"/>
      <w:b/>
    </w:rPr>
  </w:style>
  <w:style w:type="paragraph" w:customStyle="1" w:styleId="CoverDate">
    <w:name w:val="CoverDate"/>
    <w:basedOn w:val="Normal"/>
    <w:rsid w:val="00094DDA"/>
    <w:pPr>
      <w:spacing w:before="240" w:after="1200"/>
    </w:pPr>
  </w:style>
  <w:style w:type="paragraph" w:customStyle="1" w:styleId="EPFooter">
    <w:name w:val="EPFooter"/>
    <w:basedOn w:val="Normal"/>
    <w:rsid w:val="00EC05E9"/>
    <w:pPr>
      <w:tabs>
        <w:tab w:val="center" w:pos="4535"/>
        <w:tab w:val="right" w:pos="9071"/>
      </w:tabs>
      <w:spacing w:before="240" w:after="240"/>
    </w:pPr>
    <w:rPr>
      <w:color w:val="010000"/>
      <w:sz w:val="22"/>
    </w:rPr>
  </w:style>
  <w:style w:type="character" w:customStyle="1" w:styleId="HeaderChar">
    <w:name w:val="Header Char"/>
    <w:basedOn w:val="DefaultParagraphFont"/>
    <w:link w:val="Header"/>
    <w:semiHidden/>
    <w:rsid w:val="007E1E11"/>
    <w:rPr>
      <w:sz w:val="24"/>
    </w:rPr>
  </w:style>
  <w:style w:type="character" w:styleId="Hyperlink">
    <w:name w:val="Hyperlink"/>
    <w:basedOn w:val="DefaultParagraphFont"/>
    <w:uiPriority w:val="99"/>
    <w:unhideWhenUsed/>
    <w:rsid w:val="003A76FC"/>
    <w:rPr>
      <w:color w:val="0563C1" w:themeColor="hyperlink"/>
      <w:u w:val="single"/>
    </w:rPr>
  </w:style>
  <w:style w:type="paragraph" w:styleId="FootnoteText">
    <w:name w:val="footnote text"/>
    <w:basedOn w:val="Normal"/>
    <w:link w:val="FootnoteTextChar"/>
    <w:unhideWhenUsed/>
    <w:rsid w:val="003A76FC"/>
    <w:pPr>
      <w:widowControl/>
      <w:suppressLineNumbers/>
      <w:ind w:left="339" w:hanging="339"/>
    </w:pPr>
    <w:rPr>
      <w:rFonts w:ascii="DejaVu Serif" w:eastAsia="DejaVu Sans" w:hAnsi="DejaVu Serif" w:cs="Noto Sans Devanagari"/>
      <w:kern w:val="2"/>
      <w:sz w:val="20"/>
      <w:lang w:eastAsia="zh-CN" w:bidi="hi-IN"/>
    </w:rPr>
  </w:style>
  <w:style w:type="character" w:customStyle="1" w:styleId="FootnoteTextChar">
    <w:name w:val="Footnote Text Char"/>
    <w:basedOn w:val="DefaultParagraphFont"/>
    <w:link w:val="FootnoteText"/>
    <w:rsid w:val="003A76FC"/>
    <w:rPr>
      <w:rFonts w:ascii="DejaVu Serif" w:eastAsia="DejaVu Sans" w:hAnsi="DejaVu Serif" w:cs="Noto Sans Devanagari"/>
      <w:kern w:val="2"/>
      <w:lang w:val="sv-SE" w:eastAsia="zh-CN" w:bidi="hi-IN"/>
    </w:rPr>
  </w:style>
  <w:style w:type="character" w:customStyle="1" w:styleId="Funotenzeichen">
    <w:name w:val="Fußnotenzeichen"/>
    <w:qFormat/>
    <w:rsid w:val="003A76FC"/>
  </w:style>
  <w:style w:type="character" w:styleId="FootnoteReference">
    <w:name w:val="footnote reference"/>
    <w:basedOn w:val="DefaultParagraphFont"/>
    <w:uiPriority w:val="99"/>
    <w:unhideWhenUsed/>
    <w:rsid w:val="003A76FC"/>
    <w:rPr>
      <w:vertAlign w:val="superscript"/>
    </w:rPr>
  </w:style>
  <w:style w:type="paragraph" w:styleId="BodyText">
    <w:name w:val="Body Text"/>
    <w:basedOn w:val="Normal"/>
    <w:link w:val="BodyTextChar"/>
    <w:rsid w:val="003A76FC"/>
    <w:pPr>
      <w:spacing w:after="120"/>
    </w:pPr>
  </w:style>
  <w:style w:type="character" w:customStyle="1" w:styleId="BodyTextChar">
    <w:name w:val="Body Text Char"/>
    <w:basedOn w:val="DefaultParagraphFont"/>
    <w:link w:val="BodyText"/>
    <w:rsid w:val="003A76FC"/>
    <w:rPr>
      <w:sz w:val="24"/>
    </w:rPr>
  </w:style>
  <w:style w:type="character" w:styleId="CommentReference">
    <w:name w:val="annotation reference"/>
    <w:basedOn w:val="DefaultParagraphFont"/>
    <w:uiPriority w:val="99"/>
    <w:rsid w:val="00250718"/>
    <w:rPr>
      <w:sz w:val="16"/>
      <w:szCs w:val="16"/>
    </w:rPr>
  </w:style>
  <w:style w:type="paragraph" w:styleId="CommentText">
    <w:name w:val="annotation text"/>
    <w:basedOn w:val="Normal"/>
    <w:link w:val="CommentTextChar"/>
    <w:rsid w:val="00250718"/>
    <w:rPr>
      <w:sz w:val="20"/>
    </w:rPr>
  </w:style>
  <w:style w:type="character" w:customStyle="1" w:styleId="CommentTextChar">
    <w:name w:val="Comment Text Char"/>
    <w:basedOn w:val="DefaultParagraphFont"/>
    <w:link w:val="CommentText"/>
    <w:rsid w:val="00250718"/>
  </w:style>
  <w:style w:type="paragraph" w:styleId="CommentSubject">
    <w:name w:val="annotation subject"/>
    <w:basedOn w:val="CommentText"/>
    <w:next w:val="CommentText"/>
    <w:link w:val="CommentSubjectChar"/>
    <w:semiHidden/>
    <w:unhideWhenUsed/>
    <w:rsid w:val="00250718"/>
    <w:rPr>
      <w:b/>
      <w:bCs/>
    </w:rPr>
  </w:style>
  <w:style w:type="character" w:customStyle="1" w:styleId="CommentSubjectChar">
    <w:name w:val="Comment Subject Char"/>
    <w:basedOn w:val="CommentTextChar"/>
    <w:link w:val="CommentSubject"/>
    <w:semiHidden/>
    <w:rsid w:val="00250718"/>
    <w:rPr>
      <w:b/>
      <w:bCs/>
    </w:rPr>
  </w:style>
  <w:style w:type="paragraph" w:styleId="BalloonText">
    <w:name w:val="Balloon Text"/>
    <w:basedOn w:val="Normal"/>
    <w:link w:val="BalloonTextChar"/>
    <w:semiHidden/>
    <w:unhideWhenUsed/>
    <w:rsid w:val="00250718"/>
    <w:rPr>
      <w:rFonts w:ascii="Segoe UI" w:hAnsi="Segoe UI" w:cs="Segoe UI"/>
      <w:sz w:val="18"/>
      <w:szCs w:val="18"/>
    </w:rPr>
  </w:style>
  <w:style w:type="character" w:customStyle="1" w:styleId="BalloonTextChar">
    <w:name w:val="Balloon Text Char"/>
    <w:basedOn w:val="DefaultParagraphFont"/>
    <w:link w:val="BalloonText"/>
    <w:semiHidden/>
    <w:rsid w:val="00250718"/>
    <w:rPr>
      <w:rFonts w:ascii="Segoe UI" w:hAnsi="Segoe UI" w:cs="Segoe UI"/>
      <w:sz w:val="18"/>
      <w:szCs w:val="18"/>
    </w:rPr>
  </w:style>
  <w:style w:type="paragraph" w:styleId="Footer">
    <w:name w:val="footer"/>
    <w:basedOn w:val="Normal"/>
    <w:link w:val="FooterChar"/>
    <w:semiHidden/>
    <w:rsid w:val="001C31D8"/>
    <w:pPr>
      <w:tabs>
        <w:tab w:val="center" w:pos="4513"/>
        <w:tab w:val="right" w:pos="9026"/>
      </w:tabs>
    </w:pPr>
  </w:style>
  <w:style w:type="character" w:customStyle="1" w:styleId="FooterChar">
    <w:name w:val="Footer Char"/>
    <w:basedOn w:val="DefaultParagraphFont"/>
    <w:link w:val="Footer"/>
    <w:semiHidden/>
    <w:rsid w:val="001C31D8"/>
    <w:rPr>
      <w:sz w:val="24"/>
    </w:rPr>
  </w:style>
  <w:style w:type="character" w:styleId="FollowedHyperlink">
    <w:name w:val="FollowedHyperlink"/>
    <w:basedOn w:val="DefaultParagraphFont"/>
    <w:rsid w:val="00FB7A1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333542">
      <w:bodyDiv w:val="1"/>
      <w:marLeft w:val="0"/>
      <w:marRight w:val="0"/>
      <w:marTop w:val="0"/>
      <w:marBottom w:val="0"/>
      <w:divBdr>
        <w:top w:val="none" w:sz="0" w:space="0" w:color="auto"/>
        <w:left w:val="none" w:sz="0" w:space="0" w:color="auto"/>
        <w:bottom w:val="none" w:sz="0" w:space="0" w:color="auto"/>
        <w:right w:val="none" w:sz="0" w:space="0" w:color="auto"/>
      </w:divBdr>
    </w:div>
    <w:div w:id="799228671">
      <w:bodyDiv w:val="1"/>
      <w:marLeft w:val="0"/>
      <w:marRight w:val="0"/>
      <w:marTop w:val="0"/>
      <w:marBottom w:val="0"/>
      <w:divBdr>
        <w:top w:val="none" w:sz="0" w:space="0" w:color="auto"/>
        <w:left w:val="none" w:sz="0" w:space="0" w:color="auto"/>
        <w:bottom w:val="none" w:sz="0" w:space="0" w:color="auto"/>
        <w:right w:val="none" w:sz="0" w:space="0" w:color="auto"/>
      </w:divBdr>
    </w:div>
    <w:div w:id="1537622847">
      <w:bodyDiv w:val="1"/>
      <w:marLeft w:val="0"/>
      <w:marRight w:val="0"/>
      <w:marTop w:val="0"/>
      <w:marBottom w:val="0"/>
      <w:divBdr>
        <w:top w:val="none" w:sz="0" w:space="0" w:color="auto"/>
        <w:left w:val="none" w:sz="0" w:space="0" w:color="auto"/>
        <w:bottom w:val="none" w:sz="0" w:space="0" w:color="auto"/>
        <w:right w:val="none" w:sz="0" w:space="0" w:color="auto"/>
      </w:divBdr>
    </w:div>
    <w:div w:id="1573923995">
      <w:bodyDiv w:val="1"/>
      <w:marLeft w:val="0"/>
      <w:marRight w:val="0"/>
      <w:marTop w:val="0"/>
      <w:marBottom w:val="0"/>
      <w:divBdr>
        <w:top w:val="none" w:sz="0" w:space="0" w:color="auto"/>
        <w:left w:val="none" w:sz="0" w:space="0" w:color="auto"/>
        <w:bottom w:val="none" w:sz="0" w:space="0" w:color="auto"/>
        <w:right w:val="none" w:sz="0" w:space="0" w:color="auto"/>
      </w:divBdr>
    </w:div>
    <w:div w:id="1575893007">
      <w:bodyDiv w:val="1"/>
      <w:marLeft w:val="0"/>
      <w:marRight w:val="0"/>
      <w:marTop w:val="0"/>
      <w:marBottom w:val="0"/>
      <w:divBdr>
        <w:top w:val="none" w:sz="0" w:space="0" w:color="auto"/>
        <w:left w:val="none" w:sz="0" w:space="0" w:color="auto"/>
        <w:bottom w:val="none" w:sz="0" w:space="0" w:color="auto"/>
        <w:right w:val="none" w:sz="0" w:space="0" w:color="auto"/>
      </w:divBdr>
    </w:div>
    <w:div w:id="1682513538">
      <w:bodyDiv w:val="1"/>
      <w:marLeft w:val="0"/>
      <w:marRight w:val="0"/>
      <w:marTop w:val="0"/>
      <w:marBottom w:val="0"/>
      <w:divBdr>
        <w:top w:val="none" w:sz="0" w:space="0" w:color="auto"/>
        <w:left w:val="none" w:sz="0" w:space="0" w:color="auto"/>
        <w:bottom w:val="none" w:sz="0" w:space="0" w:color="auto"/>
        <w:right w:val="none" w:sz="0" w:space="0" w:color="auto"/>
      </w:divBdr>
    </w:div>
    <w:div w:id="1715931501">
      <w:bodyDiv w:val="1"/>
      <w:marLeft w:val="0"/>
      <w:marRight w:val="0"/>
      <w:marTop w:val="0"/>
      <w:marBottom w:val="0"/>
      <w:divBdr>
        <w:top w:val="none" w:sz="0" w:space="0" w:color="auto"/>
        <w:left w:val="none" w:sz="0" w:space="0" w:color="auto"/>
        <w:bottom w:val="none" w:sz="0" w:space="0" w:color="auto"/>
        <w:right w:val="none" w:sz="0" w:space="0" w:color="auto"/>
      </w:divBdr>
    </w:div>
    <w:div w:id="1847357682">
      <w:bodyDiv w:val="1"/>
      <w:marLeft w:val="0"/>
      <w:marRight w:val="0"/>
      <w:marTop w:val="0"/>
      <w:marBottom w:val="0"/>
      <w:divBdr>
        <w:top w:val="none" w:sz="0" w:space="0" w:color="auto"/>
        <w:left w:val="none" w:sz="0" w:space="0" w:color="auto"/>
        <w:bottom w:val="none" w:sz="0" w:space="0" w:color="auto"/>
        <w:right w:val="none" w:sz="0" w:space="0" w:color="auto"/>
      </w:divBdr>
    </w:div>
    <w:div w:id="204875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8" Type="http://schemas.openxmlformats.org/officeDocument/2006/relationships/hyperlink" Target="https://edpb.europa.eu/our-work-tools/public-consultations-art-704/2020/recommendations-012020-measures-supplement-transfer_en" TargetMode="External"/><Relationship Id="rId3" Type="http://schemas.openxmlformats.org/officeDocument/2006/relationships/hyperlink" Target="https://eur-lex.europa.eu/legal-content/SV/TXT/?uri=CELEX:62014CJ0362" TargetMode="External"/><Relationship Id="rId7" Type="http://schemas.openxmlformats.org/officeDocument/2006/relationships/hyperlink" Target="https://eur-lex.europa.eu/legal-content/SV/TXT/HTML/?uri=CELEX:32016R0679&amp;from=EN" TargetMode="External"/><Relationship Id="rId2" Type="http://schemas.openxmlformats.org/officeDocument/2006/relationships/hyperlink" Target="https://eur-lex.europa.eu/legal-content/SV/TXT/?uri=CELEX:62018CA0311&amp;qid=1610640279033" TargetMode="External"/><Relationship Id="rId1" Type="http://schemas.openxmlformats.org/officeDocument/2006/relationships/hyperlink" Target="file:///C:\Users\cbull\AppData\Local\Microsoft\Windows\INetCache\Content.Outlook\9A0NKB2P\%09https:\eur-lex.europa.eu\legal-content\EN\TXT\?uri=CELEX:62018CJ0311" TargetMode="External"/><Relationship Id="rId6" Type="http://schemas.openxmlformats.org/officeDocument/2006/relationships/hyperlink" Target="https://www.europarl.europa.eu/doceo/document/TA-8-2018-0433_SV.html" TargetMode="External"/><Relationship Id="rId5" Type="http://schemas.openxmlformats.org/officeDocument/2006/relationships/hyperlink" Target="https://www.europarl.europa.eu/doceo/document/TA-8-2018-0315_SV.html" TargetMode="External"/><Relationship Id="rId4" Type="http://schemas.openxmlformats.org/officeDocument/2006/relationships/hyperlink" Target="https://eur-lex.europa.eu/legal-content/SV/TXT/?uri=CELEX:62017CJ0623" TargetMode="External"/><Relationship Id="rId9" Type="http://schemas.openxmlformats.org/officeDocument/2006/relationships/hyperlink" Target="https://edpb.europa.eu/our-work-tools/our-documents/recommendations/edpb-recommendations-022020-european-essenti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7628BA-2D3F-4521-A1B7-D47702F98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1504</Words>
  <Characters>10017</Characters>
  <Application>Microsoft Office Word</Application>
  <DocSecurity>0</DocSecurity>
  <Lines>175</Lines>
  <Paragraphs>64</Paragraphs>
  <ScaleCrop>false</ScaleCrop>
  <HeadingPairs>
    <vt:vector size="2" baseType="variant">
      <vt:variant>
        <vt:lpstr>Title</vt:lpstr>
      </vt:variant>
      <vt:variant>
        <vt:i4>1</vt:i4>
      </vt:variant>
    </vt:vector>
  </HeadingPairs>
  <TitlesOfParts>
    <vt:vector size="1" baseType="lpstr">
      <vt:lpstr>RE_Statements</vt:lpstr>
    </vt:vector>
  </TitlesOfParts>
  <Company/>
  <LinksUpToDate>false</LinksUpToDate>
  <CharactersWithSpaces>11457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RE_Statements</dc:title>
  <dc:subject/>
  <dc:creator>CUADRAT SEIX Iban</dc:creator>
  <cp:keywords/>
  <dc:description/>
  <cp:lastModifiedBy>NIEMINEN-LINDQUIST Jaana</cp:lastModifiedBy>
  <cp:revision>2</cp:revision>
  <cp:lastPrinted>2004-11-19T15:55:00Z</cp:lastPrinted>
  <dcterms:created xsi:type="dcterms:W3CDTF">2021-01-26T09:47:00Z</dcterms:created>
  <dcterms:modified xsi:type="dcterms:W3CDTF">2021-01-26T09:47:00Z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with">
    <vt:lpwstr>9.9.1 Build [20200705]</vt:lpwstr>
  </property>
  <property fmtid="{D5CDD505-2E9C-101B-9397-08002B2CF9AE}" pid="3" name="LastEdited with">
    <vt:lpwstr>9.9.1 Build [20200705]</vt:lpwstr>
  </property>
  <property fmtid="{D5CDD505-2E9C-101B-9397-08002B2CF9AE}" pid="4" name="&lt;FdR&gt;">
    <vt:lpwstr>1222135</vt:lpwstr>
  </property>
  <property fmtid="{D5CDD505-2E9C-101B-9397-08002B2CF9AE}" pid="5" name="&lt;Type&gt;">
    <vt:lpwstr>RE</vt:lpwstr>
  </property>
  <property fmtid="{D5CDD505-2E9C-101B-9397-08002B2CF9AE}" pid="6" name="&lt;ModelCod&gt;">
    <vt:lpwstr>\\eiciBRUpr1\pdocep$\DocEP\DOCS\General\RE\RE_Statements.dotx(17/04/2020 18:29:07)</vt:lpwstr>
  </property>
  <property fmtid="{D5CDD505-2E9C-101B-9397-08002B2CF9AE}" pid="7" name="&lt;ModelTra&gt;">
    <vt:lpwstr>\\eiciBRUpr1\pdocep$\DocEP\TRANSFIL\EN\RE_Statements.EN(25/06/2019 11:01:00)</vt:lpwstr>
  </property>
  <property fmtid="{D5CDD505-2E9C-101B-9397-08002B2CF9AE}" pid="8" name="&lt;Model&gt;">
    <vt:lpwstr>RE_Statements</vt:lpwstr>
  </property>
  <property fmtid="{D5CDD505-2E9C-101B-9397-08002B2CF9AE}" pid="9" name="FooterPath">
    <vt:lpwstr>RE\1222135SV.docx</vt:lpwstr>
  </property>
  <property fmtid="{D5CDD505-2E9C-101B-9397-08002B2CF9AE}" pid="10" name="PE number">
    <vt:lpwstr>663.216</vt:lpwstr>
  </property>
  <property fmtid="{D5CDD505-2E9C-101B-9397-08002B2CF9AE}" pid="11" name="SendToEpades">
    <vt:lpwstr>OK - 2021/01/15 11:13</vt:lpwstr>
  </property>
  <property fmtid="{D5CDD505-2E9C-101B-9397-08002B2CF9AE}" pid="12" name="SDLStudio">
    <vt:lpwstr/>
  </property>
  <property fmtid="{D5CDD505-2E9C-101B-9397-08002B2CF9AE}" pid="13" name="&lt;Extension&gt;">
    <vt:lpwstr>SV</vt:lpwstr>
  </property>
  <property fmtid="{D5CDD505-2E9C-101B-9397-08002B2CF9AE}" pid="14" name="Bookout">
    <vt:lpwstr>OK - 2021/01/26 10:47</vt:lpwstr>
  </property>
</Properties>
</file>