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2" w:type="dxa"/>
        <w:tblCellMar>
          <w:left w:w="0" w:type="dxa"/>
          <w:right w:w="0" w:type="dxa"/>
        </w:tblCellMar>
        <w:tblLook w:val="01E0" w:firstRow="1" w:lastRow="1" w:firstColumn="1" w:lastColumn="1" w:noHBand="0" w:noVBand="0"/>
      </w:tblPr>
      <w:tblGrid>
        <w:gridCol w:w="6804"/>
        <w:gridCol w:w="2268"/>
      </w:tblGrid>
      <w:tr w:rsidR="008F5EFB" w:rsidRPr="009A67CD" w:rsidTr="00C85D0F">
        <w:trPr>
          <w:trHeight w:hRule="exact" w:val="1418"/>
        </w:trPr>
        <w:tc>
          <w:tcPr>
            <w:tcW w:w="6804" w:type="dxa"/>
            <w:shd w:val="clear" w:color="auto" w:fill="auto"/>
            <w:vAlign w:val="center"/>
          </w:tcPr>
          <w:p w:rsidR="008F5EFB" w:rsidRPr="009A67CD" w:rsidRDefault="00ED6327" w:rsidP="00C85D0F">
            <w:pPr>
              <w:pStyle w:val="EPName"/>
            </w:pPr>
            <w:r w:rsidRPr="009A67CD">
              <w:t>Evropski parlament</w:t>
            </w:r>
          </w:p>
          <w:p w:rsidR="008F5EFB" w:rsidRPr="009A67CD" w:rsidRDefault="00B03779" w:rsidP="00B03779">
            <w:pPr>
              <w:pStyle w:val="EPTerm"/>
            </w:pPr>
            <w:r w:rsidRPr="009A67CD">
              <w:t>2019-2024</w:t>
            </w:r>
          </w:p>
        </w:tc>
        <w:tc>
          <w:tcPr>
            <w:tcW w:w="2268" w:type="dxa"/>
            <w:shd w:val="clear" w:color="auto" w:fill="auto"/>
          </w:tcPr>
          <w:p w:rsidR="008F5EFB" w:rsidRPr="009A67CD" w:rsidRDefault="008F5EFB" w:rsidP="00C85D0F">
            <w:pPr>
              <w:pStyle w:val="EPLogo"/>
            </w:pPr>
            <w:r w:rsidRPr="009A67CD">
              <w:rPr>
                <w:lang w:eastAsia="sl-SI"/>
              </w:rPr>
              <w:drawing>
                <wp:inline distT="0" distB="0" distL="0" distR="0" wp14:anchorId="4B8BE00E" wp14:editId="501F4E6E">
                  <wp:extent cx="1158875" cy="652145"/>
                  <wp:effectExtent l="0" t="0" r="0" b="0"/>
                  <wp:docPr id="1" name="Picture 1" descr="EP logo RGB_Mu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 logo RGB_Mu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58875" cy="652145"/>
                          </a:xfrm>
                          <a:prstGeom prst="rect">
                            <a:avLst/>
                          </a:prstGeom>
                          <a:noFill/>
                          <a:ln>
                            <a:noFill/>
                          </a:ln>
                        </pic:spPr>
                      </pic:pic>
                    </a:graphicData>
                  </a:graphic>
                </wp:inline>
              </w:drawing>
            </w:r>
          </w:p>
        </w:tc>
      </w:tr>
    </w:tbl>
    <w:p w:rsidR="00E53167" w:rsidRPr="009A67CD" w:rsidRDefault="00E53167" w:rsidP="00E53167">
      <w:pPr>
        <w:pStyle w:val="LineTop"/>
      </w:pPr>
    </w:p>
    <w:p w:rsidR="00E53167" w:rsidRPr="009A67CD" w:rsidRDefault="00B03779" w:rsidP="00E53167">
      <w:pPr>
        <w:pStyle w:val="EPBody"/>
      </w:pPr>
      <w:r w:rsidRPr="009A67CD">
        <w:rPr>
          <w:rStyle w:val="HideTWBInt"/>
          <w:i w:val="0"/>
          <w:szCs w:val="20"/>
        </w:rPr>
        <w:t>{LIBE}</w:t>
      </w:r>
      <w:r w:rsidRPr="009A67CD">
        <w:t>Odbor za državljanske svoboščine, pravosodje in notranje zadeve</w:t>
      </w:r>
    </w:p>
    <w:p w:rsidR="00094DDA" w:rsidRPr="009A67CD" w:rsidRDefault="00094DDA" w:rsidP="00094DDA">
      <w:pPr>
        <w:pStyle w:val="LineBottom"/>
      </w:pPr>
    </w:p>
    <w:p w:rsidR="00094DDA" w:rsidRPr="009A67CD" w:rsidRDefault="00094DDA" w:rsidP="00094DDA">
      <w:pPr>
        <w:pStyle w:val="CoverReference"/>
      </w:pPr>
      <w:r w:rsidRPr="009A67CD">
        <w:rPr>
          <w:rStyle w:val="HideTWBExt"/>
          <w:b w:val="0"/>
        </w:rPr>
        <w:t>&lt;NoDocSe&gt;</w:t>
      </w:r>
      <w:r w:rsidRPr="009A67CD">
        <w:t>2020/2789(RSP)</w:t>
      </w:r>
      <w:r w:rsidRPr="009A67CD">
        <w:rPr>
          <w:rStyle w:val="HideTWBExt"/>
          <w:b w:val="0"/>
        </w:rPr>
        <w:t>&lt;/NoDocSe&gt;</w:t>
      </w:r>
    </w:p>
    <w:p w:rsidR="00094DDA" w:rsidRPr="009A67CD" w:rsidRDefault="00094DDA" w:rsidP="00094DDA">
      <w:pPr>
        <w:pStyle w:val="CoverDate"/>
      </w:pPr>
      <w:r w:rsidRPr="009A67CD">
        <w:rPr>
          <w:rStyle w:val="HideTWBExt"/>
        </w:rPr>
        <w:t>&lt;Date&gt;</w:t>
      </w:r>
      <w:r w:rsidRPr="009A67CD">
        <w:rPr>
          <w:rStyle w:val="HideTWBInt"/>
        </w:rPr>
        <w:t>{13/01/2021}</w:t>
      </w:r>
      <w:r w:rsidRPr="009A67CD">
        <w:t>13.1.2021</w:t>
      </w:r>
      <w:r w:rsidRPr="009A67CD">
        <w:rPr>
          <w:rStyle w:val="HideTWBExt"/>
        </w:rPr>
        <w:t>&lt;/Date&gt;</w:t>
      </w:r>
    </w:p>
    <w:p w:rsidR="00814BC6" w:rsidRPr="009A67CD" w:rsidRDefault="00814BC6">
      <w:pPr>
        <w:pStyle w:val="CoverDocType24a"/>
      </w:pPr>
      <w:r w:rsidRPr="009A67CD">
        <w:rPr>
          <w:rStyle w:val="HideTWBExt"/>
          <w:b w:val="0"/>
        </w:rPr>
        <w:t>&lt;TitreType&gt;</w:t>
      </w:r>
      <w:r w:rsidRPr="009A67CD">
        <w:t>OSNUTEK PREDLOGA RESOLUCIJE</w:t>
      </w:r>
      <w:r w:rsidRPr="009A67CD">
        <w:rPr>
          <w:rStyle w:val="HideTWBExt"/>
          <w:b w:val="0"/>
        </w:rPr>
        <w:t>&lt;/TitreType&gt;</w:t>
      </w:r>
    </w:p>
    <w:p w:rsidR="00814BC6" w:rsidRPr="009A67CD" w:rsidRDefault="00814BC6">
      <w:pPr>
        <w:pStyle w:val="CoverNormal12a"/>
      </w:pPr>
      <w:r w:rsidRPr="009A67CD">
        <w:rPr>
          <w:rStyle w:val="HideTWBExt"/>
        </w:rPr>
        <w:t>&lt;TitreSuite&gt;</w:t>
      </w:r>
      <w:r w:rsidRPr="009A67CD">
        <w:t>ob zaključku razprave o izjavi Komisije</w:t>
      </w:r>
      <w:r w:rsidRPr="009A67CD">
        <w:rPr>
          <w:rStyle w:val="HideTWBExt"/>
        </w:rPr>
        <w:t>&lt;/TitreSuite&gt;</w:t>
      </w:r>
    </w:p>
    <w:p w:rsidR="00814BC6" w:rsidRPr="009A67CD" w:rsidRDefault="00814BC6">
      <w:pPr>
        <w:pStyle w:val="CoverNormal12a"/>
      </w:pPr>
      <w:r w:rsidRPr="009A67CD">
        <w:rPr>
          <w:rStyle w:val="HideTWBExt"/>
        </w:rPr>
        <w:t>&lt;TitreRecueil&gt;</w:t>
      </w:r>
      <w:r w:rsidRPr="009A67CD">
        <w:t>v skladu s členom 132(2) Poslovnika</w:t>
      </w:r>
      <w:r w:rsidRPr="009A67CD">
        <w:rPr>
          <w:rStyle w:val="HideTWBExt"/>
        </w:rPr>
        <w:t>&lt;/TitreRecueil&gt;</w:t>
      </w:r>
    </w:p>
    <w:p w:rsidR="00C23264" w:rsidRPr="009A67CD" w:rsidRDefault="00C23264" w:rsidP="00C23264">
      <w:pPr>
        <w:pStyle w:val="CoverNormal"/>
      </w:pPr>
      <w:r w:rsidRPr="009A67CD">
        <w:rPr>
          <w:rStyle w:val="HideTWBExt"/>
        </w:rPr>
        <w:t>&lt;Titre&gt;</w:t>
      </w:r>
      <w:r w:rsidRPr="009A67CD">
        <w:t>o sodbi Sodišča z dne 16. julija 2020 v zadevi Data Protection Commissioner proti Facebook Ireland Limited in Maximillianu Schremsu (zadeva Schrems II) – zadeva C-311/18</w:t>
      </w:r>
      <w:r w:rsidRPr="009A67CD">
        <w:rPr>
          <w:rStyle w:val="HideTWBExt"/>
        </w:rPr>
        <w:t>&lt;/Titre&gt;</w:t>
      </w:r>
    </w:p>
    <w:p w:rsidR="00C23264" w:rsidRPr="009A67CD" w:rsidRDefault="00C23264" w:rsidP="00C23264">
      <w:pPr>
        <w:pStyle w:val="CoverNormal24a"/>
      </w:pPr>
      <w:r w:rsidRPr="009A67CD">
        <w:rPr>
          <w:rStyle w:val="HideTWBExt"/>
        </w:rPr>
        <w:t>&lt;DocRef&gt;</w:t>
      </w:r>
      <w:r w:rsidRPr="009A67CD">
        <w:t>(2020/2789(RSP))</w:t>
      </w:r>
      <w:r w:rsidRPr="009A67CD">
        <w:rPr>
          <w:rStyle w:val="HideTWBExt"/>
        </w:rPr>
        <w:t>&lt;/DocRef&gt;</w:t>
      </w:r>
    </w:p>
    <w:p w:rsidR="002574AA" w:rsidRPr="009A67CD" w:rsidRDefault="002574AA" w:rsidP="002574AA">
      <w:pPr>
        <w:pStyle w:val="CoverBold"/>
      </w:pPr>
      <w:r w:rsidRPr="009A67CD">
        <w:rPr>
          <w:rStyle w:val="HideTWBExt"/>
          <w:b w:val="0"/>
        </w:rPr>
        <w:t>&lt;RepeatBlock-By&gt;&lt;Depute&gt;</w:t>
      </w:r>
      <w:r w:rsidRPr="009A67CD">
        <w:t>Juan Fernando López Aguilar</w:t>
      </w:r>
      <w:r w:rsidRPr="009A67CD">
        <w:rPr>
          <w:rStyle w:val="HideTWBExt"/>
          <w:b w:val="0"/>
        </w:rPr>
        <w:t>&lt;/Depute&gt;</w:t>
      </w:r>
    </w:p>
    <w:p w:rsidR="002574AA" w:rsidRPr="009A67CD" w:rsidRDefault="002574AA" w:rsidP="002574AA">
      <w:pPr>
        <w:pStyle w:val="CoverNormal"/>
      </w:pPr>
      <w:r w:rsidRPr="009A67CD">
        <w:rPr>
          <w:rStyle w:val="HideTWBExt"/>
        </w:rPr>
        <w:t>&lt;Commission&gt;</w:t>
      </w:r>
      <w:r w:rsidRPr="009A67CD">
        <w:rPr>
          <w:rStyle w:val="HideTWBInt"/>
        </w:rPr>
        <w:t>{LIBE}</w:t>
      </w:r>
      <w:r w:rsidRPr="009A67CD">
        <w:t>v imenu Odbora za državljanske svoboščine, prav</w:t>
      </w:r>
      <w:bookmarkStart w:id="0" w:name="_GoBack"/>
      <w:bookmarkEnd w:id="0"/>
      <w:r w:rsidRPr="009A67CD">
        <w:t>osodje in notranje zadeve</w:t>
      </w:r>
      <w:r w:rsidRPr="009A67CD">
        <w:rPr>
          <w:rStyle w:val="HideTWBExt"/>
        </w:rPr>
        <w:t>&lt;/Commission&gt;</w:t>
      </w:r>
    </w:p>
    <w:p w:rsidR="002574AA" w:rsidRPr="009A67CD" w:rsidRDefault="002574AA" w:rsidP="002574AA">
      <w:pPr>
        <w:pStyle w:val="CoverNormal"/>
      </w:pPr>
      <w:r w:rsidRPr="009A67CD">
        <w:rPr>
          <w:rStyle w:val="HideTWBExt"/>
        </w:rPr>
        <w:t>&lt;/RepeatBlock-By&gt;</w:t>
      </w:r>
    </w:p>
    <w:p w:rsidR="00814BC6" w:rsidRPr="009A67CD" w:rsidRDefault="00814BC6">
      <w:pPr>
        <w:pStyle w:val="NormalBold12a"/>
      </w:pPr>
      <w:r w:rsidRPr="009A67CD">
        <w:br w:type="page"/>
      </w:r>
      <w:r w:rsidRPr="009A67CD">
        <w:lastRenderedPageBreak/>
        <w:t>B9-0000/2021</w:t>
      </w:r>
    </w:p>
    <w:p w:rsidR="00C23264" w:rsidRPr="009A67CD" w:rsidRDefault="00ED6327" w:rsidP="00C23264">
      <w:pPr>
        <w:pStyle w:val="NormalBold"/>
      </w:pPr>
      <w:r w:rsidRPr="009A67CD">
        <w:t>R</w:t>
      </w:r>
      <w:r w:rsidR="009A67CD" w:rsidRPr="009A67CD">
        <w:t xml:space="preserve">esolucija Evropskega parlamenta </w:t>
      </w:r>
      <w:r w:rsidRPr="009A67CD">
        <w:t>o sodbi Sodišča z dne 16. julija 2020 v zadevi Data Protection Commissioner proti Facebook Ireland Limited in Maximillianu Schremsu (zadeva Schrems II) – zadeva C-311/18</w:t>
      </w:r>
    </w:p>
    <w:p w:rsidR="00C23264" w:rsidRPr="009A67CD" w:rsidRDefault="00ED6327" w:rsidP="00DF7943">
      <w:pPr>
        <w:pStyle w:val="NormalBold"/>
      </w:pPr>
      <w:r w:rsidRPr="009A67CD">
        <w:t>(2020/2789(RSP))</w:t>
      </w:r>
    </w:p>
    <w:p w:rsidR="00814BC6" w:rsidRPr="009A67CD" w:rsidRDefault="00ED6327">
      <w:pPr>
        <w:pStyle w:val="EPComma"/>
      </w:pPr>
      <w:r w:rsidRPr="009A67CD">
        <w:rPr>
          <w:i/>
        </w:rPr>
        <w:t>Evropski parlament</w:t>
      </w:r>
      <w:r w:rsidRPr="009A67CD">
        <w:t>,</w:t>
      </w:r>
    </w:p>
    <w:p w:rsidR="00B03779" w:rsidRPr="009A67CD" w:rsidRDefault="00814BC6" w:rsidP="00B03779">
      <w:pPr>
        <w:pStyle w:val="NormalHanging12a"/>
      </w:pPr>
      <w:r w:rsidRPr="009A67CD">
        <w:t>–</w:t>
      </w:r>
      <w:r w:rsidRPr="009A67CD">
        <w:tab/>
        <w:t>ob upoštevanju Listine Evropske unije o temeljnih pravicah, zlasti njenih členov 7, 8, 47 in 52,</w:t>
      </w:r>
    </w:p>
    <w:p w:rsidR="00B03779" w:rsidRPr="009A67CD" w:rsidRDefault="00B03779" w:rsidP="00B03779">
      <w:pPr>
        <w:widowControl/>
        <w:spacing w:after="240"/>
        <w:ind w:left="567" w:hanging="567"/>
      </w:pPr>
      <w:r w:rsidRPr="009A67CD">
        <w:t>–</w:t>
      </w:r>
      <w:r w:rsidRPr="009A67CD">
        <w:tab/>
        <w:t>ob upoštevanju sodbe Sodišča z dne 16. julija 2020 v zadevi C-311/18, Data Protection Commissioner proti Facebook Ireland Limited in Maximillianu Schremsu</w:t>
      </w:r>
      <w:r w:rsidRPr="009A67CD">
        <w:rPr>
          <w:vertAlign w:val="superscript"/>
        </w:rPr>
        <w:footnoteReference w:id="1"/>
      </w:r>
      <w:r w:rsidRPr="009A67CD">
        <w:t xml:space="preserve"> (zadeva Schrems II);</w:t>
      </w:r>
    </w:p>
    <w:p w:rsidR="00B03779" w:rsidRPr="009A67CD" w:rsidRDefault="00B03779" w:rsidP="00B03779">
      <w:pPr>
        <w:pStyle w:val="NormalHanging12a"/>
      </w:pPr>
      <w:r w:rsidRPr="009A67CD">
        <w:t>–</w:t>
      </w:r>
      <w:r w:rsidRPr="009A67CD">
        <w:tab/>
        <w:t>ob upoštevanju sodbe Sodišča z dne 6. oktobra 2015 v zadevi C-362/14, Maximillian Schrems proti Data Protection Commissioner</w:t>
      </w:r>
      <w:r w:rsidRPr="009A67CD">
        <w:rPr>
          <w:vertAlign w:val="superscript"/>
        </w:rPr>
        <w:footnoteReference w:id="2"/>
      </w:r>
      <w:r w:rsidRPr="009A67CD">
        <w:t xml:space="preserve"> (Schrems I);</w:t>
      </w:r>
    </w:p>
    <w:p w:rsidR="00B03779" w:rsidRPr="009A67CD" w:rsidRDefault="00B03779" w:rsidP="00B03779">
      <w:pPr>
        <w:pStyle w:val="NormalHanging12a"/>
      </w:pPr>
      <w:r w:rsidRPr="009A67CD">
        <w:t>–</w:t>
      </w:r>
      <w:r w:rsidRPr="009A67CD">
        <w:tab/>
        <w:t>ob upoštevanju sodbe Sodišča z dne 6. oktobra 2020 v zadevi C-623/17 v zadevi</w:t>
      </w:r>
      <w:bookmarkStart w:id="1" w:name="pagePrincipale"/>
      <w:r w:rsidRPr="009A67CD">
        <w:t xml:space="preserve"> </w:t>
      </w:r>
      <w:bookmarkEnd w:id="1"/>
      <w:r w:rsidRPr="009A67CD">
        <w:t>Privacy International proti Secretary of State of Foreign and Commonwealth Affairs</w:t>
      </w:r>
      <w:r w:rsidRPr="009A67CD">
        <w:rPr>
          <w:vertAlign w:val="superscript"/>
        </w:rPr>
        <w:footnoteReference w:id="3"/>
      </w:r>
      <w:r w:rsidRPr="009A67CD">
        <w:t>;</w:t>
      </w:r>
    </w:p>
    <w:p w:rsidR="00B03779" w:rsidRPr="009A67CD" w:rsidRDefault="00B03779" w:rsidP="00B03779">
      <w:pPr>
        <w:pStyle w:val="NormalHanging12a"/>
      </w:pPr>
      <w:r w:rsidRPr="009A67CD">
        <w:t>–</w:t>
      </w:r>
      <w:r w:rsidRPr="009A67CD">
        <w:tab/>
        <w:t>ob upoštevanju svoje resolucije z dne 5. julija 2018 o ustreznosti varstva, ki ga zagotavlja zasebnostni ščit EU-ZDA</w:t>
      </w:r>
      <w:r w:rsidRPr="009A67CD">
        <w:rPr>
          <w:vertAlign w:val="superscript"/>
        </w:rPr>
        <w:footnoteReference w:id="4"/>
      </w:r>
      <w:r w:rsidRPr="009A67CD">
        <w:t xml:space="preserve">, </w:t>
      </w:r>
    </w:p>
    <w:p w:rsidR="00B03779" w:rsidRPr="009A67CD" w:rsidRDefault="00B03779" w:rsidP="00B03779">
      <w:pPr>
        <w:pStyle w:val="NormalHanging12a"/>
      </w:pPr>
      <w:r w:rsidRPr="009A67CD">
        <w:t>–</w:t>
      </w:r>
      <w:r w:rsidRPr="009A67CD">
        <w:tab/>
        <w:t>ob upoštevanju svoje resolucije z dne 25. oktobra 2018 o uporabi podatkov uporabnikov Facebooka s strani Cambridge Analytica in vplivu na varstvo podatkov</w:t>
      </w:r>
      <w:r w:rsidRPr="009A67CD">
        <w:rPr>
          <w:vertAlign w:val="superscript"/>
        </w:rPr>
        <w:footnoteReference w:id="5"/>
      </w:r>
      <w:r w:rsidRPr="009A67CD">
        <w:t xml:space="preserve">; </w:t>
      </w:r>
    </w:p>
    <w:p w:rsidR="00B03779" w:rsidRPr="009A67CD" w:rsidRDefault="00B03779" w:rsidP="00B03779">
      <w:pPr>
        <w:pStyle w:val="NormalHanging12a"/>
      </w:pPr>
      <w:r w:rsidRPr="009A67CD">
        <w:t>–</w:t>
      </w:r>
      <w:r w:rsidRPr="009A67CD">
        <w:tab/>
        <w:t>ob upoštevanju svoje resolucije z dne 26. novembra 2020 o pregledu trgovinske politike EU</w:t>
      </w:r>
      <w:r w:rsidRPr="009A67CD">
        <w:rPr>
          <w:vertAlign w:val="superscript"/>
        </w:rPr>
        <w:footnoteReference w:id="6"/>
      </w:r>
      <w:r w:rsidRPr="009A67CD">
        <w:t xml:space="preserve">; </w:t>
      </w:r>
    </w:p>
    <w:p w:rsidR="00B03779" w:rsidRPr="009A67CD" w:rsidRDefault="00B03779" w:rsidP="00B03779">
      <w:pPr>
        <w:pStyle w:val="NormalHanging12a"/>
      </w:pPr>
      <w:r w:rsidRPr="009A67CD">
        <w:t>–</w:t>
      </w:r>
      <w:r w:rsidRPr="009A67CD">
        <w:tab/>
        <w:t>ob upoštevanju Uredbe (EU) 2016/679 (Splošna uredba o varstvu podatkov)</w:t>
      </w:r>
      <w:r w:rsidRPr="009A67CD">
        <w:rPr>
          <w:vertAlign w:val="superscript"/>
        </w:rPr>
        <w:footnoteReference w:id="7"/>
      </w:r>
      <w:r w:rsidRPr="009A67CD">
        <w:t xml:space="preserve">; </w:t>
      </w:r>
    </w:p>
    <w:p w:rsidR="00814BC6" w:rsidRPr="009A67CD" w:rsidRDefault="00B03779" w:rsidP="00B03779">
      <w:pPr>
        <w:pStyle w:val="NormalHanging12a"/>
      </w:pPr>
      <w:r w:rsidRPr="009A67CD">
        <w:t>–</w:t>
      </w:r>
      <w:r w:rsidRPr="009A67CD">
        <w:tab/>
        <w:t xml:space="preserve">ob upoštevanju priporočil št. 01/2020 Evropskega odbora za varstvo podatkov o ukrepih, ki dopolnjujejo orodja za prenos, za zagotovitev skladnosti z ravnjo varstva osebnih podatkov na ravni EU, in št. 02/2020 glede evropskih temeljnih jamstev za nadzorne ukrepe </w:t>
      </w:r>
      <w:r w:rsidRPr="009A67CD">
        <w:rPr>
          <w:vertAlign w:val="superscript"/>
        </w:rPr>
        <w:footnoteReference w:id="8"/>
      </w:r>
      <w:r w:rsidRPr="009A67CD">
        <w:t>;</w:t>
      </w:r>
    </w:p>
    <w:p w:rsidR="00ED22B8" w:rsidRPr="009A67CD" w:rsidRDefault="00ED22B8" w:rsidP="00ED22B8">
      <w:pPr>
        <w:pStyle w:val="NormalHanging12a"/>
      </w:pPr>
      <w:r w:rsidRPr="009A67CD">
        <w:t>–</w:t>
      </w:r>
      <w:r w:rsidRPr="009A67CD">
        <w:tab/>
        <w:t>ob upoštevanju člena 132(2) Poslovnika,</w:t>
      </w:r>
    </w:p>
    <w:p w:rsidR="00B03779" w:rsidRPr="009A67CD" w:rsidRDefault="00814BC6" w:rsidP="00B03779">
      <w:pPr>
        <w:pStyle w:val="NormalHanging12a"/>
        <w:ind w:hanging="566"/>
      </w:pPr>
      <w:r w:rsidRPr="009A67CD">
        <w:t>A.</w:t>
      </w:r>
      <w:r w:rsidRPr="009A67CD">
        <w:tab/>
        <w:t>ker je Sodišče v sodbi v zadevi Schrems I poudarilo, da neselektivni dostop obveščevalnih organov do vsebine elektronskih komunikacij krši bistvo pravice do zaupnosti komunikacij iz člena 7 Listine;</w:t>
      </w:r>
    </w:p>
    <w:p w:rsidR="00B03779" w:rsidRPr="009A67CD" w:rsidRDefault="00B03779" w:rsidP="00B03779">
      <w:pPr>
        <w:pStyle w:val="NormalHanging12a"/>
        <w:ind w:hanging="566"/>
      </w:pPr>
      <w:r w:rsidRPr="009A67CD">
        <w:t>B.</w:t>
      </w:r>
      <w:r w:rsidRPr="009A67CD">
        <w:tab/>
        <w:t>ker je Sodišče v sodbi v zadevi Schrems II poudarilo, da Združene države Amerike ne zagotavljajo zadostnih pravnih sredstev proti množičnemu nadzoru za osebe, ki niso iz ZDA, kar krši bistvo pravice do pravnega sredstva iz člena 47 Listine;</w:t>
      </w:r>
    </w:p>
    <w:p w:rsidR="00B03779" w:rsidRPr="009A67CD" w:rsidRDefault="00B03779" w:rsidP="00B03779">
      <w:pPr>
        <w:pStyle w:val="NormalHanging12a"/>
        <w:ind w:hanging="566"/>
      </w:pPr>
      <w:r w:rsidRPr="009A67CD">
        <w:t>C.</w:t>
      </w:r>
      <w:r w:rsidRPr="009A67CD">
        <w:tab/>
        <w:t>ker je Evropski parlament v svoji resoluciji z dne 25. oktobra 2018 Komisijo že pozval, naj začasno ustavi izvajanje zasebnostnega ščita;</w:t>
      </w:r>
    </w:p>
    <w:p w:rsidR="00B03779" w:rsidRPr="009A67CD" w:rsidRDefault="00B03779" w:rsidP="00B03779">
      <w:pPr>
        <w:pStyle w:val="NormalHanging12a"/>
        <w:ind w:left="1" w:firstLine="0"/>
      </w:pPr>
      <w:r w:rsidRPr="009A67CD">
        <w:rPr>
          <w:b/>
          <w:bCs/>
          <w:i/>
          <w:iCs/>
        </w:rPr>
        <w:t>SPLOŠNE UGOTOVITVE</w:t>
      </w:r>
    </w:p>
    <w:p w:rsidR="00B03779" w:rsidRPr="009A67CD" w:rsidRDefault="00B03779" w:rsidP="00B03779">
      <w:pPr>
        <w:pStyle w:val="NormalHanging12a"/>
        <w:ind w:hanging="566"/>
      </w:pPr>
      <w:r w:rsidRPr="009A67CD">
        <w:t>1.</w:t>
      </w:r>
      <w:r w:rsidRPr="009A67CD">
        <w:tab/>
        <w:t>je seznanjen s sodbo Sodišča z dne 16. julija 2020, v kateri je potrdilo veljavnost Sklepa 2010/87 o standardnih pogodbenih klavzulah, za katere meni, da so učinkovit mehanizem zagotavljanja skladnosti z ravnjo varstva, ki jo zagotavlja pravo EU; ugotavlja tudi, da je Računsko sodišče razveljavilo Sklep Komisije 2016/1250 o ustreznosti varstva, ki ga zagotavlja zasebnostni ščit EU-ZDA;</w:t>
      </w:r>
    </w:p>
    <w:p w:rsidR="00B03779" w:rsidRPr="009A67CD" w:rsidRDefault="00B03779" w:rsidP="00B03779">
      <w:pPr>
        <w:pStyle w:val="NormalHanging12a"/>
        <w:ind w:hanging="566"/>
      </w:pPr>
      <w:r w:rsidRPr="009A67CD">
        <w:t>2.</w:t>
      </w:r>
      <w:r w:rsidRPr="009A67CD">
        <w:tab/>
        <w:t>meni, da ima sodba Sodišča pomembne učinke za sklepe o ustreznosti v zvezi s tretjimi državami; ponovno potrjuje potrebo po pravni jasnosti in varnosti;</w:t>
      </w:r>
    </w:p>
    <w:p w:rsidR="00B03779" w:rsidRPr="009A67CD" w:rsidRDefault="00B03779" w:rsidP="00B03779">
      <w:pPr>
        <w:pStyle w:val="NormalHanging12a"/>
        <w:ind w:hanging="566"/>
      </w:pPr>
      <w:r w:rsidRPr="009A67CD">
        <w:t>3.</w:t>
      </w:r>
      <w:r w:rsidRPr="009A67CD">
        <w:tab/>
        <w:t>je zaskrbljen, ker je irski komisar za varstvo podatkov spravil v tek celoto zadevo Schrems II, namesto da bi sprejel odločitev znotraj svojih pristojnosti v skladu s členom 58 Splošne uredbe o varstvu podatkov; izraža globoko zaskrbljenost, ker irski komisar za varstvo podatkov še ni odločil o več pritožbah zoper kršitve Splošne uredbe o varstvu podatkov, vloženih 25. maja 2018, čeprav je vodilni organ v teh zadevah; ostro obsoja poskus irskega organa za varstvo podatkov, da bi stroške sodnega postopka prenesel na Maximilliana Schremsa, kar bi imelo izjemno zastraševalni učinek; poziva Komisijo, naj začne postopke za ugotavljanje kršitev proti Irski, ker ne izvršuje ustrezno Splošne uredbe o varstvu podatkov;</w:t>
      </w:r>
    </w:p>
    <w:p w:rsidR="00B03779" w:rsidRPr="009A67CD" w:rsidRDefault="00B03779" w:rsidP="00B03779">
      <w:pPr>
        <w:pStyle w:val="NormalHanging12a"/>
        <w:ind w:hanging="566"/>
      </w:pPr>
      <w:r w:rsidRPr="009A67CD">
        <w:t>4.</w:t>
      </w:r>
      <w:r w:rsidRPr="009A67CD">
        <w:tab/>
        <w:t>poziva Komisijo, naj objavi dodatne smernice o mednarodnih prenosih podatkov za podjetja, zlasti za mala in srednja podjetja, vključno z dodatnimi zaščitnimi ukrepi, potrebnimi za prenose z uporabo standardnih pogodbenih klavzul;</w:t>
      </w:r>
    </w:p>
    <w:p w:rsidR="00B03779" w:rsidRPr="009A67CD" w:rsidRDefault="00B03779" w:rsidP="00B03779">
      <w:pPr>
        <w:pStyle w:val="NormalHanging12a"/>
        <w:ind w:left="1" w:firstLine="0"/>
      </w:pPr>
      <w:r w:rsidRPr="009A67CD">
        <w:rPr>
          <w:b/>
          <w:i/>
        </w:rPr>
        <w:t>STANDARDNE POGODBENE KLAVZULE</w:t>
      </w:r>
    </w:p>
    <w:p w:rsidR="00B03779" w:rsidRPr="009A67CD" w:rsidRDefault="00B03779" w:rsidP="00B03779">
      <w:pPr>
        <w:pStyle w:val="NormalHanging12a"/>
        <w:ind w:hanging="566"/>
      </w:pPr>
      <w:r w:rsidRPr="009A67CD">
        <w:t>5.</w:t>
      </w:r>
      <w:r w:rsidRPr="009A67CD">
        <w:tab/>
        <w:t>je seznanjen z osnutkom izvedbenega sklepa Komisije in osnutkom standardnih pogodbenih klavzul; pozdravlja dejstvo, da Komisija trenutno zbira povratne informacije deležnikov o tem osnutku;</w:t>
      </w:r>
    </w:p>
    <w:p w:rsidR="00B03779" w:rsidRPr="009A67CD" w:rsidRDefault="00B03779" w:rsidP="00B03779">
      <w:pPr>
        <w:pStyle w:val="NormalHanging12a"/>
        <w:ind w:hanging="566"/>
      </w:pPr>
      <w:r w:rsidRPr="009A67CD">
        <w:t>6.</w:t>
      </w:r>
      <w:r w:rsidRPr="009A67CD">
        <w:tab/>
        <w:t xml:space="preserve">je seznanjen s priporočili št. 01/2020 Evropskega odbora za varstvo podatkov o ukrepih, ki dopolnjujejo orodja za prenos, za zagotovitev skladnosti z ravnjo varstva osebnih podatkov na ravni EU; je zaskrbljen zaradi morebitnih nasprotij med temi priporočili in standardnimi pogodbenimi klavzulami, ki jih predlaga Komisija; meni, da bi moral Evropski odbor za varstvo podatkov dati podrobnejša navodila; </w:t>
      </w:r>
    </w:p>
    <w:p w:rsidR="00B03779" w:rsidRPr="009A67CD" w:rsidRDefault="00B03779" w:rsidP="00B03779">
      <w:pPr>
        <w:pStyle w:val="NormalHanging12a"/>
        <w:ind w:hanging="566"/>
      </w:pPr>
      <w:r w:rsidRPr="009A67CD">
        <w:t>7.</w:t>
      </w:r>
      <w:r w:rsidRPr="009A67CD">
        <w:tab/>
        <w:t>meni, da je bistveno, da se lahko podjetja EU zanašajo na trdne mehanizme, skladne s sodbo Sodišča; zato ugotavlja, da bi bilo treba pri predlogi standardnih pogodbenih klavzul, ki jo predlaga Komisija, ustrezno upoštevati vsa ustrezna priporočila; podpira zbirko dodatnih ukrepov, npr. varnostno certificiranje in zaščitne ukrepe šifriranja, ki jih sprejmejo regulativni organi;</w:t>
      </w:r>
    </w:p>
    <w:p w:rsidR="00B03779" w:rsidRPr="009A67CD" w:rsidRDefault="00B03779" w:rsidP="00B03779">
      <w:pPr>
        <w:pStyle w:val="NormalHanging12a"/>
        <w:ind w:hanging="566"/>
      </w:pPr>
      <w:r w:rsidRPr="009A67CD">
        <w:t>8.</w:t>
      </w:r>
      <w:r w:rsidRPr="009A67CD">
        <w:tab/>
        <w:t>poudarja, da zaradi visokega tveganja množičnega nadzora upravljavci podatkov, za katere se uporablja ameriški zakon o nadzoru tujih obveščevalnih podatkov, ne morejo v okviru teh standardnih pogodbenih klavzul prenašati osebnih podatkov iz Unije; to težavo je mogoče rešiti samo s celovito prenovo nadzorne prakse v ZDA ter s tem podjetjem in posameznikom, na katere se nanašajo osebni podatki, zagotoviti pravno varnost;</w:t>
      </w:r>
    </w:p>
    <w:p w:rsidR="00B03779" w:rsidRPr="009A67CD" w:rsidRDefault="00B03779" w:rsidP="00B03779">
      <w:pPr>
        <w:pStyle w:val="NormalHanging12a"/>
        <w:ind w:hanging="566"/>
      </w:pPr>
      <w:r w:rsidRPr="009A67CD">
        <w:t>9.</w:t>
      </w:r>
      <w:r w:rsidRPr="009A67CD">
        <w:tab/>
        <w:t>opozarja, da standardne pogodbene klavzule uporablja veliko malih in srednjih podjetij; poudarja, da podjetja ter mala in srednja podjetja nujno potrebujejo jasne smernice in pomoč pri uporabi in razlagi sodbe Sodišča;</w:t>
      </w:r>
    </w:p>
    <w:p w:rsidR="00B03779" w:rsidRPr="009A67CD" w:rsidRDefault="00B03779" w:rsidP="00B03779">
      <w:pPr>
        <w:pStyle w:val="NormalHanging12a"/>
        <w:ind w:hanging="566"/>
      </w:pPr>
      <w:r w:rsidRPr="009A67CD">
        <w:t>10.</w:t>
      </w:r>
      <w:r w:rsidRPr="009A67CD">
        <w:tab/>
        <w:t>opozarja, da sta pogajalska moč in pravna sposobnost evropskih malih in srednjih podjetij omejeni, pa vendar se od njih zahteva, da sama ocenijo ustreznost zapletenih pravnih okvirov različnih tretjih držav; poziva Komisijo in Evropski odbor za varstvo podatkov, naj temeljito preučita nujnost in izvedljivost vseh potrebnih dopolnilnih ukrepov, zlasti za mala in srednja podjetja;</w:t>
      </w:r>
    </w:p>
    <w:p w:rsidR="00B03779" w:rsidRPr="009A67CD" w:rsidRDefault="00B03779" w:rsidP="00B03779">
      <w:pPr>
        <w:pStyle w:val="NormalHanging12a"/>
        <w:ind w:hanging="566"/>
      </w:pPr>
      <w:r w:rsidRPr="009A67CD">
        <w:t>11.</w:t>
      </w:r>
      <w:r w:rsidRPr="009A67CD">
        <w:tab/>
        <w:t>poziva nacionalne nadzorne organe, naj v takih primerih uporabijo svoja pooblastila iz člena 3 osnutka izvedbenega sklepa in v skladu s členom 58 Splošne uredbe za varstvo podatkov;</w:t>
      </w:r>
    </w:p>
    <w:p w:rsidR="00B03779" w:rsidRPr="009A67CD" w:rsidRDefault="00B03779" w:rsidP="00B03779">
      <w:pPr>
        <w:pStyle w:val="NormalHanging12a"/>
        <w:ind w:left="1" w:firstLine="0"/>
      </w:pPr>
      <w:r w:rsidRPr="009A67CD">
        <w:rPr>
          <w:b/>
          <w:i/>
        </w:rPr>
        <w:t>ZASEBNOSTNI ŠČIT</w:t>
      </w:r>
    </w:p>
    <w:p w:rsidR="00B03779" w:rsidRPr="009A67CD" w:rsidRDefault="00B03779" w:rsidP="00B03779">
      <w:pPr>
        <w:pStyle w:val="NormalHanging12a"/>
        <w:ind w:hanging="566"/>
      </w:pPr>
      <w:r w:rsidRPr="009A67CD">
        <w:t>12.</w:t>
      </w:r>
      <w:r w:rsidRPr="009A67CD">
        <w:tab/>
        <w:t>ugotavlja, da je Sodišče kljub izboljšavam zasebnostnega ščita v primerjavi z ureditvijo varnega pristana ugotovilo, da zasebnostni ščit EU-ZDA ne zagotavlja v bistvu enakovredne ravni varstva, kot jo zagotavljata Splošna uredba o varstvu podatkov in Listina EU o temeljnih pravicah, zlasti zaradi pogojev, ki veljajo za dostop javnih organov ZDA do osebnih podatkov, prenesenih v okviru zasebnostnega ščita, in ker se posamezniki iz EU, na katere se nanašajo osebni podatki, ne morejo obrniti v zvezi z organi ZDA na sodišča ZDA;</w:t>
      </w:r>
    </w:p>
    <w:p w:rsidR="00B03779" w:rsidRPr="009A67CD" w:rsidRDefault="00B03779" w:rsidP="00B03779">
      <w:pPr>
        <w:pStyle w:val="NormalHanging12a"/>
        <w:ind w:hanging="566"/>
      </w:pPr>
      <w:r w:rsidRPr="009A67CD">
        <w:t>13.</w:t>
      </w:r>
      <w:r w:rsidRPr="009A67CD">
        <w:tab/>
        <w:t>opominja na resolucijo Parlamenta iz leta 2018 o zasebnostnem ščitu, v kateri je bilo poudarjeno tveganje, da bo Sodišče razveljavilo zasebnostni ščit;</w:t>
      </w:r>
    </w:p>
    <w:p w:rsidR="00B03779" w:rsidRPr="009A67CD" w:rsidRDefault="00B03779" w:rsidP="00B03779">
      <w:pPr>
        <w:pStyle w:val="NormalHanging12a"/>
        <w:spacing w:before="240"/>
        <w:ind w:left="1" w:firstLine="0"/>
      </w:pPr>
      <w:r w:rsidRPr="009A67CD">
        <w:rPr>
          <w:b/>
          <w:i/>
        </w:rPr>
        <w:t>MASOVNI NADZOR IN PRAVNI OKVIR</w:t>
      </w:r>
    </w:p>
    <w:p w:rsidR="00B03779" w:rsidRPr="009A67CD" w:rsidRDefault="00B03779" w:rsidP="00B03779">
      <w:pPr>
        <w:pStyle w:val="NormalHanging12a"/>
        <w:ind w:hanging="566"/>
      </w:pPr>
      <w:r w:rsidRPr="009A67CD">
        <w:t>14.</w:t>
      </w:r>
      <w:r w:rsidRPr="009A67CD">
        <w:tab/>
        <w:t>spodbuja Komisijo, naj še naprej spremlja uporabo tehnologij za množični nadzor v Združenem kraljestvu;</w:t>
      </w:r>
    </w:p>
    <w:p w:rsidR="00B03779" w:rsidRPr="009A67CD" w:rsidRDefault="00B03779" w:rsidP="00B03779">
      <w:pPr>
        <w:pStyle w:val="NormalHanging12a"/>
        <w:ind w:hanging="566"/>
      </w:pPr>
      <w:r w:rsidRPr="009A67CD">
        <w:t>15.</w:t>
      </w:r>
      <w:r w:rsidRPr="009A67CD">
        <w:tab/>
        <w:t>poudarja, da v ZDA zahtev iz Splošne uredbe o varstvu podatkov za ustrezno raven varstva doslej ne izpolnjuje ne kalifornijski zakon o varstvu potrošnikov ne eden od predlogov na zvezni ravni; spodbuja zveznega zakonodajalca ZDA, naj na nacionalni ravni sprejme trden in obsežen zvezni zakon o varstvu podatkov in zasebnosti, ki bo izpolnjeval te zahteve;</w:t>
      </w:r>
    </w:p>
    <w:p w:rsidR="00B03779" w:rsidRPr="009A67CD" w:rsidRDefault="00B03779" w:rsidP="00B03779">
      <w:pPr>
        <w:pStyle w:val="NormalHanging12a"/>
        <w:ind w:hanging="566"/>
      </w:pPr>
      <w:r w:rsidRPr="009A67CD">
        <w:t>16.</w:t>
      </w:r>
      <w:r w:rsidRPr="009A67CD">
        <w:tab/>
        <w:t>poudarja, da taka zakonodaja o varstvu podatkov potrošnikov in zasebnosti sama po sebi ne bo rešila temeljnih vprašanj, ki jih je Sodišče ugotovilo v zvezi z množičnim nadzorom ameriških obveščevalnih služb in nezadostnim dostopom do pravnih sredstev; spodbuja zveznega zakonodajalca ZDA, naj ponovno razmisli o spremembah oddelka 702 zakona FISA, izvršilne odredbe št. 12333 in predsedniške politične direktive št. 28, zlasti v zvezi z zagotavljanjem enake ravni zaščite državljanom EU in ZDA;</w:t>
      </w:r>
    </w:p>
    <w:p w:rsidR="00B03779" w:rsidRPr="009A67CD" w:rsidRDefault="00B03779" w:rsidP="00B03779">
      <w:pPr>
        <w:pStyle w:val="NormalHanging12a"/>
        <w:ind w:left="1" w:firstLine="0"/>
      </w:pPr>
      <w:r w:rsidRPr="009A67CD">
        <w:rPr>
          <w:b/>
          <w:i/>
        </w:rPr>
        <w:t>SKLEPI O USTREZNOSTI</w:t>
      </w:r>
    </w:p>
    <w:p w:rsidR="00B03779" w:rsidRPr="009A67CD" w:rsidRDefault="00B03779" w:rsidP="00B03779">
      <w:pPr>
        <w:pStyle w:val="NormalHanging12a"/>
        <w:ind w:hanging="566"/>
      </w:pPr>
      <w:r w:rsidRPr="009A67CD">
        <w:t>17.</w:t>
      </w:r>
      <w:r w:rsidRPr="009A67CD">
        <w:tab/>
        <w:t>poziva Komisijo, naj sprejme vse potrebne ukrepe za zagotovitev, da bo vsaka nadaljnja ureditev z ZDA v celoti skladna z Uredbo (EU) 2016/679, Listino EU in vsemi vidiki sodbe Sodišča;</w:t>
      </w:r>
    </w:p>
    <w:p w:rsidR="00B03779" w:rsidRPr="009A67CD" w:rsidRDefault="00B03779" w:rsidP="00B03779">
      <w:pPr>
        <w:pStyle w:val="NormalHanging12a"/>
        <w:ind w:hanging="566"/>
      </w:pPr>
      <w:r w:rsidRPr="009A67CD">
        <w:t>18.</w:t>
      </w:r>
      <w:r w:rsidRPr="009A67CD">
        <w:tab/>
        <w:t>pozdravlja, da mora Komisija pregledati vse sklepe o ustreznosti, sprejete na podlagi Direktive 95/46/ES, z uporabo sklepov iz sodb Schrems I in II, da bi ocenila, ali je zagotovljena v bistvu enakovredna raven varstva;</w:t>
      </w:r>
    </w:p>
    <w:p w:rsidR="00B03779" w:rsidRPr="009A67CD" w:rsidRDefault="00B03779" w:rsidP="00B03779">
      <w:pPr>
        <w:pStyle w:val="NormalHanging12a"/>
        <w:ind w:hanging="566"/>
      </w:pPr>
      <w:r w:rsidRPr="009A67CD">
        <w:t>19.</w:t>
      </w:r>
      <w:r w:rsidRPr="009A67CD">
        <w:tab/>
        <w:t>poziva Komisijo, naj ne sprejme nobenega novega sklepa o ustreznosti v zvezi z ZDA, razen če ne bodo uvedene smiselne reforme zakonov in praks na področju dostopa javnih organov do informacij, zlasti za namene nacionalne varnosti in v obveščevalne namene;</w:t>
      </w:r>
    </w:p>
    <w:p w:rsidR="00B03779" w:rsidRPr="009A67CD" w:rsidRDefault="00B03779" w:rsidP="00B03779">
      <w:pPr>
        <w:pStyle w:val="NormalHanging12a"/>
        <w:ind w:hanging="566"/>
      </w:pPr>
      <w:r w:rsidRPr="009A67CD">
        <w:t>20.</w:t>
      </w:r>
      <w:r w:rsidRPr="009A67CD">
        <w:tab/>
        <w:t>poziva Komisijo, naj objavi posodobljen seznam meril, ki jih upošteva pri ocenjevanju, ali tretja država izpolnjuje pogoje za sklep o ustreznosti;</w:t>
      </w:r>
    </w:p>
    <w:p w:rsidR="00866D70" w:rsidRPr="009A67CD" w:rsidRDefault="00B03779" w:rsidP="009A67CD">
      <w:pPr>
        <w:pStyle w:val="NormalHanging12a"/>
        <w:ind w:hanging="566"/>
      </w:pPr>
      <w:r w:rsidRPr="009A67CD">
        <w:t>21.</w:t>
      </w:r>
      <w:r w:rsidRPr="009A67CD">
        <w:tab/>
        <w:t>naroči svojemu predsedniku, naj to resolucijo posreduje Komisiji, Evropskemu svetu, Svetu, Evropskemu odboru za varstvo podatkov in nacionalnim parlamentom.</w:t>
      </w:r>
    </w:p>
    <w:sectPr w:rsidR="00866D70" w:rsidRPr="009A67CD" w:rsidSect="00910F7E">
      <w:headerReference w:type="even" r:id="rId8"/>
      <w:headerReference w:type="default" r:id="rId9"/>
      <w:footerReference w:type="even" r:id="rId10"/>
      <w:footerReference w:type="default" r:id="rId11"/>
      <w:headerReference w:type="first" r:id="rId12"/>
      <w:footerReference w:type="first" r:id="rId13"/>
      <w:footnotePr>
        <w:numRestart w:val="eachSect"/>
      </w:footnotePr>
      <w:endnotePr>
        <w:numFmt w:val="decimal"/>
      </w:endnotePr>
      <w:pgSz w:w="11906" w:h="16838" w:code="9"/>
      <w:pgMar w:top="1134" w:right="1418" w:bottom="1418" w:left="1418" w:header="1134" w:footer="567"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6327" w:rsidRPr="00ED6327" w:rsidRDefault="00ED6327">
      <w:r w:rsidRPr="00ED6327">
        <w:separator/>
      </w:r>
    </w:p>
  </w:endnote>
  <w:endnote w:type="continuationSeparator" w:id="0">
    <w:p w:rsidR="00ED6327" w:rsidRPr="00ED6327" w:rsidRDefault="00ED6327">
      <w:r w:rsidRPr="00ED6327">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DejaVu Serif">
    <w:altName w:val="Times New Roman"/>
    <w:charset w:val="01"/>
    <w:family w:val="roman"/>
    <w:pitch w:val="variable"/>
  </w:font>
  <w:font w:name="DejaVu Sans">
    <w:altName w:val="Times New Roman"/>
    <w:charset w:val="01"/>
    <w:family w:val="roman"/>
    <w:pitch w:val="variable"/>
  </w:font>
  <w:font w:name="Noto Sans Devanagari">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DokChampa">
    <w:altName w:val="Leelawadee UI"/>
    <w:charset w:val="DE"/>
    <w:family w:val="swiss"/>
    <w:pitch w:val="variable"/>
    <w:sig w:usb0="00000000" w:usb1="00000000" w:usb2="00000000" w:usb3="00000000" w:csb0="0001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0219" w:rsidRPr="00ED6327" w:rsidRDefault="00A90219" w:rsidP="00EC05E9">
    <w:pPr>
      <w:pStyle w:val="EPFooter"/>
    </w:pPr>
    <w:r w:rsidRPr="00ED6327">
      <w:t>PE</w:t>
    </w:r>
    <w:r w:rsidRPr="009A67CD">
      <w:rPr>
        <w:rStyle w:val="HideTWBExt"/>
      </w:rPr>
      <w:t>&lt;NoPE&gt;</w:t>
    </w:r>
    <w:r w:rsidR="00B03779" w:rsidRPr="00B03779">
      <w:t>663.216</w:t>
    </w:r>
    <w:r w:rsidRPr="009A67CD">
      <w:rPr>
        <w:rStyle w:val="HideTWBExt"/>
      </w:rPr>
      <w:t>&lt;/NoPE&gt;&lt;Version&gt;</w:t>
    </w:r>
    <w:r w:rsidR="00ED6327" w:rsidRPr="00ED6327">
      <w:t>v</w:t>
    </w:r>
    <w:r w:rsidR="00B03779" w:rsidRPr="00B03779">
      <w:t>01-00</w:t>
    </w:r>
    <w:r w:rsidRPr="009A67CD">
      <w:rPr>
        <w:rStyle w:val="HideTWBExt"/>
      </w:rPr>
      <w:t>&lt;/Version&gt;</w:t>
    </w:r>
    <w:r w:rsidRPr="00ED6327">
      <w:tab/>
    </w:r>
    <w:r w:rsidR="00866D70" w:rsidRPr="00ED6327">
      <w:fldChar w:fldCharType="begin"/>
    </w:r>
    <w:r w:rsidR="00866D70" w:rsidRPr="00ED6327">
      <w:instrText xml:space="preserve"> PAGE </w:instrText>
    </w:r>
    <w:r w:rsidR="00866D70" w:rsidRPr="00ED6327">
      <w:fldChar w:fldCharType="separate"/>
    </w:r>
    <w:r w:rsidR="009A67CD">
      <w:rPr>
        <w:noProof/>
      </w:rPr>
      <w:t>4</w:t>
    </w:r>
    <w:r w:rsidR="00866D70" w:rsidRPr="00ED6327">
      <w:fldChar w:fldCharType="end"/>
    </w:r>
    <w:r w:rsidR="00866D70" w:rsidRPr="00ED6327">
      <w:t>/</w:t>
    </w:r>
    <w:fldSimple w:instr=" NUMPAGES ">
      <w:r w:rsidR="009A67CD">
        <w:rPr>
          <w:noProof/>
        </w:rPr>
        <w:t>4</w:t>
      </w:r>
    </w:fldSimple>
    <w:r w:rsidRPr="00ED6327">
      <w:tab/>
    </w:r>
    <w:r w:rsidRPr="009A67CD">
      <w:rPr>
        <w:rStyle w:val="HideTWBExt"/>
      </w:rPr>
      <w:t>&lt;PathFdR&gt;</w:t>
    </w:r>
    <w:r w:rsidR="00B03779" w:rsidRPr="00B03779">
      <w:t>RE\1222135SL.docx</w:t>
    </w:r>
    <w:r w:rsidRPr="009A67CD">
      <w:rPr>
        <w:rStyle w:val="HideTWBExt"/>
      </w:rPr>
      <w:t>&lt;/PathFdR&gt;</w:t>
    </w:r>
  </w:p>
  <w:p w:rsidR="00A90219" w:rsidRPr="00ED6327" w:rsidRDefault="00032C26">
    <w:pPr>
      <w:pStyle w:val="EPFooter2"/>
    </w:pPr>
    <w:fldSimple w:instr=" DOCPROPERTY &quot;&lt;Extension&gt;&quot; ">
      <w:r w:rsidR="009A67CD">
        <w:t>SL</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0219" w:rsidRPr="00ED6327" w:rsidRDefault="00A90219" w:rsidP="00EC05E9">
    <w:pPr>
      <w:pStyle w:val="EPFooter"/>
    </w:pPr>
    <w:r w:rsidRPr="009A67CD">
      <w:rPr>
        <w:rStyle w:val="HideTWBExt"/>
      </w:rPr>
      <w:t>&lt;PathFdR&gt;</w:t>
    </w:r>
    <w:r w:rsidR="00B03779" w:rsidRPr="00B03779">
      <w:t>RE\1222135SL.docx</w:t>
    </w:r>
    <w:r w:rsidRPr="009A67CD">
      <w:rPr>
        <w:rStyle w:val="HideTWBExt"/>
      </w:rPr>
      <w:t>&lt;/PathFdR&gt;</w:t>
    </w:r>
    <w:r w:rsidRPr="00ED6327">
      <w:tab/>
    </w:r>
    <w:r w:rsidR="00866D70" w:rsidRPr="00ED6327">
      <w:fldChar w:fldCharType="begin"/>
    </w:r>
    <w:r w:rsidR="00866D70" w:rsidRPr="00ED6327">
      <w:instrText xml:space="preserve"> PAGE </w:instrText>
    </w:r>
    <w:r w:rsidR="00866D70" w:rsidRPr="00ED6327">
      <w:fldChar w:fldCharType="separate"/>
    </w:r>
    <w:r w:rsidR="009A67CD">
      <w:rPr>
        <w:noProof/>
      </w:rPr>
      <w:t>5</w:t>
    </w:r>
    <w:r w:rsidR="00866D70" w:rsidRPr="00ED6327">
      <w:fldChar w:fldCharType="end"/>
    </w:r>
    <w:r w:rsidR="00866D70" w:rsidRPr="00ED6327">
      <w:t>/</w:t>
    </w:r>
    <w:fldSimple w:instr=" NUMPAGES ">
      <w:r w:rsidR="009A67CD">
        <w:rPr>
          <w:noProof/>
        </w:rPr>
        <w:t>5</w:t>
      </w:r>
    </w:fldSimple>
    <w:r w:rsidRPr="00ED6327">
      <w:tab/>
      <w:t>PE</w:t>
    </w:r>
    <w:r w:rsidRPr="009A67CD">
      <w:rPr>
        <w:rStyle w:val="HideTWBExt"/>
      </w:rPr>
      <w:t>&lt;NoPE&gt;</w:t>
    </w:r>
    <w:r w:rsidR="00B03779" w:rsidRPr="00B03779">
      <w:t>663.216</w:t>
    </w:r>
    <w:r w:rsidRPr="009A67CD">
      <w:rPr>
        <w:rStyle w:val="HideTWBExt"/>
      </w:rPr>
      <w:t>&lt;/NoPE&gt;&lt;Version&gt;</w:t>
    </w:r>
    <w:r w:rsidR="00ED6327" w:rsidRPr="00ED6327">
      <w:t>v</w:t>
    </w:r>
    <w:r w:rsidR="00B03779" w:rsidRPr="00B03779">
      <w:t>01-00</w:t>
    </w:r>
    <w:r w:rsidRPr="009A67CD">
      <w:rPr>
        <w:rStyle w:val="HideTWBExt"/>
      </w:rPr>
      <w:t>&lt;/Version&gt;</w:t>
    </w:r>
  </w:p>
  <w:p w:rsidR="00A90219" w:rsidRPr="00ED6327" w:rsidRDefault="00866D70">
    <w:pPr>
      <w:pStyle w:val="EPFooter2"/>
    </w:pPr>
    <w:r w:rsidRPr="00ED6327">
      <w:tab/>
    </w:r>
    <w:r w:rsidR="00A90219" w:rsidRPr="00ED6327">
      <w:tab/>
    </w:r>
    <w:fldSimple w:instr=" DOCPROPERTY &quot;&lt;Extension&gt;&quot; ">
      <w:r w:rsidR="009A67CD">
        <w:t>SL</w:t>
      </w:r>
    </w:fldSimple>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0219" w:rsidRPr="00ED6327" w:rsidRDefault="00A90219" w:rsidP="00EC05E9">
    <w:pPr>
      <w:pStyle w:val="EPFooter"/>
    </w:pPr>
    <w:r w:rsidRPr="009A67CD">
      <w:rPr>
        <w:rStyle w:val="HideTWBExt"/>
      </w:rPr>
      <w:t>&lt;PathFdR&gt;</w:t>
    </w:r>
    <w:r w:rsidR="00B03779" w:rsidRPr="00B03779">
      <w:t>RE\1222135SL.docx</w:t>
    </w:r>
    <w:r w:rsidRPr="009A67CD">
      <w:rPr>
        <w:rStyle w:val="HideTWBExt"/>
      </w:rPr>
      <w:t>&lt;/PathFdR&gt;</w:t>
    </w:r>
    <w:r w:rsidRPr="00ED6327">
      <w:tab/>
    </w:r>
    <w:r w:rsidRPr="00ED6327">
      <w:tab/>
      <w:t>PE</w:t>
    </w:r>
    <w:r w:rsidRPr="009A67CD">
      <w:rPr>
        <w:rStyle w:val="HideTWBExt"/>
      </w:rPr>
      <w:t>&lt;NoPE&gt;</w:t>
    </w:r>
    <w:r w:rsidR="00B03779" w:rsidRPr="00B03779">
      <w:t>663.216</w:t>
    </w:r>
    <w:r w:rsidRPr="009A67CD">
      <w:rPr>
        <w:rStyle w:val="HideTWBExt"/>
      </w:rPr>
      <w:t>&lt;/NoPE&gt;&lt;Version&gt;</w:t>
    </w:r>
    <w:r w:rsidR="00ED6327" w:rsidRPr="00ED6327">
      <w:t>v</w:t>
    </w:r>
    <w:r w:rsidR="00B03779" w:rsidRPr="00B03779">
      <w:t>01-00</w:t>
    </w:r>
    <w:r w:rsidRPr="009A67CD">
      <w:rPr>
        <w:rStyle w:val="HideTWBExt"/>
      </w:rPr>
      <w:t>&lt;/Version&gt;</w:t>
    </w:r>
  </w:p>
  <w:p w:rsidR="00A90219" w:rsidRPr="00ED6327" w:rsidRDefault="00032C26" w:rsidP="00907285">
    <w:pPr>
      <w:pStyle w:val="EPFooter2"/>
      <w:tabs>
        <w:tab w:val="clear" w:pos="4535"/>
        <w:tab w:val="center" w:pos="4536"/>
      </w:tabs>
    </w:pPr>
    <w:fldSimple w:instr=" DOCPROPERTY &quot;&lt;Extension&gt;&quot; ">
      <w:r w:rsidR="009A67CD">
        <w:t>SL</w:t>
      </w:r>
    </w:fldSimple>
    <w:r w:rsidR="00A90219" w:rsidRPr="00ED6327">
      <w:tab/>
    </w:r>
    <w:r w:rsidR="00B03779">
      <w:rPr>
        <w:b w:val="0"/>
        <w:i/>
        <w:color w:val="C0C0C0"/>
        <w:sz w:val="22"/>
        <w:szCs w:val="22"/>
      </w:rPr>
      <w:t>Združena v raznolikosti</w:t>
    </w:r>
    <w:r w:rsidR="00A90219" w:rsidRPr="00ED6327">
      <w:tab/>
    </w:r>
    <w:fldSimple w:instr=" DOCPROPERTY &quot;&lt;Extension&gt;&quot; ">
      <w:r w:rsidR="009A67CD">
        <w:t>SL</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6327" w:rsidRPr="00ED6327" w:rsidRDefault="00ED6327">
      <w:r w:rsidRPr="00ED6327">
        <w:separator/>
      </w:r>
    </w:p>
  </w:footnote>
  <w:footnote w:type="continuationSeparator" w:id="0">
    <w:p w:rsidR="00ED6327" w:rsidRPr="00ED6327" w:rsidRDefault="00ED6327">
      <w:r w:rsidRPr="00ED6327">
        <w:continuationSeparator/>
      </w:r>
    </w:p>
  </w:footnote>
  <w:footnote w:id="1">
    <w:p w:rsidR="00B03779" w:rsidRPr="009A67CD" w:rsidRDefault="00B03779" w:rsidP="00032C26">
      <w:pPr>
        <w:pStyle w:val="FootnoteText"/>
        <w:rPr>
          <w:rFonts w:ascii="Times New Roman" w:hAnsi="Times New Roman" w:cs="Times New Roman"/>
        </w:rPr>
      </w:pPr>
      <w:r w:rsidRPr="009A67CD">
        <w:rPr>
          <w:rStyle w:val="Funotenzeichen"/>
          <w:rFonts w:ascii="Times New Roman" w:hAnsi="Times New Roman" w:cs="Times New Roman"/>
          <w:vertAlign w:val="superscript"/>
        </w:rPr>
        <w:footnoteRef/>
      </w:r>
      <w:r w:rsidR="009A67CD" w:rsidRPr="009A67CD">
        <w:rPr>
          <w:rFonts w:ascii="Times New Roman" w:hAnsi="Times New Roman" w:cs="Times New Roman"/>
        </w:rPr>
        <w:t xml:space="preserve"> </w:t>
      </w:r>
      <w:hyperlink r:id="rId1" w:history="1">
        <w:r w:rsidR="00032C26" w:rsidRPr="009A67CD">
          <w:rPr>
            <w:rStyle w:val="Hyperlink"/>
            <w:rFonts w:ascii="Times New Roman" w:hAnsi="Times New Roman" w:cs="Times New Roman"/>
          </w:rPr>
          <w:t>https://eur-lex.europa.eu/legal-content/SL/TXT/HTML/?uri=CELEX:62018CA0311&amp;from=EN</w:t>
        </w:r>
      </w:hyperlink>
      <w:r w:rsidR="00032C26" w:rsidRPr="009A67CD">
        <w:rPr>
          <w:rFonts w:ascii="Times New Roman" w:hAnsi="Times New Roman" w:cs="Times New Roman"/>
        </w:rPr>
        <w:t>.</w:t>
      </w:r>
    </w:p>
  </w:footnote>
  <w:footnote w:id="2">
    <w:p w:rsidR="00B03779" w:rsidRPr="009A67CD" w:rsidRDefault="009A67CD" w:rsidP="00B03779">
      <w:pPr>
        <w:pStyle w:val="FootnoteText"/>
        <w:rPr>
          <w:rFonts w:ascii="Times New Roman" w:hAnsi="Times New Roman" w:cs="Times New Roman"/>
        </w:rPr>
      </w:pPr>
      <w:r w:rsidRPr="009A67CD">
        <w:rPr>
          <w:rStyle w:val="FootnoteReference"/>
          <w:rFonts w:ascii="Times New Roman" w:hAnsi="Times New Roman" w:cs="Times New Roman"/>
        </w:rPr>
        <w:footnoteRef/>
      </w:r>
      <w:r w:rsidRPr="009A67CD">
        <w:rPr>
          <w:rStyle w:val="FootnoteReference"/>
          <w:rFonts w:ascii="Times New Roman" w:hAnsi="Times New Roman" w:cs="Times New Roman"/>
          <w:vertAlign w:val="baseline"/>
        </w:rPr>
        <w:t xml:space="preserve"> </w:t>
      </w:r>
      <w:hyperlink r:id="rId2" w:history="1">
        <w:r w:rsidRPr="009A67CD">
          <w:rPr>
            <w:rStyle w:val="Hyperlink"/>
            <w:rFonts w:ascii="Times New Roman" w:hAnsi="Times New Roman" w:cs="Times New Roman"/>
          </w:rPr>
          <w:t>https://eur-lex.europa.eu/legal-content/SL/TXT/HTML/?uri=C</w:t>
        </w:r>
        <w:r w:rsidRPr="009A67CD">
          <w:rPr>
            <w:rStyle w:val="Hyperlink"/>
            <w:rFonts w:ascii="Times New Roman" w:hAnsi="Times New Roman" w:cs="Times New Roman"/>
          </w:rPr>
          <w:t>E</w:t>
        </w:r>
        <w:r w:rsidRPr="009A67CD">
          <w:rPr>
            <w:rStyle w:val="Hyperlink"/>
            <w:rFonts w:ascii="Times New Roman" w:hAnsi="Times New Roman" w:cs="Times New Roman"/>
          </w:rPr>
          <w:t>LEX:62</w:t>
        </w:r>
        <w:r w:rsidRPr="009A67CD">
          <w:rPr>
            <w:rStyle w:val="Hyperlink"/>
            <w:rFonts w:ascii="Times New Roman" w:hAnsi="Times New Roman" w:cs="Times New Roman"/>
          </w:rPr>
          <w:t>0</w:t>
        </w:r>
        <w:r w:rsidRPr="009A67CD">
          <w:rPr>
            <w:rStyle w:val="Hyperlink"/>
            <w:rFonts w:ascii="Times New Roman" w:hAnsi="Times New Roman" w:cs="Times New Roman"/>
          </w:rPr>
          <w:t>14CJ0362&amp;from=EN</w:t>
        </w:r>
      </w:hyperlink>
      <w:r w:rsidR="00B03779" w:rsidRPr="009A67CD">
        <w:rPr>
          <w:rFonts w:ascii="Times New Roman" w:hAnsi="Times New Roman" w:cs="Times New Roman"/>
        </w:rPr>
        <w:t xml:space="preserve">. </w:t>
      </w:r>
    </w:p>
  </w:footnote>
  <w:footnote w:id="3">
    <w:p w:rsidR="00B03779" w:rsidRPr="009A67CD" w:rsidRDefault="00B03779" w:rsidP="00B03779">
      <w:pPr>
        <w:pStyle w:val="FootnoteText"/>
        <w:rPr>
          <w:rFonts w:ascii="Times New Roman" w:hAnsi="Times New Roman" w:cs="Times New Roman"/>
        </w:rPr>
      </w:pPr>
      <w:r w:rsidRPr="009A67CD">
        <w:rPr>
          <w:rStyle w:val="FootnoteReference"/>
          <w:rFonts w:ascii="Times New Roman" w:hAnsi="Times New Roman" w:cs="Times New Roman"/>
        </w:rPr>
        <w:footnoteRef/>
      </w:r>
      <w:r w:rsidR="009A67CD" w:rsidRPr="009A67CD">
        <w:rPr>
          <w:rFonts w:ascii="Times New Roman" w:hAnsi="Times New Roman" w:cs="Times New Roman"/>
        </w:rPr>
        <w:t xml:space="preserve"> </w:t>
      </w:r>
      <w:hyperlink r:id="rId3" w:history="1">
        <w:r w:rsidRPr="009A67CD">
          <w:rPr>
            <w:rStyle w:val="Hyperlink"/>
            <w:rFonts w:ascii="Times New Roman" w:hAnsi="Times New Roman" w:cs="Times New Roman"/>
          </w:rPr>
          <w:t>https://eur-lex.europa.eu/legal-content/SL/TXT/HTML/?uri=CELEX:62017CJ0623&amp;from=EN</w:t>
        </w:r>
      </w:hyperlink>
      <w:r w:rsidRPr="009A67CD">
        <w:rPr>
          <w:rFonts w:ascii="Times New Roman" w:hAnsi="Times New Roman" w:cs="Times New Roman"/>
        </w:rPr>
        <w:t xml:space="preserve">. </w:t>
      </w:r>
    </w:p>
  </w:footnote>
  <w:footnote w:id="4">
    <w:p w:rsidR="00B03779" w:rsidRPr="009A67CD" w:rsidRDefault="00B03779" w:rsidP="00B03779">
      <w:pPr>
        <w:pStyle w:val="FootnoteText"/>
        <w:rPr>
          <w:rFonts w:ascii="Times New Roman" w:hAnsi="Times New Roman" w:cs="Times New Roman"/>
        </w:rPr>
      </w:pPr>
      <w:r w:rsidRPr="009A67CD">
        <w:rPr>
          <w:rFonts w:ascii="Times New Roman" w:hAnsi="Times New Roman" w:cs="Times New Roman"/>
          <w:vertAlign w:val="superscript"/>
        </w:rPr>
        <w:footnoteRef/>
      </w:r>
      <w:r w:rsidR="009A67CD" w:rsidRPr="009A67CD">
        <w:rPr>
          <w:rFonts w:ascii="Times New Roman" w:hAnsi="Times New Roman" w:cs="Times New Roman"/>
        </w:rPr>
        <w:t xml:space="preserve"> </w:t>
      </w:r>
      <w:r w:rsidRPr="009A67CD">
        <w:rPr>
          <w:rFonts w:ascii="Times New Roman" w:hAnsi="Times New Roman" w:cs="Times New Roman"/>
        </w:rPr>
        <w:t xml:space="preserve">(P8_TA(2018)0315) </w:t>
      </w:r>
      <w:hyperlink r:id="rId4" w:history="1">
        <w:r w:rsidRPr="009A67CD">
          <w:rPr>
            <w:rFonts w:ascii="Times New Roman" w:hAnsi="Times New Roman" w:cs="Times New Roman"/>
          </w:rPr>
          <w:t>https://www.europarl.europa.eu/doceo/document/TA-8-2018-0315_SL.html</w:t>
        </w:r>
      </w:hyperlink>
      <w:r w:rsidRPr="009A67CD">
        <w:rPr>
          <w:rFonts w:ascii="Times New Roman" w:hAnsi="Times New Roman" w:cs="Times New Roman"/>
        </w:rPr>
        <w:t xml:space="preserve">. </w:t>
      </w:r>
    </w:p>
  </w:footnote>
  <w:footnote w:id="5">
    <w:p w:rsidR="00B03779" w:rsidRPr="009A67CD" w:rsidRDefault="00B03779" w:rsidP="00032C26">
      <w:pPr>
        <w:rPr>
          <w:sz w:val="20"/>
        </w:rPr>
      </w:pPr>
      <w:r w:rsidRPr="009A67CD">
        <w:rPr>
          <w:sz w:val="20"/>
          <w:vertAlign w:val="superscript"/>
        </w:rPr>
        <w:footnoteRef/>
      </w:r>
      <w:r w:rsidR="009A67CD" w:rsidRPr="009A67CD">
        <w:rPr>
          <w:sz w:val="20"/>
        </w:rPr>
        <w:t xml:space="preserve"> </w:t>
      </w:r>
      <w:r w:rsidRPr="009A67CD">
        <w:rPr>
          <w:sz w:val="20"/>
        </w:rPr>
        <w:t xml:space="preserve">(P8_TA(2018)0433) </w:t>
      </w:r>
      <w:hyperlink r:id="rId5" w:history="1">
        <w:r w:rsidRPr="009A67CD">
          <w:rPr>
            <w:sz w:val="20"/>
          </w:rPr>
          <w:t>https://www.europarl.europa.eu/doceo/document/TA-8-2018-0433_SL.html</w:t>
        </w:r>
      </w:hyperlink>
      <w:r w:rsidRPr="009A67CD">
        <w:rPr>
          <w:sz w:val="20"/>
        </w:rPr>
        <w:t xml:space="preserve">. </w:t>
      </w:r>
    </w:p>
  </w:footnote>
  <w:footnote w:id="6">
    <w:p w:rsidR="00B03779" w:rsidRPr="009A67CD" w:rsidRDefault="00B03779" w:rsidP="00B03779">
      <w:pPr>
        <w:pStyle w:val="FootnoteText"/>
        <w:rPr>
          <w:rFonts w:ascii="Times New Roman" w:hAnsi="Times New Roman" w:cs="Times New Roman"/>
        </w:rPr>
      </w:pPr>
      <w:r w:rsidRPr="009A67CD">
        <w:rPr>
          <w:rStyle w:val="FootnoteReference"/>
          <w:rFonts w:ascii="Times New Roman" w:hAnsi="Times New Roman" w:cs="Times New Roman"/>
        </w:rPr>
        <w:footnoteRef/>
      </w:r>
      <w:r w:rsidR="009A67CD" w:rsidRPr="009A67CD">
        <w:rPr>
          <w:rFonts w:ascii="Times New Roman" w:hAnsi="Times New Roman" w:cs="Times New Roman"/>
        </w:rPr>
        <w:t xml:space="preserve"> </w:t>
      </w:r>
      <w:r w:rsidRPr="009A67CD">
        <w:rPr>
          <w:rFonts w:ascii="Times New Roman" w:hAnsi="Times New Roman" w:cs="Times New Roman"/>
        </w:rPr>
        <w:t>(P9_TA(2020)0337) https://www.europarl.europa.eu/doceo/document/TA-9-2020-0337_SL.html.</w:t>
      </w:r>
    </w:p>
  </w:footnote>
  <w:footnote w:id="7">
    <w:p w:rsidR="00B03779" w:rsidRPr="009A67CD" w:rsidRDefault="00B03779" w:rsidP="00B03779">
      <w:pPr>
        <w:pStyle w:val="BodyText"/>
        <w:rPr>
          <w:sz w:val="20"/>
        </w:rPr>
      </w:pPr>
      <w:r w:rsidRPr="009A67CD">
        <w:rPr>
          <w:sz w:val="20"/>
          <w:vertAlign w:val="superscript"/>
        </w:rPr>
        <w:footnoteRef/>
      </w:r>
      <w:r w:rsidR="009A67CD" w:rsidRPr="009A67CD">
        <w:rPr>
          <w:sz w:val="20"/>
        </w:rPr>
        <w:t xml:space="preserve"> </w:t>
      </w:r>
      <w:r w:rsidRPr="009A67CD">
        <w:rPr>
          <w:sz w:val="20"/>
        </w:rPr>
        <w:t xml:space="preserve">Uredba (EU) 2016/679 Evropskega parlamenta in Sveta z dne 27. aprila 2016 o varstvu posameznikov pri obdelavi osebnih podatkov in o prostem pretoku takih podatkov ter o razveljavitvi Direktive 95/46/ES (Splošna uredba o varstvu podatkov) (UL L 119, 4.5.2016, str. 1–88), </w:t>
      </w:r>
      <w:hyperlink r:id="rId6" w:history="1">
        <w:r w:rsidRPr="009A67CD">
          <w:rPr>
            <w:color w:val="4472C4" w:themeColor="accent5"/>
            <w:sz w:val="20"/>
            <w:u w:val="single"/>
          </w:rPr>
          <w:t>https://eur-lex.europa.eu/legal-content/SL/TXT/HTML/?uri=CELEX:32016R0679&amp;from=EN</w:t>
        </w:r>
      </w:hyperlink>
      <w:r w:rsidRPr="009A67CD">
        <w:rPr>
          <w:sz w:val="20"/>
        </w:rPr>
        <w:t xml:space="preserve">.    </w:t>
      </w:r>
    </w:p>
    <w:p w:rsidR="00B03779" w:rsidRPr="009A67CD" w:rsidRDefault="00B03779" w:rsidP="00B03779">
      <w:pPr>
        <w:pStyle w:val="FootnoteText"/>
        <w:rPr>
          <w:rFonts w:ascii="Times New Roman" w:hAnsi="Times New Roman" w:cs="Times New Roman"/>
        </w:rPr>
      </w:pPr>
    </w:p>
  </w:footnote>
  <w:footnote w:id="8">
    <w:p w:rsidR="00B03779" w:rsidRPr="009A67CD" w:rsidRDefault="00B03779" w:rsidP="00B03779">
      <w:pPr>
        <w:pStyle w:val="FootnoteText"/>
        <w:rPr>
          <w:rFonts w:ascii="Times New Roman" w:hAnsi="Times New Roman" w:cs="Times New Roman"/>
        </w:rPr>
      </w:pPr>
      <w:r w:rsidRPr="009A67CD">
        <w:rPr>
          <w:rStyle w:val="FootnoteReference"/>
          <w:rFonts w:ascii="Times New Roman" w:hAnsi="Times New Roman" w:cs="Times New Roman"/>
        </w:rPr>
        <w:footnoteRef/>
      </w:r>
      <w:r w:rsidRPr="009A67CD">
        <w:rPr>
          <w:rFonts w:ascii="Times New Roman" w:hAnsi="Times New Roman" w:cs="Times New Roman"/>
        </w:rPr>
        <w:t xml:space="preserve"> </w:t>
      </w:r>
      <w:hyperlink r:id="rId7" w:history="1">
        <w:r w:rsidRPr="009A67CD">
          <w:rPr>
            <w:rStyle w:val="Hyperlink"/>
            <w:rFonts w:ascii="Times New Roman" w:hAnsi="Times New Roman" w:cs="Times New Roman"/>
          </w:rPr>
          <w:t>https://edpb.europa.eu/our-work-tools/public-consultations-art-704/2020/recommendations-012020-measures-supplement-transfer_sl</w:t>
        </w:r>
      </w:hyperlink>
      <w:r w:rsidRPr="009A67CD">
        <w:rPr>
          <w:rFonts w:ascii="Times New Roman" w:hAnsi="Times New Roman" w:cs="Times New Roman"/>
        </w:rPr>
        <w:t>.</w:t>
      </w:r>
    </w:p>
    <w:p w:rsidR="00B03779" w:rsidRPr="009A67CD" w:rsidRDefault="00B03779" w:rsidP="00B03779">
      <w:pPr>
        <w:pStyle w:val="FootnoteText"/>
        <w:rPr>
          <w:rFonts w:ascii="Times New Roman" w:hAnsi="Times New Roman" w:cs="Times New Roman"/>
        </w:rPr>
      </w:pPr>
      <w:r w:rsidRPr="009A67CD">
        <w:rPr>
          <w:rFonts w:ascii="Times New Roman" w:hAnsi="Times New Roman" w:cs="Times New Roman"/>
        </w:rPr>
        <w:tab/>
      </w:r>
      <w:hyperlink r:id="rId8" w:history="1">
        <w:r w:rsidRPr="009A67CD">
          <w:rPr>
            <w:rStyle w:val="Hyperlink"/>
            <w:rFonts w:ascii="Times New Roman" w:hAnsi="Times New Roman" w:cs="Times New Roman"/>
          </w:rPr>
          <w:t>https://edpb.europa.eu/our-work-tools/our-documents/recommendations/edpb-recommendations-022020-european-essential</w:t>
        </w:r>
      </w:hyperlink>
      <w:r w:rsidRPr="009A67CD">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3779" w:rsidRDefault="00B037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3779" w:rsidRDefault="00B037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3779" w:rsidRDefault="00B037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B22A8A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C0EE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FB40F5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F525D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730919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26A2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DC9AF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120C2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92AAA7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B4278A6"/>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9"/>
  </w:num>
  <w:num w:numId="3">
    <w:abstractNumId w:val="7"/>
  </w:num>
  <w:num w:numId="4">
    <w:abstractNumId w:val="7"/>
  </w:num>
  <w:num w:numId="5">
    <w:abstractNumId w:val="6"/>
  </w:num>
  <w:num w:numId="6">
    <w:abstractNumId w:val="6"/>
  </w:num>
  <w:num w:numId="7">
    <w:abstractNumId w:val="5"/>
  </w:num>
  <w:num w:numId="8">
    <w:abstractNumId w:val="5"/>
  </w:num>
  <w:num w:numId="9">
    <w:abstractNumId w:val="4"/>
  </w:num>
  <w:num w:numId="10">
    <w:abstractNumId w:val="4"/>
  </w:num>
  <w:num w:numId="11">
    <w:abstractNumId w:val="8"/>
  </w:num>
  <w:num w:numId="12">
    <w:abstractNumId w:val="8"/>
  </w:num>
  <w:num w:numId="13">
    <w:abstractNumId w:val="3"/>
  </w:num>
  <w:num w:numId="14">
    <w:abstractNumId w:val="3"/>
  </w:num>
  <w:num w:numId="15">
    <w:abstractNumId w:val="2"/>
  </w:num>
  <w:num w:numId="16">
    <w:abstractNumId w:val="2"/>
  </w:num>
  <w:num w:numId="17">
    <w:abstractNumId w:val="1"/>
  </w:num>
  <w:num w:numId="18">
    <w:abstractNumId w:val="1"/>
  </w:num>
  <w:num w:numId="19">
    <w:abstractNumId w:val="0"/>
  </w:num>
  <w:num w:numId="20">
    <w:abstractNumId w:val="0"/>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9"/>
  </w:num>
  <w:num w:numId="32">
    <w:abstractNumId w:val="7"/>
  </w:num>
  <w:num w:numId="33">
    <w:abstractNumId w:val="6"/>
  </w:num>
  <w:num w:numId="34">
    <w:abstractNumId w:val="5"/>
  </w:num>
  <w:num w:numId="35">
    <w:abstractNumId w:val="4"/>
  </w:num>
  <w:num w:numId="36">
    <w:abstractNumId w:val="8"/>
  </w:num>
  <w:num w:numId="37">
    <w:abstractNumId w:val="3"/>
  </w:num>
  <w:num w:numId="38">
    <w:abstractNumId w:val="2"/>
  </w:num>
  <w:num w:numId="39">
    <w:abstractNumId w:val="1"/>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Restart w:val="eachSec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KEY" w:val="LIBE"/>
    <w:docVar w:name="DOCTYPEMNU" w:val=" 1"/>
    <w:docVar w:name="LastEditedSection" w:val=" 1"/>
    <w:docVar w:name="STATMNU" w:val=" 1"/>
    <w:docVar w:name="strDocTypeID" w:val="RE_Statements"/>
    <w:docVar w:name="strSubDir" w:val="1222"/>
    <w:docVar w:name="TXTLANGUE" w:val="SL"/>
    <w:docVar w:name="TXTLANGUEMIN" w:val="sl"/>
    <w:docVar w:name="TXTNRPE" w:val="663.216"/>
    <w:docVar w:name="TXTNRRSP" w:val="2020/2789"/>
    <w:docVar w:name="TXTPEorAP" w:val="PE"/>
    <w:docVar w:name="TXTROUTE" w:val="RE\1222135SL.docx"/>
    <w:docVar w:name="TXTTITLE" w:val="on the ruling of the ECJ of 16 July 2020 - Data Protection Commissioner v Facebook Ireland Limited, Maximillian Schrems (“Schrems II”) - Case C-311/18"/>
    <w:docVar w:name="TXTVERSION" w:val="01-00"/>
  </w:docVars>
  <w:rsids>
    <w:rsidRoot w:val="00ED6327"/>
    <w:rsid w:val="00032C26"/>
    <w:rsid w:val="00037F46"/>
    <w:rsid w:val="00094DDA"/>
    <w:rsid w:val="00117781"/>
    <w:rsid w:val="001B49A3"/>
    <w:rsid w:val="001B7CFB"/>
    <w:rsid w:val="001C16A7"/>
    <w:rsid w:val="001C62C5"/>
    <w:rsid w:val="001E2450"/>
    <w:rsid w:val="00222BBB"/>
    <w:rsid w:val="002574AA"/>
    <w:rsid w:val="002C7767"/>
    <w:rsid w:val="00303413"/>
    <w:rsid w:val="003772FA"/>
    <w:rsid w:val="00411D03"/>
    <w:rsid w:val="00412503"/>
    <w:rsid w:val="00471D62"/>
    <w:rsid w:val="004B5166"/>
    <w:rsid w:val="00516BD3"/>
    <w:rsid w:val="0058312A"/>
    <w:rsid w:val="005D6861"/>
    <w:rsid w:val="00654CBD"/>
    <w:rsid w:val="006726A1"/>
    <w:rsid w:val="006A27B7"/>
    <w:rsid w:val="006F48B8"/>
    <w:rsid w:val="00706BC0"/>
    <w:rsid w:val="00723A0B"/>
    <w:rsid w:val="00780A7D"/>
    <w:rsid w:val="0078190B"/>
    <w:rsid w:val="007E1E11"/>
    <w:rsid w:val="00814BC6"/>
    <w:rsid w:val="008278C0"/>
    <w:rsid w:val="00866D70"/>
    <w:rsid w:val="008A4052"/>
    <w:rsid w:val="008D7B31"/>
    <w:rsid w:val="008F5EFB"/>
    <w:rsid w:val="00907285"/>
    <w:rsid w:val="00910F7E"/>
    <w:rsid w:val="00981ED6"/>
    <w:rsid w:val="009A67CD"/>
    <w:rsid w:val="009D24DE"/>
    <w:rsid w:val="00A32337"/>
    <w:rsid w:val="00A4763A"/>
    <w:rsid w:val="00A516B8"/>
    <w:rsid w:val="00A90219"/>
    <w:rsid w:val="00AD76E9"/>
    <w:rsid w:val="00B03779"/>
    <w:rsid w:val="00B34A46"/>
    <w:rsid w:val="00B90331"/>
    <w:rsid w:val="00BC3002"/>
    <w:rsid w:val="00BF2C2D"/>
    <w:rsid w:val="00C23264"/>
    <w:rsid w:val="00CC09D8"/>
    <w:rsid w:val="00D12F64"/>
    <w:rsid w:val="00D44718"/>
    <w:rsid w:val="00D90D37"/>
    <w:rsid w:val="00DF7943"/>
    <w:rsid w:val="00E53167"/>
    <w:rsid w:val="00EA43FB"/>
    <w:rsid w:val="00EC05E9"/>
    <w:rsid w:val="00ED22B8"/>
    <w:rsid w:val="00ED6327"/>
    <w:rsid w:val="00F02A2C"/>
    <w:rsid w:val="00F26DE8"/>
    <w:rsid w:val="00F4455A"/>
    <w:rsid w:val="00F7050A"/>
    <w:rsid w:val="00F959BA"/>
  </w:rsids>
  <m:mathPr>
    <m:mathFont m:val="Cambria Math"/>
    <m:brkBin m:val="before"/>
    <m:brkBinSub m:val="--"/>
    <m:smallFrac m:val="0"/>
    <m:dispDef/>
    <m:lMargin m:val="0"/>
    <m:rMargin m:val="0"/>
    <m:defJc m:val="centerGroup"/>
    <m:wrapIndent m:val="1440"/>
    <m:intLim m:val="subSup"/>
    <m:naryLim m:val="undOvr"/>
  </m:mathPr>
  <w:themeFontLang w:val="en-GB"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48BA44"/>
  <w15:chartTrackingRefBased/>
  <w15:docId w15:val="{5F25DCAE-DAD0-4872-BFEF-4264690DD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semiHidden="1"/>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4718"/>
    <w:pPr>
      <w:widowControl w:val="0"/>
    </w:pPr>
    <w:rPr>
      <w:sz w:val="24"/>
    </w:rPr>
  </w:style>
  <w:style w:type="paragraph" w:styleId="Heading1">
    <w:name w:val="heading 1"/>
    <w:basedOn w:val="Normal"/>
    <w:next w:val="Normal"/>
    <w:semiHidden/>
    <w:qFormat/>
    <w:pPr>
      <w:keepNext/>
      <w:spacing w:before="240" w:after="60"/>
      <w:outlineLvl w:val="0"/>
    </w:pPr>
    <w:rPr>
      <w:rFonts w:ascii="Arial" w:hAnsi="Arial"/>
      <w:b/>
      <w:kern w:val="28"/>
      <w:sz w:val="28"/>
    </w:rPr>
  </w:style>
  <w:style w:type="paragraph" w:styleId="Heading2">
    <w:name w:val="heading 2"/>
    <w:basedOn w:val="Normal"/>
    <w:next w:val="Normal"/>
    <w:semiHidden/>
    <w:qFormat/>
    <w:pPr>
      <w:keepNext/>
      <w:spacing w:before="240" w:after="60"/>
      <w:outlineLvl w:val="1"/>
    </w:pPr>
    <w:rPr>
      <w:rFonts w:ascii="Arial" w:hAnsi="Arial"/>
      <w:b/>
      <w:i/>
    </w:rPr>
  </w:style>
  <w:style w:type="paragraph" w:styleId="Heading3">
    <w:name w:val="heading 3"/>
    <w:basedOn w:val="Normal"/>
    <w:next w:val="Normal"/>
    <w:semiHidden/>
    <w:qFormat/>
    <w:pPr>
      <w:keepNext/>
      <w:spacing w:before="240" w:after="60"/>
      <w:outlineLvl w:val="2"/>
    </w:pPr>
    <w:rPr>
      <w:rFonts w:ascii="Arial" w:hAnsi="Arial"/>
    </w:rPr>
  </w:style>
  <w:style w:type="paragraph" w:styleId="Heading4">
    <w:name w:val="heading 4"/>
    <w:basedOn w:val="Normal"/>
    <w:next w:val="Normal"/>
    <w:semiHidden/>
    <w:qFormat/>
    <w:pPr>
      <w:keepNext/>
      <w:spacing w:before="240" w:after="60"/>
      <w:outlineLvl w:val="3"/>
    </w:pPr>
    <w:rPr>
      <w:rFonts w:ascii="Arial" w:hAnsi="Arial"/>
      <w:b/>
    </w:rPr>
  </w:style>
  <w:style w:type="paragraph" w:styleId="Heading5">
    <w:name w:val="heading 5"/>
    <w:basedOn w:val="Normal"/>
    <w:next w:val="Normal"/>
    <w:semiHidden/>
    <w:qFormat/>
    <w:pPr>
      <w:spacing w:before="240" w:after="60"/>
      <w:outlineLvl w:val="4"/>
    </w:pPr>
    <w:rPr>
      <w:sz w:val="22"/>
    </w:rPr>
  </w:style>
  <w:style w:type="paragraph" w:styleId="Heading6">
    <w:name w:val="heading 6"/>
    <w:basedOn w:val="Normal"/>
    <w:next w:val="Normal"/>
    <w:semiHidden/>
    <w:qFormat/>
    <w:pPr>
      <w:spacing w:before="240" w:after="60"/>
      <w:outlineLvl w:val="5"/>
    </w:pPr>
    <w:rPr>
      <w:i/>
      <w:sz w:val="22"/>
    </w:rPr>
  </w:style>
  <w:style w:type="paragraph" w:styleId="Heading7">
    <w:name w:val="heading 7"/>
    <w:basedOn w:val="Normal"/>
    <w:next w:val="Normal"/>
    <w:semiHidden/>
    <w:qFormat/>
    <w:pPr>
      <w:spacing w:before="240" w:after="60"/>
      <w:outlineLvl w:val="6"/>
    </w:pPr>
    <w:rPr>
      <w:rFonts w:ascii="Arial" w:hAnsi="Arial"/>
    </w:rPr>
  </w:style>
  <w:style w:type="paragraph" w:styleId="Heading8">
    <w:name w:val="heading 8"/>
    <w:basedOn w:val="Normal"/>
    <w:next w:val="Normal"/>
    <w:semiHidden/>
    <w:qFormat/>
    <w:pPr>
      <w:spacing w:before="240" w:after="60"/>
      <w:outlineLvl w:val="7"/>
    </w:pPr>
    <w:rPr>
      <w:rFonts w:ascii="Arial" w:hAnsi="Arial"/>
      <w:i/>
    </w:rPr>
  </w:style>
  <w:style w:type="paragraph" w:styleId="Heading9">
    <w:name w:val="heading 9"/>
    <w:basedOn w:val="Normal"/>
    <w:next w:val="Normal"/>
    <w:semiHidden/>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ideTWBExt">
    <w:name w:val="HideTWBExt"/>
    <w:basedOn w:val="DefaultParagraphFont"/>
    <w:rPr>
      <w:rFonts w:ascii="Arial" w:hAnsi="Arial" w:cs="Arial"/>
      <w:b w:val="0"/>
      <w:i w:val="0"/>
      <w:strike w:val="0"/>
      <w:noProof/>
      <w:vanish/>
      <w:color w:val="000080"/>
      <w:sz w:val="20"/>
    </w:rPr>
  </w:style>
  <w:style w:type="paragraph" w:customStyle="1" w:styleId="EPFooter2">
    <w:name w:val="EPFooter2"/>
    <w:basedOn w:val="Normal"/>
    <w:next w:val="Normal"/>
    <w:pPr>
      <w:widowControl/>
      <w:tabs>
        <w:tab w:val="center" w:pos="4535"/>
        <w:tab w:val="right" w:pos="9921"/>
      </w:tabs>
      <w:ind w:left="-850" w:right="-850"/>
    </w:pPr>
    <w:rPr>
      <w:rFonts w:ascii="Arial" w:hAnsi="Arial" w:cs="Arial"/>
      <w:b/>
      <w:sz w:val="48"/>
    </w:rPr>
  </w:style>
  <w:style w:type="paragraph" w:customStyle="1" w:styleId="EPComma">
    <w:name w:val="EPComma"/>
    <w:basedOn w:val="Normal"/>
    <w:rsid w:val="00DF7943"/>
    <w:pPr>
      <w:spacing w:before="480" w:after="240"/>
    </w:pPr>
  </w:style>
  <w:style w:type="paragraph" w:styleId="TOC1">
    <w:name w:val="toc 1"/>
    <w:basedOn w:val="EPComma"/>
    <w:next w:val="EPComma"/>
    <w:autoRedefine/>
    <w:semiHidden/>
  </w:style>
  <w:style w:type="paragraph" w:styleId="TOCHeading">
    <w:name w:val="TOC Heading"/>
    <w:basedOn w:val="Normal"/>
    <w:next w:val="Normal"/>
    <w:semiHidden/>
    <w:qFormat/>
    <w:pPr>
      <w:keepNext/>
      <w:spacing w:before="240" w:after="240"/>
      <w:jc w:val="center"/>
    </w:pPr>
    <w:rPr>
      <w:rFonts w:ascii="Arial" w:hAnsi="Arial"/>
      <w:b/>
    </w:rPr>
  </w:style>
  <w:style w:type="character" w:customStyle="1" w:styleId="HideTWBInt">
    <w:name w:val="HideTWBInt"/>
    <w:basedOn w:val="DefaultParagraphFont"/>
    <w:rPr>
      <w:rFonts w:ascii="Arial" w:hAnsi="Arial" w:cs="Arial"/>
      <w:noProof/>
      <w:vanish/>
      <w:color w:val="808080"/>
      <w:sz w:val="20"/>
    </w:rPr>
  </w:style>
  <w:style w:type="paragraph" w:customStyle="1" w:styleId="NormalBold">
    <w:name w:val="NormalBold"/>
    <w:basedOn w:val="Normal"/>
    <w:rPr>
      <w:b/>
    </w:rPr>
  </w:style>
  <w:style w:type="paragraph" w:customStyle="1" w:styleId="NormalBold12a">
    <w:name w:val="NormalBold12a"/>
    <w:basedOn w:val="Normal"/>
    <w:pPr>
      <w:spacing w:after="240"/>
    </w:pPr>
    <w:rPr>
      <w:b/>
    </w:rPr>
  </w:style>
  <w:style w:type="paragraph" w:customStyle="1" w:styleId="NormalHanging12a">
    <w:name w:val="NormalHanging12a"/>
    <w:basedOn w:val="Normal"/>
    <w:pPr>
      <w:spacing w:after="240"/>
      <w:ind w:left="567" w:hanging="567"/>
    </w:pPr>
  </w:style>
  <w:style w:type="paragraph" w:customStyle="1" w:styleId="CoverBold">
    <w:name w:val="CoverBold"/>
    <w:basedOn w:val="Normal"/>
    <w:rsid w:val="00B90331"/>
    <w:pPr>
      <w:ind w:left="1417"/>
    </w:pPr>
    <w:rPr>
      <w:b/>
    </w:rPr>
  </w:style>
  <w:style w:type="paragraph" w:customStyle="1" w:styleId="CoverNormal">
    <w:name w:val="CoverNormal"/>
    <w:basedOn w:val="Normal"/>
    <w:pPr>
      <w:ind w:left="1418"/>
    </w:pPr>
  </w:style>
  <w:style w:type="paragraph" w:customStyle="1" w:styleId="CoverNormal12a">
    <w:name w:val="CoverNormal12a"/>
    <w:basedOn w:val="Normal"/>
    <w:rsid w:val="00B90331"/>
    <w:pPr>
      <w:spacing w:after="240"/>
      <w:ind w:left="1418"/>
    </w:pPr>
  </w:style>
  <w:style w:type="paragraph" w:customStyle="1" w:styleId="CoverNormal24a">
    <w:name w:val="CoverNormal24a"/>
    <w:basedOn w:val="Normal"/>
    <w:rsid w:val="00B90331"/>
    <w:pPr>
      <w:spacing w:after="480"/>
      <w:ind w:left="1417"/>
    </w:pPr>
  </w:style>
  <w:style w:type="paragraph" w:customStyle="1" w:styleId="CoverDocType24a">
    <w:name w:val="CoverDocType24a"/>
    <w:basedOn w:val="Normal"/>
    <w:rsid w:val="00EC05E9"/>
    <w:pPr>
      <w:spacing w:after="480"/>
      <w:ind w:left="1418"/>
    </w:pPr>
    <w:rPr>
      <w:rFonts w:ascii="Arial" w:hAnsi="Arial"/>
      <w:b/>
      <w:sz w:val="48"/>
    </w:rPr>
  </w:style>
  <w:style w:type="paragraph" w:styleId="Header">
    <w:name w:val="header"/>
    <w:basedOn w:val="Normal"/>
    <w:link w:val="HeaderChar"/>
    <w:semiHidden/>
    <w:rsid w:val="007E1E11"/>
    <w:pPr>
      <w:tabs>
        <w:tab w:val="center" w:pos="4513"/>
        <w:tab w:val="right" w:pos="9026"/>
      </w:tabs>
    </w:pPr>
  </w:style>
  <w:style w:type="table" w:styleId="TableGrid">
    <w:name w:val="Table Grid"/>
    <w:basedOn w:val="TableNormal"/>
    <w:rsid w:val="00E531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Body">
    <w:name w:val="EPBody"/>
    <w:basedOn w:val="Normal"/>
    <w:rsid w:val="00E53167"/>
    <w:pPr>
      <w:jc w:val="center"/>
    </w:pPr>
    <w:rPr>
      <w:rFonts w:ascii="Arial" w:hAnsi="Arial" w:cs="Arial"/>
      <w:i/>
      <w:sz w:val="22"/>
      <w:szCs w:val="22"/>
    </w:rPr>
  </w:style>
  <w:style w:type="paragraph" w:customStyle="1" w:styleId="LineTop">
    <w:name w:val="LineTop"/>
    <w:basedOn w:val="Normal"/>
    <w:next w:val="Normal"/>
    <w:rsid w:val="00E53167"/>
    <w:pPr>
      <w:pBdr>
        <w:top w:val="single" w:sz="4" w:space="1" w:color="auto"/>
      </w:pBdr>
      <w:jc w:val="center"/>
    </w:pPr>
    <w:rPr>
      <w:rFonts w:ascii="Arial" w:hAnsi="Arial" w:cs="Arial"/>
      <w:sz w:val="16"/>
      <w:szCs w:val="16"/>
    </w:rPr>
  </w:style>
  <w:style w:type="paragraph" w:customStyle="1" w:styleId="LineBottom">
    <w:name w:val="LineBottom"/>
    <w:basedOn w:val="Normal"/>
    <w:next w:val="Normal"/>
    <w:rsid w:val="00094DDA"/>
    <w:pPr>
      <w:pBdr>
        <w:bottom w:val="single" w:sz="4" w:space="1" w:color="auto"/>
      </w:pBdr>
      <w:spacing w:after="240"/>
      <w:jc w:val="center"/>
    </w:pPr>
    <w:rPr>
      <w:rFonts w:ascii="Arial" w:hAnsi="Arial" w:cs="Arial"/>
      <w:sz w:val="16"/>
      <w:szCs w:val="16"/>
    </w:rPr>
  </w:style>
  <w:style w:type="paragraph" w:customStyle="1" w:styleId="EPName">
    <w:name w:val="EPName"/>
    <w:basedOn w:val="Normal"/>
    <w:rsid w:val="00706BC0"/>
    <w:pPr>
      <w:spacing w:before="80" w:after="80"/>
    </w:pPr>
    <w:rPr>
      <w:rFonts w:ascii="Arial Narrow" w:hAnsi="Arial Narrow" w:cs="Arial"/>
      <w:b/>
      <w:sz w:val="32"/>
      <w:szCs w:val="22"/>
    </w:rPr>
  </w:style>
  <w:style w:type="paragraph" w:customStyle="1" w:styleId="EPTerm">
    <w:name w:val="EPTerm"/>
    <w:basedOn w:val="Normal"/>
    <w:next w:val="Normal"/>
    <w:rsid w:val="00706BC0"/>
    <w:pPr>
      <w:spacing w:after="80"/>
    </w:pPr>
    <w:rPr>
      <w:rFonts w:ascii="Arial" w:hAnsi="Arial" w:cs="Arial"/>
      <w:sz w:val="20"/>
      <w:szCs w:val="22"/>
    </w:rPr>
  </w:style>
  <w:style w:type="paragraph" w:customStyle="1" w:styleId="EPLogo">
    <w:name w:val="EPLogo"/>
    <w:basedOn w:val="Normal"/>
    <w:qFormat/>
    <w:rsid w:val="00706BC0"/>
    <w:pPr>
      <w:jc w:val="right"/>
    </w:pPr>
  </w:style>
  <w:style w:type="paragraph" w:customStyle="1" w:styleId="CoverReference">
    <w:name w:val="CoverReference"/>
    <w:basedOn w:val="Normal"/>
    <w:rsid w:val="00094DDA"/>
    <w:pPr>
      <w:spacing w:before="1080"/>
      <w:jc w:val="right"/>
    </w:pPr>
    <w:rPr>
      <w:rFonts w:ascii="Arial" w:hAnsi="Arial" w:cs="Arial"/>
      <w:b/>
    </w:rPr>
  </w:style>
  <w:style w:type="paragraph" w:customStyle="1" w:styleId="CoverDate">
    <w:name w:val="CoverDate"/>
    <w:basedOn w:val="Normal"/>
    <w:rsid w:val="00094DDA"/>
    <w:pPr>
      <w:spacing w:before="240" w:after="1200"/>
    </w:pPr>
  </w:style>
  <w:style w:type="paragraph" w:customStyle="1" w:styleId="EPFooter">
    <w:name w:val="EPFooter"/>
    <w:basedOn w:val="Normal"/>
    <w:rsid w:val="00EC05E9"/>
    <w:pPr>
      <w:tabs>
        <w:tab w:val="center" w:pos="4535"/>
        <w:tab w:val="right" w:pos="9071"/>
      </w:tabs>
      <w:spacing w:before="240" w:after="240"/>
    </w:pPr>
    <w:rPr>
      <w:sz w:val="22"/>
    </w:rPr>
  </w:style>
  <w:style w:type="character" w:customStyle="1" w:styleId="HeaderChar">
    <w:name w:val="Header Char"/>
    <w:basedOn w:val="DefaultParagraphFont"/>
    <w:link w:val="Header"/>
    <w:semiHidden/>
    <w:rsid w:val="007E1E11"/>
    <w:rPr>
      <w:sz w:val="24"/>
    </w:rPr>
  </w:style>
  <w:style w:type="character" w:styleId="Hyperlink">
    <w:name w:val="Hyperlink"/>
    <w:basedOn w:val="DefaultParagraphFont"/>
    <w:uiPriority w:val="99"/>
    <w:unhideWhenUsed/>
    <w:rsid w:val="00B03779"/>
    <w:rPr>
      <w:color w:val="0563C1" w:themeColor="hyperlink"/>
      <w:u w:val="single"/>
    </w:rPr>
  </w:style>
  <w:style w:type="paragraph" w:styleId="FootnoteText">
    <w:name w:val="footnote text"/>
    <w:basedOn w:val="Normal"/>
    <w:link w:val="FootnoteTextChar"/>
    <w:unhideWhenUsed/>
    <w:rsid w:val="00B03779"/>
    <w:pPr>
      <w:widowControl/>
      <w:suppressLineNumbers/>
      <w:ind w:left="339" w:hanging="339"/>
    </w:pPr>
    <w:rPr>
      <w:rFonts w:ascii="DejaVu Serif" w:eastAsia="DejaVu Sans" w:hAnsi="DejaVu Serif" w:cs="Noto Sans Devanagari"/>
      <w:kern w:val="2"/>
      <w:sz w:val="20"/>
      <w:lang w:eastAsia="zh-CN" w:bidi="hi-IN"/>
    </w:rPr>
  </w:style>
  <w:style w:type="character" w:customStyle="1" w:styleId="FootnoteTextChar">
    <w:name w:val="Footnote Text Char"/>
    <w:basedOn w:val="DefaultParagraphFont"/>
    <w:link w:val="FootnoteText"/>
    <w:rsid w:val="00B03779"/>
    <w:rPr>
      <w:rFonts w:ascii="DejaVu Serif" w:eastAsia="DejaVu Sans" w:hAnsi="DejaVu Serif" w:cs="Noto Sans Devanagari"/>
      <w:kern w:val="2"/>
      <w:lang w:val="sl-SI" w:eastAsia="zh-CN" w:bidi="hi-IN"/>
    </w:rPr>
  </w:style>
  <w:style w:type="character" w:customStyle="1" w:styleId="Funotenzeichen">
    <w:name w:val="Fußnotenzeichen"/>
    <w:qFormat/>
    <w:rsid w:val="00B03779"/>
  </w:style>
  <w:style w:type="character" w:styleId="FootnoteReference">
    <w:name w:val="footnote reference"/>
    <w:basedOn w:val="DefaultParagraphFont"/>
    <w:uiPriority w:val="99"/>
    <w:unhideWhenUsed/>
    <w:rsid w:val="00B03779"/>
    <w:rPr>
      <w:vertAlign w:val="superscript"/>
    </w:rPr>
  </w:style>
  <w:style w:type="paragraph" w:styleId="BodyText">
    <w:name w:val="Body Text"/>
    <w:basedOn w:val="Normal"/>
    <w:link w:val="BodyTextChar"/>
    <w:rsid w:val="00B03779"/>
    <w:pPr>
      <w:spacing w:after="120"/>
    </w:pPr>
  </w:style>
  <w:style w:type="character" w:customStyle="1" w:styleId="BodyTextChar">
    <w:name w:val="Body Text Char"/>
    <w:basedOn w:val="DefaultParagraphFont"/>
    <w:link w:val="BodyText"/>
    <w:rsid w:val="00B03779"/>
    <w:rPr>
      <w:sz w:val="24"/>
    </w:rPr>
  </w:style>
  <w:style w:type="paragraph" w:styleId="Footer">
    <w:name w:val="footer"/>
    <w:basedOn w:val="Normal"/>
    <w:link w:val="FooterChar"/>
    <w:semiHidden/>
    <w:rsid w:val="00B03779"/>
    <w:pPr>
      <w:tabs>
        <w:tab w:val="center" w:pos="4513"/>
        <w:tab w:val="right" w:pos="9026"/>
      </w:tabs>
    </w:pPr>
  </w:style>
  <w:style w:type="character" w:customStyle="1" w:styleId="FooterChar">
    <w:name w:val="Footer Char"/>
    <w:basedOn w:val="DefaultParagraphFont"/>
    <w:link w:val="Footer"/>
    <w:semiHidden/>
    <w:rsid w:val="00B03779"/>
    <w:rPr>
      <w:sz w:val="24"/>
      <w:lang w:val="sl-SI"/>
    </w:rPr>
  </w:style>
  <w:style w:type="character" w:styleId="FollowedHyperlink">
    <w:name w:val="FollowedHyperlink"/>
    <w:basedOn w:val="DefaultParagraphFont"/>
    <w:rsid w:val="009A67C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edpb.europa.eu/our-work-tools/our-documents/recommendations/edpb-recommendations-022020-european-essential" TargetMode="External"/><Relationship Id="rId3" Type="http://schemas.openxmlformats.org/officeDocument/2006/relationships/hyperlink" Target="https://eur-lex.europa.eu/legal-content/SL/TXT/HTML/?uri=CELEX:62017CJ0623&amp;from=EN" TargetMode="External"/><Relationship Id="rId7" Type="http://schemas.openxmlformats.org/officeDocument/2006/relationships/hyperlink" Target="https://edpb.europa.eu/our-work-tools/public-consultations-art-704/2020/recommendations-012020-measures-supplement-transfer_sl" TargetMode="External"/><Relationship Id="rId2" Type="http://schemas.openxmlformats.org/officeDocument/2006/relationships/hyperlink" Target="https://eur-lex.europa.eu/legal-content/SL/TXT/HTML/?uri=CELEX:62014CJ0362&amp;from=EN" TargetMode="External"/><Relationship Id="rId1" Type="http://schemas.openxmlformats.org/officeDocument/2006/relationships/hyperlink" Target="https://eur-lex.europa.eu/legal-content/SL/TXT/HTML/?uri=CELEX:62018CA0311&amp;from=EN" TargetMode="External"/><Relationship Id="rId6" Type="http://schemas.openxmlformats.org/officeDocument/2006/relationships/hyperlink" Target="https://eur-lex.europa.eu/legal-content/SL/TXT/HTML/?uri=CELEX:32016R0679&amp;from=EN" TargetMode="External"/><Relationship Id="rId5" Type="http://schemas.openxmlformats.org/officeDocument/2006/relationships/hyperlink" Target="https://www.europarl.europa.eu/doceo/document/TA-8-2018-0433_SL.html" TargetMode="External"/><Relationship Id="rId4" Type="http://schemas.openxmlformats.org/officeDocument/2006/relationships/hyperlink" Target="https://www.europarl.europa.eu/doceo/document/TA-8-2018-0315_SL.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1384</Words>
  <Characters>8029</Characters>
  <Application>Microsoft Office Word</Application>
  <DocSecurity>0</DocSecurity>
  <Lines>151</Lines>
  <Paragraphs>66</Paragraphs>
  <ScaleCrop>false</ScaleCrop>
  <HeadingPairs>
    <vt:vector size="2" baseType="variant">
      <vt:variant>
        <vt:lpstr>Title</vt:lpstr>
      </vt:variant>
      <vt:variant>
        <vt:i4>1</vt:i4>
      </vt:variant>
    </vt:vector>
  </HeadingPairs>
  <TitlesOfParts>
    <vt:vector size="1" baseType="lpstr">
      <vt:lpstr>RE_Statements</vt:lpstr>
    </vt:vector>
  </TitlesOfParts>
  <Company/>
  <LinksUpToDate>false</LinksUpToDate>
  <CharactersWithSpaces>9347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RE_Statements</dc:title>
  <dc:subject/>
  <dc:creator>ZALOZNIK Katja</dc:creator>
  <cp:keywords/>
  <dc:description/>
  <cp:lastModifiedBy>POTOCNIK Lea</cp:lastModifiedBy>
  <cp:revision>2</cp:revision>
  <cp:lastPrinted>2004-11-19T15:55:00Z</cp:lastPrinted>
  <dcterms:created xsi:type="dcterms:W3CDTF">2021-01-29T07:41:00Z</dcterms:created>
  <dcterms:modified xsi:type="dcterms:W3CDTF">2021-01-29T07:41:00Z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with">
    <vt:lpwstr>9.9.1 Build [20200705]</vt:lpwstr>
  </property>
  <property fmtid="{D5CDD505-2E9C-101B-9397-08002B2CF9AE}" pid="3" name="LastEdited with">
    <vt:lpwstr>9.9.1 Build [20200705]</vt:lpwstr>
  </property>
  <property fmtid="{D5CDD505-2E9C-101B-9397-08002B2CF9AE}" pid="4" name="&lt;FdR&gt;">
    <vt:lpwstr>1222135</vt:lpwstr>
  </property>
  <property fmtid="{D5CDD505-2E9C-101B-9397-08002B2CF9AE}" pid="5" name="&lt;Type&gt;">
    <vt:lpwstr>RE</vt:lpwstr>
  </property>
  <property fmtid="{D5CDD505-2E9C-101B-9397-08002B2CF9AE}" pid="6" name="&lt;ModelCod&gt;">
    <vt:lpwstr>\\eiciBRUpr1\pdocep$\DocEP\DOCS\General\RE\RE_Statements.dotx(17/04/2020 18:29:07)</vt:lpwstr>
  </property>
  <property fmtid="{D5CDD505-2E9C-101B-9397-08002B2CF9AE}" pid="7" name="&lt;ModelTra&gt;">
    <vt:lpwstr>\\eiciBRUpr1\pdocep$\DocEP\TRANSFIL\SL\RE_Statements.SL(25/06/2019 13:28:03)</vt:lpwstr>
  </property>
  <property fmtid="{D5CDD505-2E9C-101B-9397-08002B2CF9AE}" pid="8" name="&lt;Model&gt;">
    <vt:lpwstr>RE_Statements</vt:lpwstr>
  </property>
  <property fmtid="{D5CDD505-2E9C-101B-9397-08002B2CF9AE}" pid="9" name="FooterPath">
    <vt:lpwstr>RE\1222135SL.docx</vt:lpwstr>
  </property>
  <property fmtid="{D5CDD505-2E9C-101B-9397-08002B2CF9AE}" pid="10" name="PE number">
    <vt:lpwstr>663.216</vt:lpwstr>
  </property>
  <property fmtid="{D5CDD505-2E9C-101B-9397-08002B2CF9AE}" pid="11" name="Bookout">
    <vt:lpwstr>OK - 2021/01/29 08:41</vt:lpwstr>
  </property>
  <property fmtid="{D5CDD505-2E9C-101B-9397-08002B2CF9AE}" pid="12" name="SDLStudio">
    <vt:lpwstr/>
  </property>
  <property fmtid="{D5CDD505-2E9C-101B-9397-08002B2CF9AE}" pid="13" name="&lt;Extension&gt;">
    <vt:lpwstr>SL</vt:lpwstr>
  </property>
</Properties>
</file>