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8F5EFB" w:rsidRPr="008E5348" w14:paraId="5A95D407" w14:textId="77777777" w:rsidTr="00C85D0F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14:paraId="702AD9E4" w14:textId="77777777" w:rsidR="008F5EFB" w:rsidRPr="008E5348" w:rsidRDefault="00F510C8" w:rsidP="00C85D0F">
            <w:pPr>
              <w:pStyle w:val="EPName"/>
            </w:pPr>
            <w:bookmarkStart w:id="0" w:name="_GoBack"/>
            <w:bookmarkEnd w:id="0"/>
            <w:r w:rsidRPr="008E5348">
              <w:t>Európsky parlament</w:t>
            </w:r>
          </w:p>
          <w:p w14:paraId="36F604D4" w14:textId="77777777" w:rsidR="008F5EFB" w:rsidRPr="008E5348" w:rsidRDefault="003A76FC" w:rsidP="003A76FC">
            <w:pPr>
              <w:pStyle w:val="EPTerm"/>
            </w:pPr>
            <w:r w:rsidRPr="008E5348">
              <w:t>2019-2024</w:t>
            </w:r>
          </w:p>
        </w:tc>
        <w:tc>
          <w:tcPr>
            <w:tcW w:w="2268" w:type="dxa"/>
            <w:shd w:val="clear" w:color="auto" w:fill="auto"/>
          </w:tcPr>
          <w:p w14:paraId="1723FC61" w14:textId="77777777" w:rsidR="008F5EFB" w:rsidRPr="008E5348" w:rsidRDefault="008F5EFB" w:rsidP="00C85D0F">
            <w:pPr>
              <w:pStyle w:val="EPLogo"/>
            </w:pPr>
            <w:r w:rsidRPr="008E5348">
              <w:drawing>
                <wp:inline distT="0" distB="0" distL="0" distR="0" wp14:anchorId="56207258" wp14:editId="35CF6CB1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3F2A0" w14:textId="77777777" w:rsidR="00E53167" w:rsidRPr="008E5348" w:rsidRDefault="00E53167" w:rsidP="00E53167">
      <w:pPr>
        <w:pStyle w:val="LineTop"/>
      </w:pPr>
    </w:p>
    <w:p w14:paraId="69AFB50C" w14:textId="77777777" w:rsidR="00E53167" w:rsidRPr="008E5348" w:rsidRDefault="003A76FC" w:rsidP="00E53167">
      <w:pPr>
        <w:pStyle w:val="EPBody"/>
      </w:pPr>
      <w:r w:rsidRPr="008E5348">
        <w:rPr>
          <w:rStyle w:val="HideTWBInt"/>
        </w:rPr>
        <w:t>{LIBE}</w:t>
      </w:r>
      <w:r w:rsidRPr="008E5348">
        <w:t>Výbor pre občianske slobody, spravodlivosť a vnútorné veci</w:t>
      </w:r>
    </w:p>
    <w:p w14:paraId="14C16DCC" w14:textId="77777777" w:rsidR="00094DDA" w:rsidRPr="008E5348" w:rsidRDefault="00094DDA" w:rsidP="00094DDA">
      <w:pPr>
        <w:pStyle w:val="LineBottom"/>
      </w:pPr>
    </w:p>
    <w:p w14:paraId="5B9DD5D1" w14:textId="77777777" w:rsidR="00094DDA" w:rsidRPr="008E5348" w:rsidRDefault="00094DDA" w:rsidP="00094DDA">
      <w:pPr>
        <w:pStyle w:val="CoverReference"/>
      </w:pPr>
      <w:r w:rsidRPr="008E5348">
        <w:rPr>
          <w:rStyle w:val="HideTWBExt"/>
          <w:b w:val="0"/>
          <w:noProof w:val="0"/>
        </w:rPr>
        <w:t>&lt;NoDocSe&gt;</w:t>
      </w:r>
      <w:r w:rsidRPr="008E5348">
        <w:t>2020/2789(RSP)</w:t>
      </w:r>
      <w:r w:rsidRPr="008E5348">
        <w:rPr>
          <w:rStyle w:val="HideTWBExt"/>
          <w:b w:val="0"/>
          <w:noProof w:val="0"/>
        </w:rPr>
        <w:t>&lt;/NoDocSe&gt;</w:t>
      </w:r>
    </w:p>
    <w:p w14:paraId="5120A14B" w14:textId="77777777" w:rsidR="00094DDA" w:rsidRPr="008E5348" w:rsidRDefault="00094DDA" w:rsidP="00094DDA">
      <w:pPr>
        <w:pStyle w:val="CoverDate"/>
      </w:pPr>
      <w:r w:rsidRPr="008E5348">
        <w:rPr>
          <w:rStyle w:val="HideTWBExt"/>
          <w:noProof w:val="0"/>
        </w:rPr>
        <w:t>&lt;Date&gt;</w:t>
      </w:r>
      <w:r w:rsidRPr="008E5348">
        <w:rPr>
          <w:rStyle w:val="HideTWBInt"/>
        </w:rPr>
        <w:t>{13/01/2021}</w:t>
      </w:r>
      <w:r w:rsidRPr="008E5348">
        <w:t>13.1.2021</w:t>
      </w:r>
      <w:r w:rsidRPr="008E5348">
        <w:rPr>
          <w:rStyle w:val="HideTWBExt"/>
          <w:noProof w:val="0"/>
        </w:rPr>
        <w:t>&lt;/Date&gt;</w:t>
      </w:r>
    </w:p>
    <w:p w14:paraId="6BD8A970" w14:textId="77777777" w:rsidR="00814BC6" w:rsidRPr="008E5348" w:rsidRDefault="00814BC6">
      <w:pPr>
        <w:pStyle w:val="CoverDocType24a"/>
      </w:pPr>
      <w:r w:rsidRPr="008E5348">
        <w:rPr>
          <w:rStyle w:val="HideTWBExt"/>
          <w:b w:val="0"/>
          <w:noProof w:val="0"/>
        </w:rPr>
        <w:t>&lt;TitreType&gt;</w:t>
      </w:r>
      <w:r w:rsidRPr="008E5348">
        <w:t>NÁVRH UZNESENIA</w:t>
      </w:r>
      <w:r w:rsidRPr="008E5348">
        <w:rPr>
          <w:rStyle w:val="HideTWBExt"/>
          <w:b w:val="0"/>
          <w:noProof w:val="0"/>
        </w:rPr>
        <w:t>&lt;/TitreType&gt;</w:t>
      </w:r>
    </w:p>
    <w:p w14:paraId="71E91CCE" w14:textId="77777777" w:rsidR="00814BC6" w:rsidRPr="008E5348" w:rsidRDefault="00814BC6">
      <w:pPr>
        <w:pStyle w:val="CoverNormal12a"/>
      </w:pPr>
      <w:r w:rsidRPr="008E5348">
        <w:rPr>
          <w:rStyle w:val="HideTWBExt"/>
          <w:noProof w:val="0"/>
        </w:rPr>
        <w:t>&lt;TitreSuite&gt;</w:t>
      </w:r>
      <w:r w:rsidRPr="008E5348">
        <w:t>predložený na základe vyhlásenia Komisie</w:t>
      </w:r>
      <w:r w:rsidRPr="008E5348">
        <w:rPr>
          <w:rStyle w:val="HideTWBExt"/>
          <w:noProof w:val="0"/>
        </w:rPr>
        <w:t>&lt;/TitreSuite&gt;</w:t>
      </w:r>
    </w:p>
    <w:p w14:paraId="1702F310" w14:textId="77777777" w:rsidR="00814BC6" w:rsidRPr="008E5348" w:rsidRDefault="00814BC6">
      <w:pPr>
        <w:pStyle w:val="CoverNormal12a"/>
      </w:pPr>
      <w:r w:rsidRPr="008E5348">
        <w:rPr>
          <w:rStyle w:val="HideTWBExt"/>
          <w:noProof w:val="0"/>
        </w:rPr>
        <w:t>&lt;TitreRecueil&gt;</w:t>
      </w:r>
      <w:r w:rsidRPr="008E5348">
        <w:t>v súlade s článkom 132 ods. 2 rokovacieho poriadku</w:t>
      </w:r>
      <w:r w:rsidRPr="008E5348">
        <w:rPr>
          <w:rStyle w:val="HideTWBExt"/>
          <w:noProof w:val="0"/>
        </w:rPr>
        <w:t>&lt;/TitreRecueil&gt;</w:t>
      </w:r>
    </w:p>
    <w:p w14:paraId="673379C3" w14:textId="453B0284" w:rsidR="00C23264" w:rsidRPr="008E5348" w:rsidRDefault="00C23264" w:rsidP="00C23264">
      <w:pPr>
        <w:pStyle w:val="CoverNormal"/>
      </w:pPr>
      <w:r w:rsidRPr="008E5348">
        <w:rPr>
          <w:rStyle w:val="HideTWBExt"/>
          <w:noProof w:val="0"/>
        </w:rPr>
        <w:t>&lt;Titre&gt;</w:t>
      </w:r>
      <w:r w:rsidRPr="008E5348">
        <w:t>o rozsudku Súdneho dvora zo 16. júla 2020 – Data Protection Commissioner/Facebook Ireland Limited, Maximillian Schrems (Schrems II) – vec C-311/18</w:t>
      </w:r>
      <w:r w:rsidRPr="008E5348">
        <w:rPr>
          <w:rStyle w:val="HideTWBExt"/>
          <w:noProof w:val="0"/>
        </w:rPr>
        <w:t>&lt;/Titre&gt;</w:t>
      </w:r>
    </w:p>
    <w:p w14:paraId="3CD31C96" w14:textId="77777777" w:rsidR="00C23264" w:rsidRPr="008E5348" w:rsidRDefault="00C23264" w:rsidP="00C23264">
      <w:pPr>
        <w:pStyle w:val="CoverNormal24a"/>
      </w:pPr>
      <w:r w:rsidRPr="008E5348">
        <w:rPr>
          <w:rStyle w:val="HideTWBExt"/>
          <w:noProof w:val="0"/>
        </w:rPr>
        <w:t>&lt;DocRef&gt;</w:t>
      </w:r>
      <w:r w:rsidRPr="008E5348">
        <w:t>(2020/2789(RSP))</w:t>
      </w:r>
      <w:r w:rsidRPr="008E5348">
        <w:rPr>
          <w:rStyle w:val="HideTWBExt"/>
          <w:noProof w:val="0"/>
        </w:rPr>
        <w:t>&lt;/DocRef&gt;</w:t>
      </w:r>
    </w:p>
    <w:p w14:paraId="09FC6BCE" w14:textId="77777777" w:rsidR="002574AA" w:rsidRPr="008E5348" w:rsidRDefault="002574AA" w:rsidP="002574AA">
      <w:pPr>
        <w:pStyle w:val="CoverBold"/>
      </w:pPr>
      <w:r w:rsidRPr="008E5348">
        <w:rPr>
          <w:rStyle w:val="HideTWBExt"/>
          <w:b w:val="0"/>
          <w:noProof w:val="0"/>
        </w:rPr>
        <w:t>&lt;RepeatBlock-By&gt;&lt;Depute&gt;</w:t>
      </w:r>
      <w:r w:rsidRPr="008E5348">
        <w:t>Juan Fernando López Aguilar</w:t>
      </w:r>
      <w:r w:rsidRPr="008E5348">
        <w:rPr>
          <w:rStyle w:val="HideTWBExt"/>
          <w:b w:val="0"/>
          <w:noProof w:val="0"/>
          <w:color w:val="auto"/>
        </w:rPr>
        <w:t>&lt;/Depute&gt;</w:t>
      </w:r>
    </w:p>
    <w:p w14:paraId="33C071FD" w14:textId="5B0044C3" w:rsidR="002574AA" w:rsidRPr="008E5348" w:rsidRDefault="002574AA" w:rsidP="002574AA">
      <w:pPr>
        <w:pStyle w:val="CoverNormal"/>
      </w:pPr>
      <w:r w:rsidRPr="008E5348">
        <w:rPr>
          <w:rStyle w:val="HideTWBExt"/>
          <w:noProof w:val="0"/>
        </w:rPr>
        <w:t>&lt;Commission&gt;</w:t>
      </w:r>
      <w:r w:rsidRPr="008E5348">
        <w:rPr>
          <w:rStyle w:val="HideTWBInt"/>
        </w:rPr>
        <w:t>{LIBE}</w:t>
      </w:r>
      <w:r w:rsidRPr="008E5348">
        <w:t>v mene Výboru pre občianske slobody, spravodlivosť a vnútorné veci</w:t>
      </w:r>
      <w:r w:rsidRPr="008E5348">
        <w:rPr>
          <w:rStyle w:val="HideTWBExt"/>
          <w:noProof w:val="0"/>
        </w:rPr>
        <w:t>&lt;/Commission&gt;</w:t>
      </w:r>
    </w:p>
    <w:p w14:paraId="78E1BA91" w14:textId="77777777" w:rsidR="002574AA" w:rsidRPr="008E5348" w:rsidRDefault="002574AA" w:rsidP="002574AA">
      <w:pPr>
        <w:pStyle w:val="CoverNormal"/>
      </w:pPr>
      <w:r w:rsidRPr="008E5348">
        <w:rPr>
          <w:rStyle w:val="HideTWBExt"/>
          <w:noProof w:val="0"/>
        </w:rPr>
        <w:t>&lt;/RepeatBlock-By&gt;</w:t>
      </w:r>
    </w:p>
    <w:p w14:paraId="06BF4DB5" w14:textId="77777777" w:rsidR="00814BC6" w:rsidRPr="008E5348" w:rsidRDefault="00814BC6">
      <w:pPr>
        <w:pStyle w:val="NormalBold12a"/>
      </w:pPr>
      <w:r w:rsidRPr="008E5348">
        <w:br w:type="page"/>
      </w:r>
      <w:r w:rsidRPr="008E5348">
        <w:lastRenderedPageBreak/>
        <w:t>B9</w:t>
      </w:r>
      <w:r w:rsidRPr="008E5348">
        <w:noBreakHyphen/>
        <w:t>0000/2021</w:t>
      </w:r>
    </w:p>
    <w:p w14:paraId="7414C422" w14:textId="5E355FC9" w:rsidR="00C23264" w:rsidRPr="008E5348" w:rsidRDefault="001E1556" w:rsidP="00C23264">
      <w:pPr>
        <w:pStyle w:val="NormalBold"/>
      </w:pPr>
      <w:r w:rsidRPr="008E5348">
        <w:t>Uznesenie Európskeho parlamentu o rozsudku Súdneho dvora zo 16. júla 2020 – Data Protection Commissioner/Facebook Ireland Limited, Maximillian Schrems („Schrems II“) – vec C-311/18</w:t>
      </w:r>
    </w:p>
    <w:p w14:paraId="5BB55312" w14:textId="77777777" w:rsidR="00C23264" w:rsidRPr="008E5348" w:rsidRDefault="00F510C8" w:rsidP="00DF7943">
      <w:pPr>
        <w:pStyle w:val="NormalBold"/>
      </w:pPr>
      <w:r w:rsidRPr="008E5348">
        <w:t>(2020/2789(RSP))</w:t>
      </w:r>
    </w:p>
    <w:p w14:paraId="5640CA28" w14:textId="77777777" w:rsidR="00814BC6" w:rsidRPr="008E5348" w:rsidRDefault="00F510C8">
      <w:pPr>
        <w:pStyle w:val="EPComma"/>
      </w:pPr>
      <w:r w:rsidRPr="008E5348">
        <w:rPr>
          <w:i/>
        </w:rPr>
        <w:t>Európsky parlament</w:t>
      </w:r>
      <w:r w:rsidRPr="008E5348">
        <w:t>,</w:t>
      </w:r>
    </w:p>
    <w:p w14:paraId="0E983A99" w14:textId="345AD13F" w:rsidR="00814BC6" w:rsidRPr="008E5348" w:rsidRDefault="00814BC6">
      <w:pPr>
        <w:pStyle w:val="NormalHanging12a"/>
      </w:pPr>
      <w:r w:rsidRPr="008E5348">
        <w:t>–</w:t>
      </w:r>
      <w:r w:rsidRPr="008E5348">
        <w:tab/>
        <w:t>so zreteľom na Chartu základných práv Európskej únie, najmä na jej články 7, 8, 47 a 52,</w:t>
      </w:r>
    </w:p>
    <w:p w14:paraId="74E75821" w14:textId="2D5694F1" w:rsidR="001E1556" w:rsidRPr="008E5348" w:rsidRDefault="001E1556" w:rsidP="003A76FC">
      <w:pPr>
        <w:widowControl/>
        <w:spacing w:after="240"/>
        <w:ind w:left="567" w:hanging="567"/>
      </w:pPr>
      <w:r w:rsidRPr="008E5348">
        <w:t>–</w:t>
      </w:r>
      <w:r w:rsidRPr="008E5348">
        <w:tab/>
        <w:t>so zreteľom na rozsudok Súdneho dvora zo 16. júla 2020 vo veci C-311/18, Data Protection Commissioner/Facebook Ireland Limited a Maximillian Schrems</w:t>
      </w:r>
      <w:r w:rsidRPr="008E5348">
        <w:rPr>
          <w:vertAlign w:val="superscript"/>
        </w:rPr>
        <w:footnoteReference w:id="1"/>
      </w:r>
      <w:r w:rsidRPr="008E5348">
        <w:t xml:space="preserve"> (Schrems II);</w:t>
      </w:r>
    </w:p>
    <w:p w14:paraId="6126C222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>so zreteľom na rozsudok Súdneho dvora zo 6. októbra 2015 vo veci C-362/14 Maximillian Schrems proti Data Protection Commissioner</w:t>
      </w:r>
      <w:r w:rsidRPr="008E5348">
        <w:rPr>
          <w:vertAlign w:val="superscript"/>
        </w:rPr>
        <w:footnoteReference w:id="2"/>
      </w:r>
      <w:r w:rsidRPr="008E5348">
        <w:t xml:space="preserve"> (Schrems I);</w:t>
      </w:r>
    </w:p>
    <w:p w14:paraId="26F28811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 xml:space="preserve">so zreteľom na rozsudok Súdneho dvora zo 6. októbra 2020 vo veci </w:t>
      </w:r>
      <w:bookmarkStart w:id="1" w:name="pagePrincipale"/>
      <w:bookmarkEnd w:id="1"/>
      <w:r w:rsidRPr="008E5348">
        <w:t>C</w:t>
      </w:r>
      <w:r w:rsidRPr="008E5348">
        <w:noBreakHyphen/>
        <w:t>623/17, Privacy International proti Secretary of State for Foreign and Commonwealth Affairs</w:t>
      </w:r>
      <w:r w:rsidRPr="008E5348">
        <w:rPr>
          <w:vertAlign w:val="superscript"/>
        </w:rPr>
        <w:footnoteReference w:id="3"/>
      </w:r>
      <w:r w:rsidRPr="008E5348">
        <w:t>;</w:t>
      </w:r>
    </w:p>
    <w:p w14:paraId="415AC0D4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>so zreteľom na svoje uznesenie zo 5. júla 2018 o primeranosti ochrany poskytovanej štítom na ochranu osobných údajov medzi EÚ a USA</w:t>
      </w:r>
      <w:r w:rsidRPr="008E5348">
        <w:rPr>
          <w:vertAlign w:val="superscript"/>
        </w:rPr>
        <w:footnoteReference w:id="4"/>
      </w:r>
      <w:r w:rsidRPr="008E5348">
        <w:t xml:space="preserve">; </w:t>
      </w:r>
    </w:p>
    <w:p w14:paraId="51A457E3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>so zreteľom na svoje uznesenie z 25. októbra 2018 o využívaní údajov používateľov Facebooku spoločnosťou Cambridge Analytica a dosahu na ochranu údajov</w:t>
      </w:r>
      <w:r w:rsidRPr="008E5348">
        <w:rPr>
          <w:vertAlign w:val="superscript"/>
        </w:rPr>
        <w:footnoteReference w:id="5"/>
      </w:r>
      <w:r w:rsidRPr="008E5348">
        <w:t xml:space="preserve">, </w:t>
      </w:r>
    </w:p>
    <w:p w14:paraId="28CC7542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>so zreteľom na svoje uznesenie z 23. novembra 2020 o preskúmaní obchodnej politiky EÚ</w:t>
      </w:r>
      <w:r w:rsidRPr="008E5348">
        <w:rPr>
          <w:vertAlign w:val="superscript"/>
        </w:rPr>
        <w:footnoteReference w:id="6"/>
      </w:r>
      <w:r w:rsidRPr="008E5348">
        <w:t xml:space="preserve">; </w:t>
      </w:r>
    </w:p>
    <w:p w14:paraId="46BB3DFE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>so zreteľom na nariadenie (EÚ) 2016/679, všeobecné nariadenie o ochrane údajov (GDPR)</w:t>
      </w:r>
      <w:r w:rsidRPr="008E5348">
        <w:rPr>
          <w:vertAlign w:val="superscript"/>
        </w:rPr>
        <w:footnoteReference w:id="7"/>
      </w:r>
      <w:r w:rsidRPr="008E5348">
        <w:t xml:space="preserve">; </w:t>
      </w:r>
    </w:p>
    <w:p w14:paraId="18460B06" w14:textId="77777777" w:rsidR="003A76FC" w:rsidRPr="008E5348" w:rsidRDefault="003A76FC" w:rsidP="003A76FC">
      <w:pPr>
        <w:pStyle w:val="NormalHanging12a"/>
      </w:pPr>
      <w:r w:rsidRPr="008E5348">
        <w:t>–</w:t>
      </w:r>
      <w:r w:rsidRPr="008E5348">
        <w:tab/>
        <w:t xml:space="preserve">so zreteľom na odporúčania Európskeho výboru pre ochranu údajov č. 01/2020 o opatreniach, ktoré dopĺňajú nástroje na prenos s cieľom zabezpečiť súlad s úrovňou ochrany osobných údajov v EÚ, a odporúčanie č. 02/2020 o európskych základných </w:t>
      </w:r>
      <w:r w:rsidRPr="008E5348">
        <w:lastRenderedPageBreak/>
        <w:t>zárukách týkajúcich sa opatrení sledovania</w:t>
      </w:r>
      <w:r w:rsidRPr="008E5348">
        <w:rPr>
          <w:vertAlign w:val="superscript"/>
        </w:rPr>
        <w:footnoteReference w:id="8"/>
      </w:r>
      <w:r w:rsidRPr="008E5348">
        <w:t>;</w:t>
      </w:r>
    </w:p>
    <w:p w14:paraId="52219F2C" w14:textId="77777777" w:rsidR="00ED22B8" w:rsidRPr="008E5348" w:rsidRDefault="00ED22B8" w:rsidP="00ED22B8">
      <w:pPr>
        <w:pStyle w:val="NormalHanging12a"/>
      </w:pPr>
      <w:r w:rsidRPr="008E5348">
        <w:t>–</w:t>
      </w:r>
      <w:r w:rsidRPr="008E5348">
        <w:tab/>
        <w:t>so zreteľom na článok 132 ods. 2 rokovacieho poriadku,</w:t>
      </w:r>
    </w:p>
    <w:p w14:paraId="6EE44B73" w14:textId="14A89C72" w:rsidR="00814BC6" w:rsidRPr="008E5348" w:rsidRDefault="001C31D8" w:rsidP="001C31D8">
      <w:pPr>
        <w:pStyle w:val="NormalHanging12a"/>
        <w:ind w:hanging="566"/>
      </w:pPr>
      <w:r w:rsidRPr="008E5348">
        <w:t>A.</w:t>
      </w:r>
      <w:r w:rsidRPr="008E5348">
        <w:tab/>
        <w:t>keďže Súdny dvor EÚ v rozsudku vo veci Schrems I poukázal na to, že nediferencovaný prístup spravodajských orgánov k obsahu elektronických komunikácií porušuje podstatu práva na dôvernosť komunikácií, ako sa stanovuje v článku 7 charty;</w:t>
      </w:r>
    </w:p>
    <w:p w14:paraId="472F6D45" w14:textId="54928942" w:rsidR="00250718" w:rsidRPr="008E5348" w:rsidRDefault="001C31D8" w:rsidP="001C31D8">
      <w:pPr>
        <w:pStyle w:val="NormalHanging12a"/>
        <w:ind w:hanging="566"/>
      </w:pPr>
      <w:r w:rsidRPr="008E5348">
        <w:t>B.</w:t>
      </w:r>
      <w:r w:rsidRPr="008E5348">
        <w:tab/>
        <w:t>keďže Súdny dvor v rozsudku vo veci Schrems II poukázal na to, že Spojené štáty americké neposkytujú dostatočné právne prostriedky nápravy pre osoby, ktoré nie sú občanmi USA, proti hromadnému sledovaniu, čo je v rozpore s podstatou práva na opravný prostriedok, ako sa stanovuje v článku 47 charty;</w:t>
      </w:r>
    </w:p>
    <w:p w14:paraId="017FB887" w14:textId="464EB56A" w:rsidR="00250718" w:rsidRPr="008E5348" w:rsidRDefault="001C31D8" w:rsidP="001C31D8">
      <w:pPr>
        <w:pStyle w:val="NormalHanging12a"/>
        <w:ind w:hanging="566"/>
      </w:pPr>
      <w:r w:rsidRPr="008E5348">
        <w:t>C.</w:t>
      </w:r>
      <w:r w:rsidRPr="008E5348">
        <w:tab/>
        <w:t>keďže Európsky parlament už vo svojom uznesení z 25. októbra 2018 vyzval Komisiu, aby pozastavila uplatňovanie štítu na ochranu osobných údajov;</w:t>
      </w:r>
    </w:p>
    <w:p w14:paraId="1BD6B8F6" w14:textId="77777777" w:rsidR="00250718" w:rsidRPr="008E5348" w:rsidRDefault="00250718" w:rsidP="00250718">
      <w:pPr>
        <w:pStyle w:val="NormalHanging12a"/>
        <w:ind w:left="1" w:firstLine="0"/>
      </w:pPr>
      <w:r w:rsidRPr="008E5348">
        <w:rPr>
          <w:b/>
          <w:bCs/>
          <w:i/>
          <w:iCs/>
        </w:rPr>
        <w:t>VŠEOBECNÉ PRIPOMIENKY</w:t>
      </w:r>
    </w:p>
    <w:p w14:paraId="17826566" w14:textId="7E560143" w:rsidR="00814BC6" w:rsidRPr="008E5348" w:rsidRDefault="001C31D8" w:rsidP="001C31D8">
      <w:pPr>
        <w:pStyle w:val="NormalHanging12a"/>
        <w:ind w:hanging="566"/>
      </w:pPr>
      <w:r w:rsidRPr="008E5348">
        <w:t>1.</w:t>
      </w:r>
      <w:r w:rsidRPr="008E5348">
        <w:tab/>
        <w:t>berie na vedomie rozsudok Súdneho dvora zo 16. júla 2020, v ktorom Súdny dvor potvrdil platnosť rozhodnutia 2010/87 o štandardných zmluvných doložkách, v ktorom ich považuje za účinný mechanizmus na zabezpečenie súladu s úrovňou ochrany stanovenou v práve EÚ; ďalej konštatuje, že Súdny dvor zrušil platnosť rozhodnutia Komisie 2016/1250 o primeranosti ochrany poskytovanej štítom na ochranu osobných údajov medzi EÚ a USA;</w:t>
      </w:r>
    </w:p>
    <w:p w14:paraId="0078C998" w14:textId="153BE441" w:rsidR="00A462B1" w:rsidRPr="008E5348" w:rsidRDefault="001C31D8" w:rsidP="001C31D8">
      <w:pPr>
        <w:pStyle w:val="NormalHanging12a"/>
        <w:ind w:hanging="566"/>
      </w:pPr>
      <w:r w:rsidRPr="008E5348">
        <w:t>2.</w:t>
      </w:r>
      <w:r w:rsidRPr="008E5348">
        <w:tab/>
        <w:t>domnieva sa, že rozsudok ESD má významný vplyv na rozhodnutia o primeranosti týkajúce sa tretích krajín; opätovne potvrdzuje potrebu právnej jasnosti a istoty;</w:t>
      </w:r>
    </w:p>
    <w:p w14:paraId="34DA8BA6" w14:textId="4BA85E71" w:rsidR="00A462B1" w:rsidRPr="008E5348" w:rsidRDefault="001C31D8" w:rsidP="001C31D8">
      <w:pPr>
        <w:pStyle w:val="NormalHanging12a"/>
        <w:ind w:hanging="566"/>
      </w:pPr>
      <w:r w:rsidRPr="008E5348">
        <w:t>3.</w:t>
      </w:r>
      <w:r w:rsidRPr="008E5348">
        <w:tab/>
        <w:t>je znepokojený tým, že írsky komisár pre ochranu údajov začal celý prípad Schrems II namiesto toho, aby prijal rozhodnutie v rámci svojich právomocí podľa článku 58 GDPR; vyjadruje hlboké znepokojenie nad tým, že írsky komisár pre ochranu údajov, ktorý je vedúcim orgánom pre tieto prípady, ešte nerozhodol o viacerých sťažnostiach proti porušovaniu GDPR podaných 25. mája 2018; dôrazne odsudzuje pokus írskeho orgánu pre ochranu údajov presunúť náklady na súdne konanie na Maximiliana Schremsa, čo by malo výrazný odstrašujúci účinok; vyzýva Komisiu, aby začala konanie o nesplnení povinnosti proti Írsku za neprimerané presadzovanie GDPR;</w:t>
      </w:r>
    </w:p>
    <w:p w14:paraId="1689259E" w14:textId="3740CA94" w:rsidR="00BF6571" w:rsidRPr="008E5348" w:rsidRDefault="001C31D8" w:rsidP="001C31D8">
      <w:pPr>
        <w:pStyle w:val="NormalHanging12a"/>
        <w:ind w:hanging="566"/>
      </w:pPr>
      <w:r w:rsidRPr="008E5348">
        <w:t>4.</w:t>
      </w:r>
      <w:r w:rsidRPr="008E5348">
        <w:tab/>
        <w:t>naliehavo vyzýva Komisiu, aby uverejnila ďalšie usmernenia o medzinárodných prenosoch údajov pre spoločnosti, najmä pre MSP, vrátane dodatočných záruk potrebných na prenos prostredníctvom štandardných zmluvných doložiek;</w:t>
      </w:r>
    </w:p>
    <w:p w14:paraId="24D1A15F" w14:textId="202FFCBA" w:rsidR="00BF6571" w:rsidRPr="008E5348" w:rsidRDefault="00BF6571" w:rsidP="00BF6571">
      <w:pPr>
        <w:pStyle w:val="NormalHanging12a"/>
        <w:ind w:left="1" w:firstLine="0"/>
      </w:pPr>
      <w:r w:rsidRPr="008E5348">
        <w:rPr>
          <w:b/>
          <w:i/>
        </w:rPr>
        <w:t>ŠTANDARDNÉ ZMLUVNÉ DOLOŽKY</w:t>
      </w:r>
    </w:p>
    <w:p w14:paraId="50727A17" w14:textId="3317E88A" w:rsidR="00BF6571" w:rsidRPr="008E5348" w:rsidRDefault="001C31D8" w:rsidP="001C31D8">
      <w:pPr>
        <w:pStyle w:val="NormalHanging12a"/>
        <w:ind w:hanging="566"/>
      </w:pPr>
      <w:r w:rsidRPr="008E5348">
        <w:t>5.</w:t>
      </w:r>
      <w:r w:rsidRPr="008E5348">
        <w:tab/>
        <w:t>berie na vedomie návrh vykonávacieho rozhodnutia Komisie a návrhy štandardných zmluvných doložiek; víta skutočnosť, že Komisia sa v súčasnosti snaží získať spätnú väzbu od zainteresovaných strán k tomuto návrhu;</w:t>
      </w:r>
    </w:p>
    <w:p w14:paraId="51C87763" w14:textId="7C98DE70" w:rsidR="00BF6571" w:rsidRPr="008E5348" w:rsidRDefault="001C31D8" w:rsidP="001C31D8">
      <w:pPr>
        <w:pStyle w:val="NormalHanging12a"/>
        <w:ind w:hanging="566"/>
      </w:pPr>
      <w:r w:rsidRPr="008E5348">
        <w:t>6.</w:t>
      </w:r>
      <w:r w:rsidRPr="008E5348">
        <w:tab/>
        <w:t>berie na vedomie odporúčania Európskeho výboru pre ochranu údajov (EDPB) 01/2020 o opatreniach, ktoré dopĺňajú nástroje na prenos s cieľom zabezpečiť súlad s úrovňou ochrany osobných údajov v EÚ; vyjadruje znepokojenie nad možnými rozpormi medzi týmito odporúčaniami a návrhom Komisie týkajúcim sa štandardných zmluvných doložiek; domnieva sa, že sú potrebné podrobnejšie usmernenia Európskeho výboru pre</w:t>
      </w:r>
      <w:r w:rsidR="008E5348" w:rsidRPr="008E5348">
        <w:t> </w:t>
      </w:r>
      <w:r w:rsidRPr="008E5348">
        <w:t xml:space="preserve">ochranu údajov; </w:t>
      </w:r>
    </w:p>
    <w:p w14:paraId="396927EB" w14:textId="23D07BC0" w:rsidR="00BF6571" w:rsidRPr="008E5348" w:rsidRDefault="001C31D8" w:rsidP="001C31D8">
      <w:pPr>
        <w:pStyle w:val="NormalHanging12a"/>
        <w:ind w:hanging="566"/>
      </w:pPr>
      <w:r w:rsidRPr="008E5348">
        <w:t>7.</w:t>
      </w:r>
      <w:r w:rsidRPr="008E5348">
        <w:tab/>
        <w:t>domnieva sa, že je veľmi dôležité, aby sa spoločnosti EÚ spoliehali na robustné mechanizmy, ktoré sú v súlade s rozsudkom ESD; v tejto súvislosti sa domnieva, že súčasný návrh Komisie týkajúci sa vzoru štandardných zmluvných doložiek by mal náležite zohľadňovať všetky príslušné odporúčania; podporuje súbor doplnkových opatrení, napr. bezpečnostnú certifikáciu a záruky šifrovania, ktoré sú pre regulačné orgány prijateľné;</w:t>
      </w:r>
    </w:p>
    <w:p w14:paraId="4334779F" w14:textId="3DC50ED3" w:rsidR="00BF6571" w:rsidRPr="008E5348" w:rsidRDefault="001C31D8" w:rsidP="001C31D8">
      <w:pPr>
        <w:pStyle w:val="NormalHanging12a"/>
        <w:ind w:hanging="566"/>
      </w:pPr>
      <w:r w:rsidRPr="008E5348">
        <w:t>8.</w:t>
      </w:r>
      <w:r w:rsidRPr="008E5348">
        <w:tab/>
        <w:t>zdôrazňuje, že v prípade prevádzkovateľov údajov, ktorí patria do rozsahu pôsobnosti zákona USA o sledovaní v rámci zahraničného spravodajstva, nie je prenos osobných údajov z Únie možný v rámci týchto štandardných zmluvných doložiek z dôvodu vysokého rizika hromadného sledovania; iba komplexná reforma postupov sledovania v</w:t>
      </w:r>
      <w:r w:rsidR="008E5348" w:rsidRPr="008E5348">
        <w:t> </w:t>
      </w:r>
      <w:r w:rsidRPr="008E5348">
        <w:t>USA môže tento problém udržateľným spôsobom riešiť a poskytnúť právnu istotu podnikom a dotknutým osobám;</w:t>
      </w:r>
    </w:p>
    <w:p w14:paraId="39276751" w14:textId="14749A7C" w:rsidR="00BF6571" w:rsidRPr="008E5348" w:rsidRDefault="001C31D8" w:rsidP="001C31D8">
      <w:pPr>
        <w:pStyle w:val="NormalHanging12a"/>
        <w:ind w:hanging="566"/>
      </w:pPr>
      <w:r w:rsidRPr="008E5348">
        <w:t>9.</w:t>
      </w:r>
      <w:r w:rsidRPr="008E5348">
        <w:tab/>
        <w:t>pripomína, že veľký počet MSP využíva štandardné zmluvné doložky; zdôrazňuje, že spoločnosti a MSP naliehavo potrebujú jasné usmernenia a pomoc pri uplatňovaní a</w:t>
      </w:r>
      <w:r w:rsidR="008E5348" w:rsidRPr="008E5348">
        <w:t> </w:t>
      </w:r>
      <w:r w:rsidRPr="008E5348">
        <w:t>výklade rozsudku Súdneho dvora;</w:t>
      </w:r>
    </w:p>
    <w:p w14:paraId="73B6FF38" w14:textId="305230AB" w:rsidR="00BF6571" w:rsidRPr="008E5348" w:rsidRDefault="001C31D8" w:rsidP="001C31D8">
      <w:pPr>
        <w:pStyle w:val="NormalHanging12a"/>
        <w:ind w:hanging="566"/>
      </w:pPr>
      <w:r w:rsidRPr="008E5348">
        <w:t>10.</w:t>
      </w:r>
      <w:r w:rsidRPr="008E5348">
        <w:tab/>
        <w:t>vyzdvihuje obmedzenú vyjednávaciu silu a právnu kapacitu európskych MSP, od</w:t>
      </w:r>
      <w:r w:rsidR="008E5348" w:rsidRPr="008E5348">
        <w:t> </w:t>
      </w:r>
      <w:r w:rsidRPr="008E5348">
        <w:t>ktorých sa očakáva, že na základe vlastného posúdenia primeranosti tretích krajín určia zložité právne rámce rôznych tretích krajín; naliehavo vyzýva Komisiu a Európsky výbor pre ochranu údajov, aby dôkladne preskúmali nevyhnutnosť a uskutočniteľnosť akýchkoľvek potrebných doplnkových opatrení, najmä pre MSP;</w:t>
      </w:r>
    </w:p>
    <w:p w14:paraId="7E0D5CA8" w14:textId="231D8B77" w:rsidR="00BF6571" w:rsidRPr="008E5348" w:rsidRDefault="001C31D8" w:rsidP="001C31D8">
      <w:pPr>
        <w:pStyle w:val="NormalHanging12a"/>
        <w:ind w:hanging="566"/>
      </w:pPr>
      <w:r w:rsidRPr="008E5348">
        <w:t>11.</w:t>
      </w:r>
      <w:r w:rsidRPr="008E5348">
        <w:tab/>
        <w:t>navrhuje, aby vnútroštátne dozorné orgány v takýchto prípadoch využili svoje príslušné právomoci uvedené v článku 3 návrhu vykonávacieho rozhodnutia a v súlade s článkom 58 GDPR;</w:t>
      </w:r>
    </w:p>
    <w:p w14:paraId="09D6268F" w14:textId="528C5193" w:rsidR="00BF6571" w:rsidRPr="008E5348" w:rsidRDefault="00BF6571" w:rsidP="00BF6571">
      <w:pPr>
        <w:pStyle w:val="NormalHanging12a"/>
        <w:ind w:left="1" w:firstLine="0"/>
      </w:pPr>
      <w:r w:rsidRPr="008E5348">
        <w:rPr>
          <w:b/>
          <w:i/>
        </w:rPr>
        <w:t>Štít na ochranu osobných údajov</w:t>
      </w:r>
    </w:p>
    <w:p w14:paraId="038B72A1" w14:textId="2617022E" w:rsidR="00BF6571" w:rsidRPr="008E5348" w:rsidRDefault="001C31D8" w:rsidP="001C31D8">
      <w:pPr>
        <w:pStyle w:val="NormalHanging12a"/>
        <w:ind w:hanging="566"/>
      </w:pPr>
      <w:r w:rsidRPr="008E5348">
        <w:t>12.</w:t>
      </w:r>
      <w:r w:rsidRPr="008E5348">
        <w:tab/>
        <w:t>konštatuje, že napriek zlepšeniam štítu na ochranu osobných údajov v porovnaní s</w:t>
      </w:r>
      <w:r w:rsidR="008E5348" w:rsidRPr="008E5348">
        <w:t> </w:t>
      </w:r>
      <w:r w:rsidRPr="008E5348">
        <w:t>dohodami o bezpečnom prístave Súdny dvor zistil, že štít na ochranu osobných údajov medzi EÚ a USA nezaručuje v zásade rovnocennú úroveň ochrany, a teda primeranú úroveň ochrany k tej, ktorú poskytuje GDPR a Charta EÚ, najmä z dôvodu podmienok zavedených v súvislosti s prístupom verejných orgánov USA k osobným údajom prenášaným v rámci štítu na ochranu osobných údajov a neexistencie vymáhateľných práv pre dotknuté osoby z EÚ pred súdmi USA proti orgánom USA;</w:t>
      </w:r>
    </w:p>
    <w:p w14:paraId="26CF2723" w14:textId="72360795" w:rsidR="00BF6571" w:rsidRPr="008E5348" w:rsidRDefault="001C31D8" w:rsidP="001C31D8">
      <w:pPr>
        <w:pStyle w:val="NormalHanging12a"/>
        <w:ind w:hanging="566"/>
      </w:pPr>
      <w:r w:rsidRPr="008E5348">
        <w:t>13.</w:t>
      </w:r>
      <w:r w:rsidRPr="008E5348">
        <w:tab/>
        <w:t>pripomína uznesenie Parlamentu z roku 2018 o štíte na ochranu osobných údajov, v</w:t>
      </w:r>
      <w:r w:rsidR="008E5348" w:rsidRPr="008E5348">
        <w:t> </w:t>
      </w:r>
      <w:r w:rsidRPr="008E5348">
        <w:t>ktorom sa zdôraznilo riziko zrušenia štítu na ochranu osobných údajov Súdnym dvorom EÚ;</w:t>
      </w:r>
    </w:p>
    <w:p w14:paraId="7FF8DF33" w14:textId="0C61E4F7" w:rsidR="00BF6571" w:rsidRPr="008E5348" w:rsidRDefault="00BF6571" w:rsidP="00BF6571">
      <w:pPr>
        <w:pStyle w:val="NormalHanging12a"/>
        <w:spacing w:before="240"/>
        <w:ind w:left="1" w:firstLine="0"/>
      </w:pPr>
      <w:r w:rsidRPr="008E5348">
        <w:rPr>
          <w:b/>
          <w:i/>
        </w:rPr>
        <w:t>HROMADNÉ SLEDOVANIE A PRÁVNY RÁMEC</w:t>
      </w:r>
    </w:p>
    <w:p w14:paraId="5CEDF62D" w14:textId="3A8437DC" w:rsidR="00BF6571" w:rsidRPr="008E5348" w:rsidRDefault="001C31D8" w:rsidP="001C31D8">
      <w:pPr>
        <w:pStyle w:val="NormalHanging12a"/>
        <w:ind w:hanging="566"/>
      </w:pPr>
      <w:r w:rsidRPr="008E5348">
        <w:t>14.</w:t>
      </w:r>
      <w:r w:rsidRPr="008E5348">
        <w:tab/>
        <w:t>podporuje Komisiu, aby pokračovala v monitorovaní používania technológií hromadného sledovania v Spojenom kráľovstve;</w:t>
      </w:r>
    </w:p>
    <w:p w14:paraId="5DCAA0DA" w14:textId="6917A869" w:rsidR="00BF6571" w:rsidRPr="008E5348" w:rsidRDefault="001C31D8" w:rsidP="001C31D8">
      <w:pPr>
        <w:pStyle w:val="NormalHanging12a"/>
        <w:ind w:hanging="566"/>
      </w:pPr>
      <w:r w:rsidRPr="008E5348">
        <w:t>15.</w:t>
      </w:r>
      <w:r w:rsidRPr="008E5348">
        <w:tab/>
        <w:t>poukazuje na to, že ani kalifornský zákon o ochrane súkromia spotrebiteľov (CCPA) v</w:t>
      </w:r>
      <w:r w:rsidR="008E5348" w:rsidRPr="008E5348">
        <w:t> </w:t>
      </w:r>
      <w:r w:rsidRPr="008E5348">
        <w:t>USA ani žiadny z federálnych návrhov zatiaľ nespĺňajú požiadavky GDPR na primeranú úroveň ochrany; nabáda federálneho zákonodarcu USA, aby na vnútroštátnej úrovni prijal silný komplexný federálny zákon o ochrane údajov a súkromia, ktorý bude spĺňať tieto požiadavky;</w:t>
      </w:r>
    </w:p>
    <w:p w14:paraId="60391FF9" w14:textId="5507C4E5" w:rsidR="00BF6571" w:rsidRPr="008E5348" w:rsidRDefault="001C31D8" w:rsidP="001C31D8">
      <w:pPr>
        <w:pStyle w:val="NormalHanging12a"/>
        <w:ind w:hanging="566"/>
      </w:pPr>
      <w:r w:rsidRPr="008E5348">
        <w:t>16.</w:t>
      </w:r>
      <w:r w:rsidRPr="008E5348">
        <w:tab/>
        <w:t>zdôrazňuje, že takéto právne predpisy v oblasti ochrany údajov a súkromia spotrebiteľov samy osebe neodstránia základné problémy, ktoré zistil Súdny dvor v súvislosti s hromadným sledovaním spravodajskými službami USA a nedostatočným prístupom k náprave; nabáda federálneho zákonodarcu USA, aby prehodnotil zmeny oddielu 702 zákona FISA, vykonávacieho nariadenia 12333 a prezidentskej politickej smernice 28, najmä pokiaľ ide o poskytovanie rovnakej úrovne ochrany občanom EÚ a USA;</w:t>
      </w:r>
    </w:p>
    <w:p w14:paraId="39D79FD9" w14:textId="4D78380C" w:rsidR="00BF6571" w:rsidRPr="008E5348" w:rsidRDefault="00BF6571" w:rsidP="00BF6571">
      <w:pPr>
        <w:pStyle w:val="NormalHanging12a"/>
        <w:ind w:left="1" w:firstLine="0"/>
      </w:pPr>
      <w:r w:rsidRPr="008E5348">
        <w:rPr>
          <w:b/>
          <w:i/>
        </w:rPr>
        <w:t>ROZHODNUTIA O PRIMERANOSTI</w:t>
      </w:r>
    </w:p>
    <w:p w14:paraId="00A43691" w14:textId="4893C986" w:rsidR="00BF6571" w:rsidRPr="008E5348" w:rsidRDefault="001C31D8" w:rsidP="001C31D8">
      <w:pPr>
        <w:pStyle w:val="NormalHanging12a"/>
        <w:ind w:hanging="566"/>
      </w:pPr>
      <w:r w:rsidRPr="008E5348">
        <w:t>17.</w:t>
      </w:r>
      <w:r w:rsidRPr="008E5348">
        <w:tab/>
        <w:t>vyzýva Komisiu, aby prijala všetky potrebné opatrenia na zabezpečenie toho, aby akékoľvek ďalšie dojednanie s USA bolo plne v súlade s nariadením (EÚ) 2016/679, chartou EÚ a všetkými aspektmi rozsudku ESD;</w:t>
      </w:r>
    </w:p>
    <w:p w14:paraId="5121FE11" w14:textId="5621A460" w:rsidR="00BF6571" w:rsidRPr="008E5348" w:rsidRDefault="001C31D8" w:rsidP="001C31D8">
      <w:pPr>
        <w:pStyle w:val="NormalHanging12a"/>
        <w:ind w:hanging="566"/>
      </w:pPr>
      <w:r w:rsidRPr="008E5348">
        <w:t>18.</w:t>
      </w:r>
      <w:r w:rsidRPr="008E5348">
        <w:tab/>
        <w:t>pripomína povinnosť Komisie preskúmať všetky rozhodnutia o primeranosti prijaté podľa smernice 95/46/ES, ktorou sa uplatňujú závery rozsudkov Schrems I a II s cieľom posúdiť, či sa poskytuje v zásade rovnocenná úroveň ochrany;</w:t>
      </w:r>
    </w:p>
    <w:p w14:paraId="3ABA9745" w14:textId="3C48E7D7" w:rsidR="00BF6571" w:rsidRPr="008E5348" w:rsidRDefault="001C31D8" w:rsidP="001C31D8">
      <w:pPr>
        <w:pStyle w:val="NormalHanging12a"/>
        <w:ind w:hanging="566"/>
      </w:pPr>
      <w:r w:rsidRPr="008E5348">
        <w:t>19.</w:t>
      </w:r>
      <w:r w:rsidRPr="008E5348">
        <w:tab/>
        <w:t>vyzýva Komisiu, aby neprijímala žiadne nové rozhodnutie o primeranosti vo vzťahu k USA, pokiaľ sa nezavedú zmysluplné reformy zákonov a postupov v oblasti prístupu orgánov verejnej moci k informáciám, najmä na účely národnej bezpečnosti a spravodajstva;</w:t>
      </w:r>
    </w:p>
    <w:p w14:paraId="4D5DE174" w14:textId="416E086C" w:rsidR="00BF6571" w:rsidRPr="008E5348" w:rsidRDefault="001C31D8" w:rsidP="001C31D8">
      <w:pPr>
        <w:pStyle w:val="NormalHanging12a"/>
        <w:ind w:hanging="566"/>
      </w:pPr>
      <w:r w:rsidRPr="008E5348">
        <w:t>20.</w:t>
      </w:r>
      <w:r w:rsidRPr="008E5348">
        <w:tab/>
        <w:t>vyzýva Komisiu, aby uverejnila aktualizovaný zoznam kritérií, ktoré zvažuje pri hodnotení toho, či tretia krajina spĺňa podmienky na rozhodnutie o primeranosti;</w:t>
      </w:r>
    </w:p>
    <w:p w14:paraId="332C3C2E" w14:textId="3FD09EEF" w:rsidR="00BF6571" w:rsidRPr="008E5348" w:rsidRDefault="001C31D8" w:rsidP="001C31D8">
      <w:pPr>
        <w:pStyle w:val="NormalHanging12a"/>
        <w:ind w:hanging="566"/>
      </w:pPr>
      <w:r w:rsidRPr="008E5348">
        <w:t>21.</w:t>
      </w:r>
      <w:r w:rsidRPr="008E5348">
        <w:tab/>
        <w:t>poveruje svojho predsedu, aby postúpil toto uznesenie Komisii, Európskej rade, Rade, Európskemu výboru pre ochranu údajov a národným parlamentom.</w:t>
      </w:r>
    </w:p>
    <w:sectPr w:rsidR="00BF6571" w:rsidRPr="008E5348" w:rsidSect="001D0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1134" w:right="1418" w:bottom="1418" w:left="1418" w:header="1134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80B4" w14:textId="77777777" w:rsidR="00F510C8" w:rsidRPr="001D0D42" w:rsidRDefault="00F510C8">
      <w:r w:rsidRPr="001D0D42">
        <w:separator/>
      </w:r>
    </w:p>
  </w:endnote>
  <w:endnote w:type="continuationSeparator" w:id="0">
    <w:p w14:paraId="0DE703E5" w14:textId="77777777" w:rsidR="00F510C8" w:rsidRPr="001D0D42" w:rsidRDefault="00F510C8">
      <w:r w:rsidRPr="001D0D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erif">
    <w:altName w:val="Times New Roman"/>
    <w:charset w:val="01"/>
    <w:family w:val="roman"/>
    <w:pitch w:val="variable"/>
  </w:font>
  <w:font w:name="DejaVu San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3E59B" w14:textId="3164E5C6" w:rsidR="001D0D42" w:rsidRPr="001D0D42" w:rsidRDefault="001D0D42" w:rsidP="001D0D42">
    <w:pPr>
      <w:pStyle w:val="EPFooter"/>
    </w:pPr>
    <w:r w:rsidRPr="001D0D42">
      <w:t>PE</w:t>
    </w:r>
    <w:r w:rsidRPr="001D0D42">
      <w:rPr>
        <w:rStyle w:val="HideTWBExt"/>
        <w:noProof w:val="0"/>
      </w:rPr>
      <w:t>&lt;NoPE&gt;</w:t>
    </w:r>
    <w:r w:rsidRPr="001D0D42">
      <w:t>663.216</w:t>
    </w:r>
    <w:r w:rsidRPr="001D0D42">
      <w:rPr>
        <w:rStyle w:val="HideTWBExt"/>
        <w:noProof w:val="0"/>
      </w:rPr>
      <w:t>&lt;/NoPE&gt;&lt;Version&gt;</w:t>
    </w:r>
    <w:r w:rsidRPr="001D0D42">
      <w:t>v01-00</w:t>
    </w:r>
    <w:r w:rsidRPr="001D0D42">
      <w:rPr>
        <w:rStyle w:val="HideTWBExt"/>
        <w:noProof w:val="0"/>
      </w:rPr>
      <w:t>&lt;/Version&gt;</w:t>
    </w:r>
    <w:r w:rsidRPr="001D0D42">
      <w:tab/>
    </w:r>
    <w:r w:rsidRPr="001D0D42">
      <w:fldChar w:fldCharType="begin"/>
    </w:r>
    <w:r w:rsidRPr="001D0D42">
      <w:instrText xml:space="preserve"> PAGE  \* MERGEFORMAT </w:instrText>
    </w:r>
    <w:r w:rsidRPr="001D0D42">
      <w:fldChar w:fldCharType="separate"/>
    </w:r>
    <w:r w:rsidR="008E5348">
      <w:rPr>
        <w:noProof/>
      </w:rPr>
      <w:t>2</w:t>
    </w:r>
    <w:r w:rsidRPr="001D0D42">
      <w:fldChar w:fldCharType="end"/>
    </w:r>
    <w:r w:rsidRPr="001D0D42">
      <w:t>/</w:t>
    </w:r>
    <w:fldSimple w:instr=" NUMPAGES  \* MERGEFORMAT ">
      <w:r w:rsidR="008E5348">
        <w:rPr>
          <w:noProof/>
        </w:rPr>
        <w:t>5</w:t>
      </w:r>
    </w:fldSimple>
    <w:r w:rsidRPr="001D0D42">
      <w:tab/>
    </w:r>
    <w:r w:rsidRPr="001D0D42">
      <w:rPr>
        <w:rStyle w:val="HideTWBExt"/>
        <w:noProof w:val="0"/>
      </w:rPr>
      <w:t>&lt;PathFdR&gt;</w:t>
    </w:r>
    <w:r w:rsidRPr="001D0D42">
      <w:t>RE\1222135SK.docx</w:t>
    </w:r>
    <w:r w:rsidRPr="001D0D42">
      <w:rPr>
        <w:rStyle w:val="HideTWBExt"/>
        <w:noProof w:val="0"/>
      </w:rPr>
      <w:t>&lt;/PathFdR&gt;</w:t>
    </w:r>
  </w:p>
  <w:p w14:paraId="012744B5" w14:textId="74412776" w:rsidR="00A90219" w:rsidRPr="001D0D42" w:rsidRDefault="001D0D42" w:rsidP="001D0D42">
    <w:pPr>
      <w:pStyle w:val="EPFooter2"/>
    </w:pPr>
    <w:r w:rsidRPr="001D0D42"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D00F" w14:textId="10F0E751" w:rsidR="001D0D42" w:rsidRPr="001D0D42" w:rsidRDefault="001D0D42" w:rsidP="001D0D42">
    <w:pPr>
      <w:pStyle w:val="EPFooter"/>
    </w:pPr>
    <w:r w:rsidRPr="001D0D42">
      <w:rPr>
        <w:rStyle w:val="HideTWBExt"/>
        <w:noProof w:val="0"/>
      </w:rPr>
      <w:t>&lt;PathFdR&gt;</w:t>
    </w:r>
    <w:r w:rsidRPr="001D0D42">
      <w:t>RE\1222135SK.docx</w:t>
    </w:r>
    <w:r w:rsidRPr="001D0D42">
      <w:rPr>
        <w:rStyle w:val="HideTWBExt"/>
        <w:noProof w:val="0"/>
      </w:rPr>
      <w:t>&lt;/PathFdR&gt;</w:t>
    </w:r>
    <w:r w:rsidRPr="001D0D42">
      <w:tab/>
    </w:r>
    <w:r w:rsidRPr="001D0D42">
      <w:fldChar w:fldCharType="begin"/>
    </w:r>
    <w:r w:rsidRPr="001D0D42">
      <w:instrText xml:space="preserve"> PAGE  \* MERGEFORMAT </w:instrText>
    </w:r>
    <w:r w:rsidRPr="001D0D42">
      <w:fldChar w:fldCharType="separate"/>
    </w:r>
    <w:r w:rsidR="008E5348">
      <w:rPr>
        <w:noProof/>
      </w:rPr>
      <w:t>3</w:t>
    </w:r>
    <w:r w:rsidRPr="001D0D42">
      <w:fldChar w:fldCharType="end"/>
    </w:r>
    <w:r w:rsidRPr="001D0D42">
      <w:t>/</w:t>
    </w:r>
    <w:fldSimple w:instr=" NUMPAGES  \* MERGEFORMAT ">
      <w:r w:rsidR="008E5348">
        <w:rPr>
          <w:noProof/>
        </w:rPr>
        <w:t>3</w:t>
      </w:r>
    </w:fldSimple>
    <w:r w:rsidRPr="001D0D42">
      <w:tab/>
      <w:t>PE</w:t>
    </w:r>
    <w:r w:rsidRPr="001D0D42">
      <w:rPr>
        <w:rStyle w:val="HideTWBExt"/>
        <w:noProof w:val="0"/>
      </w:rPr>
      <w:t>&lt;NoPE&gt;</w:t>
    </w:r>
    <w:r w:rsidRPr="001D0D42">
      <w:t>663.216</w:t>
    </w:r>
    <w:r w:rsidRPr="001D0D42">
      <w:rPr>
        <w:rStyle w:val="HideTWBExt"/>
        <w:noProof w:val="0"/>
      </w:rPr>
      <w:t>&lt;/NoPE&gt;&lt;Version&gt;</w:t>
    </w:r>
    <w:r w:rsidRPr="001D0D42">
      <w:t>v01-00</w:t>
    </w:r>
    <w:r w:rsidRPr="001D0D42">
      <w:rPr>
        <w:rStyle w:val="HideTWBExt"/>
        <w:noProof w:val="0"/>
      </w:rPr>
      <w:t>&lt;/Version&gt;</w:t>
    </w:r>
  </w:p>
  <w:p w14:paraId="200C4218" w14:textId="5D3EFB51" w:rsidR="00A90219" w:rsidRPr="001D0D42" w:rsidRDefault="001D0D42" w:rsidP="001D0D42">
    <w:pPr>
      <w:pStyle w:val="EPFooter2"/>
    </w:pPr>
    <w:r w:rsidRPr="001D0D42">
      <w:tab/>
    </w:r>
    <w:r w:rsidRPr="001D0D42">
      <w:tab/>
      <w:t>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D8FC" w14:textId="77777777" w:rsidR="001D0D42" w:rsidRPr="001D0D42" w:rsidRDefault="001D0D42" w:rsidP="001D0D42">
    <w:pPr>
      <w:pStyle w:val="EPFooter"/>
    </w:pPr>
    <w:r w:rsidRPr="001D0D42">
      <w:rPr>
        <w:rStyle w:val="HideTWBExt"/>
        <w:noProof w:val="0"/>
      </w:rPr>
      <w:t>&lt;PathFdR&gt;</w:t>
    </w:r>
    <w:r w:rsidRPr="001D0D42">
      <w:t>RE\1222135SK.docx</w:t>
    </w:r>
    <w:r w:rsidRPr="001D0D42">
      <w:rPr>
        <w:rStyle w:val="HideTWBExt"/>
        <w:noProof w:val="0"/>
      </w:rPr>
      <w:t>&lt;/PathFdR&gt;</w:t>
    </w:r>
    <w:r w:rsidRPr="001D0D42">
      <w:tab/>
    </w:r>
    <w:r w:rsidRPr="001D0D42">
      <w:tab/>
      <w:t>PE</w:t>
    </w:r>
    <w:r w:rsidRPr="001D0D42">
      <w:rPr>
        <w:rStyle w:val="HideTWBExt"/>
        <w:noProof w:val="0"/>
      </w:rPr>
      <w:t>&lt;NoPE&gt;</w:t>
    </w:r>
    <w:r w:rsidRPr="001D0D42">
      <w:t>663.216</w:t>
    </w:r>
    <w:r w:rsidRPr="001D0D42">
      <w:rPr>
        <w:rStyle w:val="HideTWBExt"/>
        <w:noProof w:val="0"/>
      </w:rPr>
      <w:t>&lt;/NoPE&gt;&lt;Version&gt;</w:t>
    </w:r>
    <w:r w:rsidRPr="001D0D42">
      <w:t>v01-00</w:t>
    </w:r>
    <w:r w:rsidRPr="001D0D42">
      <w:rPr>
        <w:rStyle w:val="HideTWBExt"/>
        <w:noProof w:val="0"/>
      </w:rPr>
      <w:t>&lt;/Version&gt;</w:t>
    </w:r>
  </w:p>
  <w:p w14:paraId="7556990F" w14:textId="38AC0FCD" w:rsidR="00A90219" w:rsidRPr="001D0D42" w:rsidRDefault="001D0D42" w:rsidP="001D0D42">
    <w:pPr>
      <w:pStyle w:val="EPFooter2"/>
    </w:pPr>
    <w:r w:rsidRPr="001D0D42">
      <w:t>SK</w:t>
    </w:r>
    <w:r w:rsidRPr="001D0D42">
      <w:tab/>
    </w:r>
    <w:r w:rsidRPr="001D0D42">
      <w:rPr>
        <w:b w:val="0"/>
        <w:i/>
        <w:color w:val="C0C0C0"/>
        <w:sz w:val="22"/>
      </w:rPr>
      <w:t>Zjednotení v rozmanitosti</w:t>
    </w:r>
    <w:r w:rsidRPr="001D0D42">
      <w:tab/>
      <w:t>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F761" w14:textId="77777777" w:rsidR="00F510C8" w:rsidRPr="001D0D42" w:rsidRDefault="00F510C8">
      <w:r w:rsidRPr="001D0D42">
        <w:separator/>
      </w:r>
    </w:p>
  </w:footnote>
  <w:footnote w:type="continuationSeparator" w:id="0">
    <w:p w14:paraId="739DD931" w14:textId="77777777" w:rsidR="00F510C8" w:rsidRPr="001D0D42" w:rsidRDefault="00F510C8">
      <w:r w:rsidRPr="001D0D42">
        <w:continuationSeparator/>
      </w:r>
    </w:p>
  </w:footnote>
  <w:footnote w:id="1">
    <w:p w14:paraId="6D9CB35F" w14:textId="277FF9D0" w:rsidR="001E1556" w:rsidRPr="001D0D42" w:rsidRDefault="001E1556" w:rsidP="001E1556">
      <w:pPr>
        <w:pStyle w:val="FootnoteText"/>
        <w:rPr>
          <w:rFonts w:ascii="Times New Roman" w:hAnsi="Times New Roman" w:cs="Times New Roman"/>
        </w:rPr>
      </w:pPr>
      <w:r w:rsidRPr="001D0D42">
        <w:rPr>
          <w:rStyle w:val="Funotenzeichen"/>
          <w:rFonts w:ascii="Times New Roman" w:hAnsi="Times New Roman" w:cs="Times New Roman"/>
        </w:rPr>
        <w:footnoteRef/>
      </w:r>
      <w:hyperlink r:id="rId1" w:history="1">
        <w:r w:rsidRPr="001D0D42">
          <w:rPr>
            <w:rStyle w:val="Hyperlink"/>
            <w:rFonts w:ascii="Times New Roman" w:hAnsi="Times New Roman"/>
          </w:rPr>
          <w:tab/>
        </w:r>
        <w:hyperlink r:id="rId2" w:history="1">
          <w:r w:rsidRPr="001D0D42">
            <w:rPr>
              <w:rStyle w:val="Hyperlink"/>
              <w:rFonts w:ascii="Times New Roman" w:hAnsi="Times New Roman"/>
            </w:rPr>
            <w:t>https://eur-lex.europa.eu/legal-content/SK/TXT/?uri=CELEX%3A62018CA0311&amp;qid=1610640279033</w:t>
          </w:r>
        </w:hyperlink>
      </w:hyperlink>
      <w:r w:rsidRPr="001D0D42">
        <w:rPr>
          <w:rFonts w:ascii="Times New Roman" w:hAnsi="Times New Roman"/>
        </w:rPr>
        <w:t xml:space="preserve"> </w:t>
      </w:r>
    </w:p>
  </w:footnote>
  <w:footnote w:id="2">
    <w:p w14:paraId="547F0DAC" w14:textId="739F723B" w:rsidR="003A76FC" w:rsidRPr="001D0D42" w:rsidRDefault="003A76FC" w:rsidP="003A76FC">
      <w:pPr>
        <w:pStyle w:val="FootnoteText"/>
      </w:pPr>
      <w:r w:rsidRPr="001D0D42">
        <w:rPr>
          <w:rStyle w:val="FootnoteReference"/>
        </w:rPr>
        <w:footnoteRef/>
      </w:r>
      <w:r w:rsidRPr="001D0D42">
        <w:t xml:space="preserve"> </w:t>
      </w:r>
      <w:r w:rsidRPr="001D0D42">
        <w:tab/>
      </w:r>
      <w:hyperlink r:id="rId3" w:history="1">
        <w:r w:rsidRPr="001D0D42">
          <w:rPr>
            <w:rStyle w:val="Hyperlink"/>
          </w:rPr>
          <w:t>https://eur-lex.europa.eu/legal-content/SK/TXT/?uri=CELEX%3A62014CJ0362</w:t>
        </w:r>
      </w:hyperlink>
      <w:r w:rsidRPr="001D0D42">
        <w:t xml:space="preserve"> </w:t>
      </w:r>
    </w:p>
  </w:footnote>
  <w:footnote w:id="3">
    <w:p w14:paraId="293C707A" w14:textId="46EE4130" w:rsidR="003A76FC" w:rsidRPr="001D0D42" w:rsidRDefault="003A76FC" w:rsidP="003A76FC">
      <w:pPr>
        <w:pStyle w:val="FootnoteText"/>
      </w:pPr>
      <w:r w:rsidRPr="001D0D42">
        <w:rPr>
          <w:rStyle w:val="FootnoteReference"/>
        </w:rPr>
        <w:footnoteRef/>
      </w:r>
      <w:r w:rsidRPr="001D0D42">
        <w:t xml:space="preserve"> </w:t>
      </w:r>
      <w:r w:rsidRPr="001D0D42">
        <w:tab/>
      </w:r>
      <w:hyperlink r:id="rId4" w:history="1">
        <w:r w:rsidRPr="001D0D42">
          <w:rPr>
            <w:rStyle w:val="Hyperlink"/>
          </w:rPr>
          <w:t>https://eur-lex.europa.eu/legal-content/SK/TXT/?uri=CELEX:62017CJ0623</w:t>
        </w:r>
      </w:hyperlink>
      <w:r w:rsidRPr="001D0D42">
        <w:t xml:space="preserve"> </w:t>
      </w:r>
    </w:p>
  </w:footnote>
  <w:footnote w:id="4">
    <w:p w14:paraId="0EB3CEDE" w14:textId="3D479CBD" w:rsidR="003A76FC" w:rsidRPr="001D0D42" w:rsidRDefault="003A76FC" w:rsidP="003A76FC">
      <w:pPr>
        <w:pStyle w:val="FootnoteText"/>
        <w:rPr>
          <w:rFonts w:ascii="Times New Roman" w:hAnsi="Times New Roman" w:cs="Times New Roman"/>
        </w:rPr>
      </w:pPr>
      <w:r w:rsidRPr="001D0D42">
        <w:rPr>
          <w:rFonts w:ascii="Times New Roman" w:hAnsi="Times New Roman" w:cs="Times New Roman"/>
        </w:rPr>
        <w:footnoteRef/>
      </w:r>
      <w:r w:rsidRPr="001D0D42">
        <w:rPr>
          <w:rFonts w:ascii="Times New Roman" w:hAnsi="Times New Roman"/>
        </w:rPr>
        <w:tab/>
        <w:t xml:space="preserve">P8_TA(2018)0315, </w:t>
      </w:r>
      <w:hyperlink r:id="rId5" w:history="1">
        <w:r w:rsidRPr="001D0D42">
          <w:rPr>
            <w:rFonts w:ascii="Times New Roman" w:hAnsi="Times New Roman"/>
          </w:rPr>
          <w:t>https://www.europarl.europa.eu/doceo/document/TA-8-2018-0315_SK.html</w:t>
        </w:r>
      </w:hyperlink>
      <w:r w:rsidRPr="001D0D42">
        <w:rPr>
          <w:rFonts w:ascii="Times New Roman" w:hAnsi="Times New Roman"/>
        </w:rPr>
        <w:t xml:space="preserve"> </w:t>
      </w:r>
    </w:p>
  </w:footnote>
  <w:footnote w:id="5">
    <w:p w14:paraId="2313C642" w14:textId="7F54D161" w:rsidR="003A76FC" w:rsidRPr="001D0D42" w:rsidRDefault="003A76FC" w:rsidP="003A76FC">
      <w:pPr>
        <w:rPr>
          <w:sz w:val="20"/>
        </w:rPr>
      </w:pPr>
      <w:r w:rsidRPr="001D0D42">
        <w:rPr>
          <w:sz w:val="20"/>
        </w:rPr>
        <w:footnoteRef/>
      </w:r>
      <w:r w:rsidRPr="001D0D42">
        <w:rPr>
          <w:sz w:val="20"/>
        </w:rPr>
        <w:t xml:space="preserve">   P8_TA(2018)0433, </w:t>
      </w:r>
      <w:hyperlink r:id="rId6" w:history="1">
        <w:r w:rsidRPr="001D0D42">
          <w:rPr>
            <w:sz w:val="20"/>
          </w:rPr>
          <w:t>https://www.europarl.europa.eu/doceo/document/TA-8-2018-0433_SK.html</w:t>
        </w:r>
      </w:hyperlink>
      <w:r w:rsidRPr="001D0D42">
        <w:rPr>
          <w:sz w:val="20"/>
        </w:rPr>
        <w:t xml:space="preserve"> </w:t>
      </w:r>
    </w:p>
  </w:footnote>
  <w:footnote w:id="6">
    <w:p w14:paraId="48A9A0E0" w14:textId="77777777" w:rsidR="003A76FC" w:rsidRPr="001D0D42" w:rsidRDefault="003A76FC" w:rsidP="003A76FC">
      <w:pPr>
        <w:pStyle w:val="FootnoteText"/>
        <w:rPr>
          <w:rFonts w:ascii="Times New Roman" w:hAnsi="Times New Roman" w:cs="Times New Roman"/>
        </w:rPr>
      </w:pPr>
      <w:r w:rsidRPr="001D0D42">
        <w:rPr>
          <w:rStyle w:val="FootnoteReference"/>
          <w:rFonts w:ascii="Times New Roman" w:hAnsi="Times New Roman" w:cs="Times New Roman"/>
        </w:rPr>
        <w:footnoteRef/>
      </w:r>
      <w:r w:rsidRPr="001D0D42">
        <w:rPr>
          <w:rFonts w:ascii="Times New Roman" w:hAnsi="Times New Roman"/>
        </w:rPr>
        <w:t xml:space="preserve"> </w:t>
      </w:r>
      <w:r w:rsidRPr="001D0D42">
        <w:rPr>
          <w:rFonts w:ascii="Times New Roman" w:hAnsi="Times New Roman"/>
        </w:rPr>
        <w:tab/>
        <w:t>P9_TA(2020)0337, https://www.europarl.europa.eu/doceo/document/TA-9-2020-0337_SK.html</w:t>
      </w:r>
    </w:p>
  </w:footnote>
  <w:footnote w:id="7">
    <w:p w14:paraId="2E8D957B" w14:textId="73F16474" w:rsidR="003A76FC" w:rsidRPr="001D0D42" w:rsidRDefault="003A76FC" w:rsidP="003A76FC">
      <w:pPr>
        <w:pStyle w:val="BodyText"/>
        <w:rPr>
          <w:sz w:val="20"/>
        </w:rPr>
      </w:pPr>
      <w:r w:rsidRPr="001D0D42">
        <w:footnoteRef/>
      </w:r>
      <w:r w:rsidRPr="001D0D42">
        <w:rPr>
          <w:sz w:val="20"/>
        </w:rPr>
        <w:t>Nariadenie Európskeho parlamentu a Rady (EÚ) 2016/679 z 27. apríla 2016 o ochrane fyzických osôb pri spracúvaní osobných údajov a o voľnom pohybe takýchto údajov, ktorým sa zrušuje smernica 95/46/ES (všeobecné nariadenie o ochrane údajov) (Ú. v. EÚ L 119, 4.5.2016, s. 1–88)</w:t>
      </w:r>
      <w:hyperlink r:id="rId7" w:history="1">
        <w:r w:rsidRPr="001D0D42">
          <w:rPr>
            <w:color w:val="4472C4" w:themeColor="accent5"/>
            <w:sz w:val="20"/>
            <w:u w:val="single"/>
          </w:rPr>
          <w:t>https://eur-lex.europa.eu/eli/reg/2016/679/oj?locale=sk</w:t>
        </w:r>
      </w:hyperlink>
      <w:r w:rsidRPr="001D0D42">
        <w:t>.</w:t>
      </w:r>
      <w:r w:rsidRPr="001D0D42">
        <w:rPr>
          <w:sz w:val="20"/>
        </w:rPr>
        <w:t xml:space="preserve">    </w:t>
      </w:r>
    </w:p>
    <w:p w14:paraId="08AC5CF0" w14:textId="77777777" w:rsidR="003A76FC" w:rsidRPr="001D0D42" w:rsidRDefault="003A76FC" w:rsidP="003A76FC">
      <w:pPr>
        <w:pStyle w:val="FootnoteText"/>
        <w:rPr>
          <w:rFonts w:ascii="DejaVu Sans" w:hAnsi="DejaVu Sans"/>
        </w:rPr>
      </w:pPr>
    </w:p>
  </w:footnote>
  <w:footnote w:id="8">
    <w:p w14:paraId="57762114" w14:textId="0EA7BDD7" w:rsidR="003A76FC" w:rsidRPr="001D0D42" w:rsidRDefault="003A76FC" w:rsidP="003A76FC">
      <w:pPr>
        <w:pStyle w:val="FootnoteText"/>
      </w:pPr>
      <w:r w:rsidRPr="001D0D42">
        <w:rPr>
          <w:rStyle w:val="FootnoteReference"/>
        </w:rPr>
        <w:footnoteRef/>
      </w:r>
      <w:r w:rsidRPr="001D0D42">
        <w:t xml:space="preserve"> </w:t>
      </w:r>
      <w:hyperlink r:id="rId8" w:history="1">
        <w:r w:rsidRPr="001D0D42">
          <w:rPr>
            <w:rStyle w:val="Hyperlink"/>
          </w:rPr>
          <w:t>https://edpb.europa.eu/our-work-tools/public-consultations-art-704/2020/recommendations-012020-measures-supplement-transfer_sk</w:t>
        </w:r>
      </w:hyperlink>
    </w:p>
    <w:p w14:paraId="69DFD773" w14:textId="542A92C8" w:rsidR="003A76FC" w:rsidRPr="001D0D42" w:rsidRDefault="003A76FC" w:rsidP="003A76FC">
      <w:pPr>
        <w:pStyle w:val="FootnoteText"/>
      </w:pPr>
      <w:r w:rsidRPr="001D0D42">
        <w:tab/>
      </w:r>
      <w:hyperlink r:id="rId9" w:history="1">
        <w:r w:rsidRPr="001D0D42">
          <w:rPr>
            <w:rStyle w:val="Hyperlink"/>
          </w:rPr>
          <w:t>https://edpb.europa.eu/our-work-tools/our-documents/preporki/recommendations-022020-european-essential-guarantees_sk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4308" w14:textId="77777777" w:rsidR="008E5348" w:rsidRDefault="008E5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7ED3" w14:textId="77777777" w:rsidR="008E5348" w:rsidRDefault="008E5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D42A4" w14:textId="77777777" w:rsidR="008E5348" w:rsidRDefault="008E5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86570"/>
    <w:multiLevelType w:val="hybridMultilevel"/>
    <w:tmpl w:val="19DA1E1E"/>
    <w:lvl w:ilvl="0" w:tplc="5378A36C">
      <w:start w:val="1"/>
      <w:numFmt w:val="upperLetter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01B35"/>
    <w:multiLevelType w:val="hybridMultilevel"/>
    <w:tmpl w:val="F57E875E"/>
    <w:lvl w:ilvl="0" w:tplc="A9940D5C">
      <w:start w:val="1"/>
      <w:numFmt w:val="decimal"/>
      <w:lvlText w:val="%1."/>
      <w:lvlJc w:val="left"/>
      <w:pPr>
        <w:ind w:left="926" w:hanging="56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KEY" w:val="LIBE"/>
    <w:docVar w:name="DOCTYPEMNU" w:val=" 1"/>
    <w:docVar w:name="LastEditedSection" w:val=" 1"/>
    <w:docVar w:name="STATMNU" w:val=" 1"/>
    <w:docVar w:name="strDocTypeID" w:val="RE_Statements"/>
    <w:docVar w:name="strSubDir" w:val="1222"/>
    <w:docVar w:name="TXTLANGUE" w:val="EN"/>
    <w:docVar w:name="TXTLANGUEMIN" w:val="en"/>
    <w:docVar w:name="TXTNRPE" w:val="663.216"/>
    <w:docVar w:name="TXTNRRSP" w:val="2020/2789"/>
    <w:docVar w:name="TXTPEorAP" w:val="PE"/>
    <w:docVar w:name="TXTROUTE" w:val="RE\1222135EN.docx"/>
    <w:docVar w:name="TXTTITLE" w:val="on the Resolution on the ruling of the ECJ of 16 July 2020 - Data Protection Commissioner v Facebook Ireland Limited, Maximillian Schrems (“Schrems II”) - Case C-311/18"/>
    <w:docVar w:name="TXTVERSION" w:val="01-00"/>
  </w:docVars>
  <w:rsids>
    <w:rsidRoot w:val="00F510C8"/>
    <w:rsid w:val="00037F46"/>
    <w:rsid w:val="00094DDA"/>
    <w:rsid w:val="000F4BF6"/>
    <w:rsid w:val="00117781"/>
    <w:rsid w:val="001B49A3"/>
    <w:rsid w:val="001B7CFB"/>
    <w:rsid w:val="001C16A7"/>
    <w:rsid w:val="001C31D8"/>
    <w:rsid w:val="001C62C5"/>
    <w:rsid w:val="001D0D42"/>
    <w:rsid w:val="001E1556"/>
    <w:rsid w:val="001E2450"/>
    <w:rsid w:val="00222BBB"/>
    <w:rsid w:val="00250718"/>
    <w:rsid w:val="002574AA"/>
    <w:rsid w:val="002C7767"/>
    <w:rsid w:val="00303413"/>
    <w:rsid w:val="003772FA"/>
    <w:rsid w:val="003A76FC"/>
    <w:rsid w:val="00411D03"/>
    <w:rsid w:val="00412503"/>
    <w:rsid w:val="00471D62"/>
    <w:rsid w:val="004B5166"/>
    <w:rsid w:val="00516BD3"/>
    <w:rsid w:val="0053700E"/>
    <w:rsid w:val="0058312A"/>
    <w:rsid w:val="005D6861"/>
    <w:rsid w:val="00654CBD"/>
    <w:rsid w:val="006726A1"/>
    <w:rsid w:val="006A27B7"/>
    <w:rsid w:val="006F48B8"/>
    <w:rsid w:val="00706BC0"/>
    <w:rsid w:val="00723A0B"/>
    <w:rsid w:val="00780A7D"/>
    <w:rsid w:val="007E1E11"/>
    <w:rsid w:val="00814BC6"/>
    <w:rsid w:val="008278C0"/>
    <w:rsid w:val="0086649B"/>
    <w:rsid w:val="00866D70"/>
    <w:rsid w:val="008A4052"/>
    <w:rsid w:val="008D7B31"/>
    <w:rsid w:val="008E5348"/>
    <w:rsid w:val="008F5EFB"/>
    <w:rsid w:val="00907285"/>
    <w:rsid w:val="00910F7E"/>
    <w:rsid w:val="00981ED6"/>
    <w:rsid w:val="009C510E"/>
    <w:rsid w:val="009D24DE"/>
    <w:rsid w:val="00A32337"/>
    <w:rsid w:val="00A462B1"/>
    <w:rsid w:val="00A4763A"/>
    <w:rsid w:val="00A516B8"/>
    <w:rsid w:val="00A90219"/>
    <w:rsid w:val="00B16A0B"/>
    <w:rsid w:val="00B34A46"/>
    <w:rsid w:val="00B90331"/>
    <w:rsid w:val="00B90DC2"/>
    <w:rsid w:val="00BC3002"/>
    <w:rsid w:val="00BF2C2D"/>
    <w:rsid w:val="00BF6571"/>
    <w:rsid w:val="00C23264"/>
    <w:rsid w:val="00CC09D8"/>
    <w:rsid w:val="00D12F64"/>
    <w:rsid w:val="00D44718"/>
    <w:rsid w:val="00D90D37"/>
    <w:rsid w:val="00DF5457"/>
    <w:rsid w:val="00DF7943"/>
    <w:rsid w:val="00E53167"/>
    <w:rsid w:val="00EA43FB"/>
    <w:rsid w:val="00EC05E9"/>
    <w:rsid w:val="00ED22B8"/>
    <w:rsid w:val="00F02A2C"/>
    <w:rsid w:val="00F11EF3"/>
    <w:rsid w:val="00F26DE8"/>
    <w:rsid w:val="00F4455A"/>
    <w:rsid w:val="00F510C8"/>
    <w:rsid w:val="00F7050A"/>
    <w:rsid w:val="00F959BA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D77AC"/>
  <w15:chartTrackingRefBased/>
  <w15:docId w15:val="{E6272C54-2F65-43C4-A91C-140847F8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semiHidden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  <w:pPr>
      <w:widowControl w:val="0"/>
    </w:pPr>
    <w:rPr>
      <w:sz w:val="24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semiHidden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semiHidden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semiHidden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semiHidden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semiHidden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semiHidden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TWBExt">
    <w:name w:val="HideTWBExt"/>
    <w:basedOn w:val="DefaultParagraphFont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Footer2">
    <w:name w:val="EPFooter2"/>
    <w:basedOn w:val="Normal"/>
    <w:next w:val="Normal"/>
    <w:pPr>
      <w:widowControl/>
      <w:tabs>
        <w:tab w:val="center" w:pos="4535"/>
        <w:tab w:val="right" w:pos="9921"/>
      </w:tabs>
      <w:ind w:left="-850" w:right="-850"/>
    </w:pPr>
    <w:rPr>
      <w:rFonts w:ascii="Arial" w:hAnsi="Arial" w:cs="Arial"/>
      <w:b/>
      <w:sz w:val="48"/>
    </w:rPr>
  </w:style>
  <w:style w:type="paragraph" w:customStyle="1" w:styleId="EPComma">
    <w:name w:val="EPComma"/>
    <w:basedOn w:val="Normal"/>
    <w:rsid w:val="00DF7943"/>
    <w:pPr>
      <w:spacing w:before="480" w:after="240"/>
    </w:pPr>
  </w:style>
  <w:style w:type="paragraph" w:styleId="TOC1">
    <w:name w:val="toc 1"/>
    <w:basedOn w:val="EPComma"/>
    <w:next w:val="EPComma"/>
    <w:autoRedefine/>
    <w:semiHidden/>
  </w:style>
  <w:style w:type="paragraph" w:styleId="TOCHeading">
    <w:name w:val="TOC Heading"/>
    <w:basedOn w:val="Normal"/>
    <w:next w:val="Normal"/>
    <w:semiHidden/>
    <w:qFormat/>
    <w:pPr>
      <w:keepNext/>
      <w:spacing w:before="240" w:after="240"/>
      <w:jc w:val="center"/>
    </w:pPr>
    <w:rPr>
      <w:rFonts w:ascii="Arial" w:hAnsi="Arial"/>
      <w:b/>
    </w:rPr>
  </w:style>
  <w:style w:type="character" w:customStyle="1" w:styleId="HideTWBInt">
    <w:name w:val="HideTWBInt"/>
    <w:rPr>
      <w:rFonts w:ascii="Arial" w:hAnsi="Arial" w:cs="Arial"/>
      <w:vanish/>
      <w:color w:val="808080"/>
      <w:sz w:val="20"/>
    </w:rPr>
  </w:style>
  <w:style w:type="paragraph" w:customStyle="1" w:styleId="NormalBold">
    <w:name w:val="NormalBold"/>
    <w:basedOn w:val="Normal"/>
    <w:rPr>
      <w:b/>
    </w:rPr>
  </w:style>
  <w:style w:type="paragraph" w:customStyle="1" w:styleId="NormalBold12a">
    <w:name w:val="NormalBold12a"/>
    <w:basedOn w:val="Normal"/>
    <w:pPr>
      <w:spacing w:after="240"/>
    </w:pPr>
    <w:rPr>
      <w:b/>
    </w:rPr>
  </w:style>
  <w:style w:type="paragraph" w:customStyle="1" w:styleId="NormalHanging12a">
    <w:name w:val="NormalHanging12a"/>
    <w:basedOn w:val="Normal"/>
    <w:pPr>
      <w:spacing w:after="240"/>
      <w:ind w:left="567" w:hanging="567"/>
    </w:pPr>
  </w:style>
  <w:style w:type="paragraph" w:customStyle="1" w:styleId="CoverBold">
    <w:name w:val="CoverBold"/>
    <w:basedOn w:val="Normal"/>
    <w:rsid w:val="00B90331"/>
    <w:pPr>
      <w:ind w:left="1417"/>
    </w:pPr>
    <w:rPr>
      <w:b/>
    </w:rPr>
  </w:style>
  <w:style w:type="paragraph" w:customStyle="1" w:styleId="CoverNormal">
    <w:name w:val="CoverNormal"/>
    <w:basedOn w:val="Normal"/>
    <w:pPr>
      <w:ind w:left="1418"/>
    </w:pPr>
  </w:style>
  <w:style w:type="paragraph" w:customStyle="1" w:styleId="CoverNormal12a">
    <w:name w:val="CoverNormal12a"/>
    <w:basedOn w:val="Normal"/>
    <w:rsid w:val="00B90331"/>
    <w:pPr>
      <w:spacing w:after="240"/>
      <w:ind w:left="1418"/>
    </w:pPr>
  </w:style>
  <w:style w:type="paragraph" w:customStyle="1" w:styleId="CoverNormal24a">
    <w:name w:val="CoverNormal24a"/>
    <w:basedOn w:val="Normal"/>
    <w:rsid w:val="00B90331"/>
    <w:pPr>
      <w:spacing w:after="480"/>
      <w:ind w:left="1417"/>
    </w:pPr>
  </w:style>
  <w:style w:type="paragraph" w:customStyle="1" w:styleId="CoverDocType24a">
    <w:name w:val="CoverDocType24a"/>
    <w:basedOn w:val="Normal"/>
    <w:rsid w:val="00EC05E9"/>
    <w:pPr>
      <w:spacing w:after="480"/>
      <w:ind w:left="1418"/>
    </w:pPr>
    <w:rPr>
      <w:rFonts w:ascii="Arial" w:hAnsi="Arial"/>
      <w:b/>
      <w:sz w:val="48"/>
    </w:rPr>
  </w:style>
  <w:style w:type="paragraph" w:styleId="Header">
    <w:name w:val="header"/>
    <w:basedOn w:val="Normal"/>
    <w:link w:val="HeaderChar"/>
    <w:semiHidden/>
    <w:rsid w:val="007E1E1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E5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Body">
    <w:name w:val="EPBody"/>
    <w:basedOn w:val="Normal"/>
    <w:rsid w:val="00E53167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al"/>
    <w:next w:val="Normal"/>
    <w:rsid w:val="00E53167"/>
    <w:pPr>
      <w:pBdr>
        <w:top w:val="single" w:sz="4" w:space="1" w:color="auto"/>
      </w:pBdr>
      <w:jc w:val="center"/>
    </w:pPr>
    <w:rPr>
      <w:rFonts w:ascii="Arial" w:hAnsi="Arial" w:cs="Arial"/>
      <w:sz w:val="16"/>
      <w:szCs w:val="16"/>
    </w:rPr>
  </w:style>
  <w:style w:type="paragraph" w:customStyle="1" w:styleId="LineBottom">
    <w:name w:val="LineBottom"/>
    <w:basedOn w:val="Normal"/>
    <w:next w:val="Normal"/>
    <w:rsid w:val="00094DDA"/>
    <w:pPr>
      <w:pBdr>
        <w:bottom w:val="single" w:sz="4" w:space="1" w:color="auto"/>
      </w:pBdr>
      <w:spacing w:after="240"/>
      <w:jc w:val="center"/>
    </w:pPr>
    <w:rPr>
      <w:rFonts w:ascii="Arial" w:hAnsi="Arial" w:cs="Arial"/>
      <w:sz w:val="16"/>
      <w:szCs w:val="16"/>
    </w:rPr>
  </w:style>
  <w:style w:type="paragraph" w:customStyle="1" w:styleId="EPName">
    <w:name w:val="EPName"/>
    <w:basedOn w:val="Normal"/>
    <w:rsid w:val="00706BC0"/>
    <w:pPr>
      <w:spacing w:before="80" w:after="80"/>
    </w:pPr>
    <w:rPr>
      <w:rFonts w:ascii="Arial Narrow" w:hAnsi="Arial Narrow" w:cs="Arial"/>
      <w:b/>
      <w:sz w:val="32"/>
      <w:szCs w:val="22"/>
    </w:rPr>
  </w:style>
  <w:style w:type="paragraph" w:customStyle="1" w:styleId="EPTerm">
    <w:name w:val="EPTerm"/>
    <w:basedOn w:val="Normal"/>
    <w:next w:val="Normal"/>
    <w:rsid w:val="00706BC0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al"/>
    <w:qFormat/>
    <w:rsid w:val="00706BC0"/>
    <w:pPr>
      <w:jc w:val="right"/>
    </w:pPr>
  </w:style>
  <w:style w:type="paragraph" w:customStyle="1" w:styleId="CoverReference">
    <w:name w:val="CoverReference"/>
    <w:basedOn w:val="Normal"/>
    <w:rsid w:val="00094DDA"/>
    <w:pPr>
      <w:spacing w:before="1080"/>
      <w:jc w:val="right"/>
    </w:pPr>
    <w:rPr>
      <w:rFonts w:ascii="Arial" w:hAnsi="Arial" w:cs="Arial"/>
      <w:b/>
    </w:rPr>
  </w:style>
  <w:style w:type="paragraph" w:customStyle="1" w:styleId="CoverDate">
    <w:name w:val="CoverDate"/>
    <w:basedOn w:val="Normal"/>
    <w:rsid w:val="00094DDA"/>
    <w:pPr>
      <w:spacing w:before="240" w:after="1200"/>
    </w:pPr>
  </w:style>
  <w:style w:type="paragraph" w:customStyle="1" w:styleId="EPFooter">
    <w:name w:val="EPFooter"/>
    <w:basedOn w:val="Normal"/>
    <w:rsid w:val="00EC05E9"/>
    <w:pPr>
      <w:tabs>
        <w:tab w:val="center" w:pos="4535"/>
        <w:tab w:val="right" w:pos="9071"/>
      </w:tabs>
      <w:spacing w:before="240" w:after="240"/>
    </w:pPr>
    <w:rPr>
      <w:color w:val="010000"/>
      <w:sz w:val="22"/>
    </w:rPr>
  </w:style>
  <w:style w:type="character" w:customStyle="1" w:styleId="HeaderChar">
    <w:name w:val="Header Char"/>
    <w:basedOn w:val="DefaultParagraphFont"/>
    <w:link w:val="Header"/>
    <w:semiHidden/>
    <w:rsid w:val="007E1E11"/>
    <w:rPr>
      <w:sz w:val="24"/>
    </w:rPr>
  </w:style>
  <w:style w:type="character" w:styleId="Hyperlink">
    <w:name w:val="Hyperlink"/>
    <w:basedOn w:val="DefaultParagraphFont"/>
    <w:uiPriority w:val="99"/>
    <w:unhideWhenUsed/>
    <w:rsid w:val="003A76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A76FC"/>
    <w:pPr>
      <w:widowControl/>
      <w:suppressLineNumbers/>
      <w:ind w:left="339" w:hanging="339"/>
    </w:pPr>
    <w:rPr>
      <w:rFonts w:ascii="DejaVu Serif" w:eastAsia="DejaVu Sans" w:hAnsi="DejaVu Serif" w:cs="Noto Sans Devanagari"/>
      <w:kern w:val="2"/>
      <w:sz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3A76FC"/>
    <w:rPr>
      <w:rFonts w:ascii="DejaVu Serif" w:eastAsia="DejaVu Sans" w:hAnsi="DejaVu Serif" w:cs="Noto Sans Devanagari"/>
      <w:kern w:val="2"/>
      <w:lang w:val="sk-SK" w:eastAsia="zh-CN" w:bidi="hi-IN"/>
    </w:rPr>
  </w:style>
  <w:style w:type="character" w:customStyle="1" w:styleId="Funotenzeichen">
    <w:name w:val="Fußnotenzeichen"/>
    <w:qFormat/>
    <w:rsid w:val="003A76FC"/>
  </w:style>
  <w:style w:type="character" w:styleId="FootnoteReference">
    <w:name w:val="footnote reference"/>
    <w:basedOn w:val="DefaultParagraphFont"/>
    <w:uiPriority w:val="99"/>
    <w:unhideWhenUsed/>
    <w:rsid w:val="003A76FC"/>
    <w:rPr>
      <w:vertAlign w:val="superscript"/>
    </w:rPr>
  </w:style>
  <w:style w:type="paragraph" w:styleId="BodyText">
    <w:name w:val="Body Text"/>
    <w:basedOn w:val="Normal"/>
    <w:link w:val="BodyTextChar"/>
    <w:rsid w:val="003A76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6FC"/>
    <w:rPr>
      <w:sz w:val="24"/>
    </w:rPr>
  </w:style>
  <w:style w:type="character" w:styleId="CommentReference">
    <w:name w:val="annotation reference"/>
    <w:basedOn w:val="DefaultParagraphFont"/>
    <w:uiPriority w:val="99"/>
    <w:rsid w:val="002507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07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07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071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50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071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semiHidden/>
    <w:rsid w:val="001C3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1C31D8"/>
    <w:rPr>
      <w:sz w:val="24"/>
    </w:rPr>
  </w:style>
  <w:style w:type="character" w:styleId="FollowedHyperlink">
    <w:name w:val="FollowedHyperlink"/>
    <w:basedOn w:val="DefaultParagraphFont"/>
    <w:rsid w:val="00FB7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pb.europa.eu/our-work-tools/public-consultations-art-704/2020/recommendations-012020-measures-supplement-transfer_sk" TargetMode="External"/><Relationship Id="rId3" Type="http://schemas.openxmlformats.org/officeDocument/2006/relationships/hyperlink" Target="https://eur-lex.europa.eu/legal-content/SK/TXT/?uri=CELEX:62014CJ0362" TargetMode="External"/><Relationship Id="rId7" Type="http://schemas.openxmlformats.org/officeDocument/2006/relationships/hyperlink" Target="https://eur-lex.europa.eu/eli/reg/2016/679/oj?locale=sk" TargetMode="External"/><Relationship Id="rId2" Type="http://schemas.openxmlformats.org/officeDocument/2006/relationships/hyperlink" Target="https://eur-lex.europa.eu/legal-content/SK/TXT/?uri=CELEX:62018CA0311&amp;qid=1610640279033" TargetMode="External"/><Relationship Id="rId1" Type="http://schemas.openxmlformats.org/officeDocument/2006/relationships/hyperlink" Target="file:///C:\Users\cbull\AppData\Local\Microsoft\Windows\INetCache\Content.Outlook\9A0NKB2P\%09https:\eur-lex.europa.eu\legal-content\EN\TXT\?uri=CELEX:62018CJ0311" TargetMode="External"/><Relationship Id="rId6" Type="http://schemas.openxmlformats.org/officeDocument/2006/relationships/hyperlink" Target="https://www.europarl.europa.eu/doceo/document/TA-8-2018-0433_SK.html" TargetMode="External"/><Relationship Id="rId5" Type="http://schemas.openxmlformats.org/officeDocument/2006/relationships/hyperlink" Target="https://www.europarl.europa.eu/doceo/document/TA-8-2018-0315_SK.html" TargetMode="External"/><Relationship Id="rId4" Type="http://schemas.openxmlformats.org/officeDocument/2006/relationships/hyperlink" Target="https://eur-lex.europa.eu/legal-content/SK/TXT/?uri=CELEX:62017CJ0623" TargetMode="External"/><Relationship Id="rId9" Type="http://schemas.openxmlformats.org/officeDocument/2006/relationships/hyperlink" Target="https://edpb.europa.eu/our-work-tools/our-documents/preporki/recommendations-022020-european-essential-guarantees_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C59B-E701-4982-9148-CD8AF2A5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1374</Words>
  <Characters>8233</Characters>
  <Application>Microsoft Office Word</Application>
  <DocSecurity>0</DocSecurity>
  <Lines>155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RE_Statements</vt:lpstr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RE_Statements</dc:title>
  <dc:subject/>
  <dc:creator>CUADRAT SEIX Iban</dc:creator>
  <cp:keywords/>
  <dc:description/>
  <cp:lastModifiedBy>KNOLLOVA Maria</cp:lastModifiedBy>
  <cp:revision>2</cp:revision>
  <cp:lastPrinted>2004-11-19T15:55:00Z</cp:lastPrinted>
  <dcterms:created xsi:type="dcterms:W3CDTF">2021-01-29T09:21:00Z</dcterms:created>
  <dcterms:modified xsi:type="dcterms:W3CDTF">2021-01-29T09:21:00Z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9.9.1 Build [20200705]</vt:lpwstr>
  </property>
  <property fmtid="{D5CDD505-2E9C-101B-9397-08002B2CF9AE}" pid="3" name="LastEdited with">
    <vt:lpwstr>9.9.1 Build [20200705]</vt:lpwstr>
  </property>
  <property fmtid="{D5CDD505-2E9C-101B-9397-08002B2CF9AE}" pid="4" name="&lt;FdR&gt;">
    <vt:lpwstr>1222135</vt:lpwstr>
  </property>
  <property fmtid="{D5CDD505-2E9C-101B-9397-08002B2CF9AE}" pid="5" name="&lt;Type&gt;">
    <vt:lpwstr>RE</vt:lpwstr>
  </property>
  <property fmtid="{D5CDD505-2E9C-101B-9397-08002B2CF9AE}" pid="6" name="&lt;ModelCod&gt;">
    <vt:lpwstr>\\eiciBRUpr1\pdocep$\DocEP\DOCS\General\RE\RE_Statements.dotx(17/04/2020 18:29:07)</vt:lpwstr>
  </property>
  <property fmtid="{D5CDD505-2E9C-101B-9397-08002B2CF9AE}" pid="7" name="&lt;ModelTra&gt;">
    <vt:lpwstr>\\eiciBRUpr1\pdocep$\DocEP\TRANSFIL\EN\RE_Statements.EN(25/06/2019 11:01:00)</vt:lpwstr>
  </property>
  <property fmtid="{D5CDD505-2E9C-101B-9397-08002B2CF9AE}" pid="8" name="&lt;Model&gt;">
    <vt:lpwstr>RE_Statements</vt:lpwstr>
  </property>
  <property fmtid="{D5CDD505-2E9C-101B-9397-08002B2CF9AE}" pid="9" name="FooterPath">
    <vt:lpwstr>RE\1222135SK.docx</vt:lpwstr>
  </property>
  <property fmtid="{D5CDD505-2E9C-101B-9397-08002B2CF9AE}" pid="10" name="PE number">
    <vt:lpwstr>663.216</vt:lpwstr>
  </property>
  <property fmtid="{D5CDD505-2E9C-101B-9397-08002B2CF9AE}" pid="11" name="SendToEpades">
    <vt:lpwstr>OK - 2021/01/15 11:13</vt:lpwstr>
  </property>
  <property fmtid="{D5CDD505-2E9C-101B-9397-08002B2CF9AE}" pid="12" name="SDLStudio">
    <vt:lpwstr/>
  </property>
  <property fmtid="{D5CDD505-2E9C-101B-9397-08002B2CF9AE}" pid="13" name="&lt;Extension&gt;">
    <vt:lpwstr>SK</vt:lpwstr>
  </property>
  <property fmtid="{D5CDD505-2E9C-101B-9397-08002B2CF9AE}" pid="14" name="Bookout">
    <vt:lpwstr>OK - 2021/01/29 10:21</vt:lpwstr>
  </property>
</Properties>
</file>