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04"/>
        <w:gridCol w:w="2268"/>
      </w:tblGrid>
      <w:tr w:rsidR="008F5EFB" w:rsidRPr="00820FC5" w14:paraId="5A95D407" w14:textId="77777777" w:rsidTr="00C85D0F">
        <w:trPr>
          <w:trHeight w:hRule="exact" w:val="1418"/>
        </w:trPr>
        <w:tc>
          <w:tcPr>
            <w:tcW w:w="6804" w:type="dxa"/>
            <w:shd w:val="clear" w:color="auto" w:fill="auto"/>
            <w:vAlign w:val="center"/>
          </w:tcPr>
          <w:p w14:paraId="702AD9E4" w14:textId="77777777" w:rsidR="008F5EFB" w:rsidRPr="00820FC5" w:rsidRDefault="00F510C8" w:rsidP="00C85D0F">
            <w:pPr>
              <w:pStyle w:val="EPName"/>
            </w:pPr>
            <w:r w:rsidRPr="00820FC5">
              <w:t>Parlamento Europeu</w:t>
            </w:r>
          </w:p>
          <w:p w14:paraId="36F604D4" w14:textId="77777777" w:rsidR="008F5EFB" w:rsidRPr="00820FC5" w:rsidRDefault="003A76FC" w:rsidP="003A76FC">
            <w:pPr>
              <w:pStyle w:val="EPTerm"/>
            </w:pPr>
            <w:r w:rsidRPr="00820FC5">
              <w:t>2019-2024</w:t>
            </w:r>
          </w:p>
        </w:tc>
        <w:tc>
          <w:tcPr>
            <w:tcW w:w="2268" w:type="dxa"/>
            <w:shd w:val="clear" w:color="auto" w:fill="auto"/>
          </w:tcPr>
          <w:p w14:paraId="1723FC61" w14:textId="77777777" w:rsidR="008F5EFB" w:rsidRPr="00820FC5" w:rsidRDefault="008F5EFB" w:rsidP="00C85D0F">
            <w:pPr>
              <w:pStyle w:val="EPLogo"/>
            </w:pPr>
            <w:r w:rsidRPr="00820FC5">
              <w:rPr>
                <w:noProof/>
                <w:lang w:val="en-GB"/>
              </w:rPr>
              <w:drawing>
                <wp:inline distT="0" distB="0" distL="0" distR="0" wp14:anchorId="56207258" wp14:editId="35CF6CB1">
                  <wp:extent cx="1158875" cy="652145"/>
                  <wp:effectExtent l="0" t="0" r="0" b="0"/>
                  <wp:docPr id="1" name="Picture 1" descr="EP logo RGB_Mu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P logo RGB_Mu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8875" cy="652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0F3F2A0" w14:textId="77777777" w:rsidR="00E53167" w:rsidRPr="00820FC5" w:rsidRDefault="00E53167" w:rsidP="00E53167">
      <w:pPr>
        <w:pStyle w:val="LineTop"/>
      </w:pPr>
    </w:p>
    <w:p w14:paraId="69AFB50C" w14:textId="77777777" w:rsidR="00E53167" w:rsidRPr="00820FC5" w:rsidRDefault="003A76FC" w:rsidP="00E53167">
      <w:pPr>
        <w:pStyle w:val="EPBody"/>
      </w:pPr>
      <w:r w:rsidRPr="00820FC5">
        <w:rPr>
          <w:rStyle w:val="HideTWBInt"/>
        </w:rPr>
        <w:t>{LIBE}</w:t>
      </w:r>
      <w:r w:rsidRPr="00820FC5">
        <w:t>Comissão das Liberdades Cívicas, da Justiça e dos Assuntos Internos</w:t>
      </w:r>
    </w:p>
    <w:p w14:paraId="14C16DCC" w14:textId="77777777" w:rsidR="00094DDA" w:rsidRPr="00820FC5" w:rsidRDefault="00094DDA" w:rsidP="00094DDA">
      <w:pPr>
        <w:pStyle w:val="LineBottom"/>
      </w:pPr>
    </w:p>
    <w:p w14:paraId="5B9DD5D1" w14:textId="77777777" w:rsidR="00094DDA" w:rsidRPr="00820FC5" w:rsidRDefault="00094DDA" w:rsidP="00094DDA">
      <w:pPr>
        <w:pStyle w:val="CoverReference"/>
      </w:pPr>
      <w:r w:rsidRPr="00820FC5">
        <w:rPr>
          <w:rStyle w:val="HideTWBExt"/>
          <w:b w:val="0"/>
          <w:noProof w:val="0"/>
        </w:rPr>
        <w:t>&lt;NoDocSe&gt;</w:t>
      </w:r>
      <w:r w:rsidRPr="00820FC5">
        <w:t>2020/2789(RSP)</w:t>
      </w:r>
      <w:r w:rsidRPr="00820FC5">
        <w:rPr>
          <w:rStyle w:val="HideTWBExt"/>
          <w:b w:val="0"/>
          <w:noProof w:val="0"/>
        </w:rPr>
        <w:t>&lt;/NoDocSe&gt;</w:t>
      </w:r>
    </w:p>
    <w:p w14:paraId="5120A14B" w14:textId="77777777" w:rsidR="00094DDA" w:rsidRPr="00820FC5" w:rsidRDefault="00094DDA" w:rsidP="00094DDA">
      <w:pPr>
        <w:pStyle w:val="CoverDate"/>
      </w:pPr>
      <w:r w:rsidRPr="00820FC5">
        <w:rPr>
          <w:rStyle w:val="HideTWBExt"/>
          <w:noProof w:val="0"/>
        </w:rPr>
        <w:t>&lt;Date&gt;</w:t>
      </w:r>
      <w:r w:rsidRPr="00820FC5">
        <w:rPr>
          <w:rStyle w:val="HideTWBInt"/>
        </w:rPr>
        <w:t>{13/01/2021}</w:t>
      </w:r>
      <w:r w:rsidRPr="00820FC5">
        <w:t>13.1.2021</w:t>
      </w:r>
      <w:r w:rsidRPr="00820FC5">
        <w:rPr>
          <w:rStyle w:val="HideTWBExt"/>
          <w:noProof w:val="0"/>
        </w:rPr>
        <w:t>&lt;/Date&gt;</w:t>
      </w:r>
    </w:p>
    <w:p w14:paraId="6BD8A970" w14:textId="77777777" w:rsidR="00814BC6" w:rsidRPr="00820FC5" w:rsidRDefault="00814BC6">
      <w:pPr>
        <w:pStyle w:val="CoverDocType24a"/>
      </w:pPr>
      <w:r w:rsidRPr="00820FC5">
        <w:rPr>
          <w:rStyle w:val="HideTWBExt"/>
          <w:b w:val="0"/>
          <w:noProof w:val="0"/>
        </w:rPr>
        <w:t>&lt;TitreType&gt;</w:t>
      </w:r>
      <w:r w:rsidRPr="00820FC5">
        <w:t>PROJETO DE PROPOSTA DE RESOLUÇÃO</w:t>
      </w:r>
      <w:r w:rsidRPr="00820FC5">
        <w:rPr>
          <w:rStyle w:val="HideTWBExt"/>
          <w:b w:val="0"/>
          <w:noProof w:val="0"/>
        </w:rPr>
        <w:t>&lt;/TitreType&gt;</w:t>
      </w:r>
    </w:p>
    <w:p w14:paraId="71E91CCE" w14:textId="77777777" w:rsidR="00814BC6" w:rsidRPr="00820FC5" w:rsidRDefault="00814BC6">
      <w:pPr>
        <w:pStyle w:val="CoverNormal12a"/>
      </w:pPr>
      <w:r w:rsidRPr="00820FC5">
        <w:rPr>
          <w:rStyle w:val="HideTWBExt"/>
          <w:noProof w:val="0"/>
        </w:rPr>
        <w:t>&lt;TitreSuite&gt;</w:t>
      </w:r>
      <w:r w:rsidRPr="00820FC5">
        <w:t>apresentada na sequência de uma declaração da Comissão</w:t>
      </w:r>
      <w:r w:rsidRPr="00820FC5">
        <w:rPr>
          <w:rStyle w:val="HideTWBExt"/>
          <w:noProof w:val="0"/>
        </w:rPr>
        <w:t>&lt;/TitreSuite&gt;</w:t>
      </w:r>
    </w:p>
    <w:p w14:paraId="1702F310" w14:textId="77777777" w:rsidR="00814BC6" w:rsidRPr="00820FC5" w:rsidRDefault="00814BC6">
      <w:pPr>
        <w:pStyle w:val="CoverNormal12a"/>
      </w:pPr>
      <w:r w:rsidRPr="00820FC5">
        <w:rPr>
          <w:rStyle w:val="HideTWBExt"/>
          <w:noProof w:val="0"/>
        </w:rPr>
        <w:t>&lt;TitreRecueil&gt;</w:t>
      </w:r>
      <w:r w:rsidRPr="00820FC5">
        <w:t xml:space="preserve">nos termos do artigo 132.º, n.º 2, </w:t>
      </w:r>
      <w:bookmarkStart w:id="0" w:name="_GoBack"/>
      <w:bookmarkEnd w:id="0"/>
      <w:r w:rsidRPr="00820FC5">
        <w:t>do Regimento</w:t>
      </w:r>
      <w:r w:rsidRPr="00820FC5">
        <w:rPr>
          <w:rStyle w:val="HideTWBExt"/>
          <w:noProof w:val="0"/>
        </w:rPr>
        <w:t>&lt;/TitreRecueil&gt;</w:t>
      </w:r>
    </w:p>
    <w:p w14:paraId="673379C3" w14:textId="453B0284" w:rsidR="00C23264" w:rsidRPr="00820FC5" w:rsidRDefault="00C23264" w:rsidP="00C23264">
      <w:pPr>
        <w:pStyle w:val="CoverNormal"/>
      </w:pPr>
      <w:r w:rsidRPr="00820FC5">
        <w:rPr>
          <w:rStyle w:val="HideTWBExt"/>
          <w:noProof w:val="0"/>
        </w:rPr>
        <w:t>&lt;Titre&gt;</w:t>
      </w:r>
      <w:r w:rsidRPr="00820FC5">
        <w:t>sobre o acórdão do TJUE de 16 de julho de 2020 — Data Protection Commissioner/Facebook Ireland Limited, Maximillian Schrems («Schrems II») — Processo C-311/18</w:t>
      </w:r>
      <w:r w:rsidRPr="00820FC5">
        <w:rPr>
          <w:rStyle w:val="HideTWBExt"/>
          <w:noProof w:val="0"/>
        </w:rPr>
        <w:t>&lt;/Titre&gt;</w:t>
      </w:r>
    </w:p>
    <w:p w14:paraId="3CD31C96" w14:textId="77777777" w:rsidR="00C23264" w:rsidRPr="00820FC5" w:rsidRDefault="00C23264" w:rsidP="00C23264">
      <w:pPr>
        <w:pStyle w:val="CoverNormal24a"/>
      </w:pPr>
      <w:r w:rsidRPr="00820FC5">
        <w:rPr>
          <w:rStyle w:val="HideTWBExt"/>
          <w:noProof w:val="0"/>
        </w:rPr>
        <w:t>&lt;DocRef&gt;</w:t>
      </w:r>
      <w:r w:rsidRPr="00820FC5">
        <w:t>(2020/2789(RSP))</w:t>
      </w:r>
      <w:r w:rsidRPr="00820FC5">
        <w:rPr>
          <w:rStyle w:val="HideTWBExt"/>
          <w:noProof w:val="0"/>
        </w:rPr>
        <w:t>&lt;/DocRef&gt;</w:t>
      </w:r>
    </w:p>
    <w:p w14:paraId="09FC6BCE" w14:textId="77777777" w:rsidR="002574AA" w:rsidRPr="00820FC5" w:rsidRDefault="002574AA" w:rsidP="002574AA">
      <w:pPr>
        <w:pStyle w:val="CoverBold"/>
      </w:pPr>
      <w:r w:rsidRPr="00820FC5">
        <w:rPr>
          <w:rStyle w:val="HideTWBExt"/>
          <w:b w:val="0"/>
          <w:noProof w:val="0"/>
        </w:rPr>
        <w:t>&lt;RepeatBlock-By&gt;&lt;Depute&gt;</w:t>
      </w:r>
      <w:r w:rsidRPr="00820FC5">
        <w:t>Juan Fernando López Aguilar</w:t>
      </w:r>
      <w:r w:rsidRPr="00820FC5">
        <w:rPr>
          <w:rStyle w:val="HideTWBExt"/>
          <w:b w:val="0"/>
          <w:noProof w:val="0"/>
          <w:color w:val="auto"/>
        </w:rPr>
        <w:t>&lt;/Depute&gt;</w:t>
      </w:r>
    </w:p>
    <w:p w14:paraId="33C071FD" w14:textId="5B0044C3" w:rsidR="002574AA" w:rsidRPr="00820FC5" w:rsidRDefault="002574AA" w:rsidP="002574AA">
      <w:pPr>
        <w:pStyle w:val="CoverNormal"/>
      </w:pPr>
      <w:r w:rsidRPr="00820FC5">
        <w:rPr>
          <w:rStyle w:val="HideTWBExt"/>
          <w:noProof w:val="0"/>
        </w:rPr>
        <w:t>&lt;Commission&gt;</w:t>
      </w:r>
      <w:r w:rsidRPr="00820FC5">
        <w:rPr>
          <w:rStyle w:val="HideTWBInt"/>
        </w:rPr>
        <w:t>{LIBE}</w:t>
      </w:r>
      <w:r w:rsidRPr="00820FC5">
        <w:t>em nome da Comissão das Liberdades Cívicas, da Justiça e dos Assuntos Internos</w:t>
      </w:r>
      <w:r w:rsidRPr="00820FC5">
        <w:rPr>
          <w:rStyle w:val="HideTWBExt"/>
          <w:noProof w:val="0"/>
        </w:rPr>
        <w:t>&lt;/Commission&gt;</w:t>
      </w:r>
    </w:p>
    <w:p w14:paraId="78E1BA91" w14:textId="77777777" w:rsidR="002574AA" w:rsidRPr="00820FC5" w:rsidRDefault="002574AA" w:rsidP="002574AA">
      <w:pPr>
        <w:pStyle w:val="CoverNormal"/>
      </w:pPr>
      <w:r w:rsidRPr="00820FC5">
        <w:rPr>
          <w:rStyle w:val="HideTWBExt"/>
          <w:noProof w:val="0"/>
        </w:rPr>
        <w:t>&lt;/RepeatBlock-By&gt;</w:t>
      </w:r>
    </w:p>
    <w:p w14:paraId="06BF4DB5" w14:textId="77777777" w:rsidR="00814BC6" w:rsidRPr="00820FC5" w:rsidRDefault="00814BC6">
      <w:pPr>
        <w:pStyle w:val="NormalBold12a"/>
      </w:pPr>
      <w:r w:rsidRPr="00820FC5">
        <w:br w:type="page"/>
      </w:r>
      <w:r w:rsidRPr="00820FC5">
        <w:lastRenderedPageBreak/>
        <w:t>B9</w:t>
      </w:r>
      <w:r w:rsidRPr="00820FC5">
        <w:noBreakHyphen/>
        <w:t>0000/2021</w:t>
      </w:r>
    </w:p>
    <w:p w14:paraId="7414C422" w14:textId="5E355FC9" w:rsidR="00C23264" w:rsidRPr="00820FC5" w:rsidRDefault="001E1556" w:rsidP="00C23264">
      <w:pPr>
        <w:pStyle w:val="NormalBold"/>
      </w:pPr>
      <w:r w:rsidRPr="00820FC5">
        <w:t>Resolução do Parlamento Europeu sobre o acórdão do TJUE de 16 de julho de 2020 — Data Protection Commissioner/Facebook Ireland Limited, Maximillian Schrems («Schrems II») — Processo C-311/18</w:t>
      </w:r>
    </w:p>
    <w:p w14:paraId="5BB55312" w14:textId="77777777" w:rsidR="00C23264" w:rsidRPr="00820FC5" w:rsidRDefault="00F510C8" w:rsidP="00DF7943">
      <w:pPr>
        <w:pStyle w:val="NormalBold"/>
      </w:pPr>
      <w:r w:rsidRPr="00820FC5">
        <w:t>(2020/2789(RSP))</w:t>
      </w:r>
    </w:p>
    <w:p w14:paraId="5640CA28" w14:textId="77777777" w:rsidR="00814BC6" w:rsidRPr="00820FC5" w:rsidRDefault="00F510C8">
      <w:pPr>
        <w:pStyle w:val="EPComma"/>
      </w:pPr>
      <w:r w:rsidRPr="00820FC5">
        <w:t>O Parlamento Europeu,</w:t>
      </w:r>
    </w:p>
    <w:p w14:paraId="0E983A99" w14:textId="345AD13F" w:rsidR="00814BC6" w:rsidRPr="00820FC5" w:rsidRDefault="00814BC6">
      <w:pPr>
        <w:pStyle w:val="NormalHanging12a"/>
      </w:pPr>
      <w:r w:rsidRPr="00820FC5">
        <w:t>–</w:t>
      </w:r>
      <w:r w:rsidRPr="00820FC5">
        <w:tab/>
        <w:t>Tendo em conta a Carta dos Direitos Fundamentais da União Europeia, em especial os artigos 7.º, 8.º, 47.º e 52.º,</w:t>
      </w:r>
    </w:p>
    <w:p w14:paraId="74E75821" w14:textId="2D5694F1" w:rsidR="001E1556" w:rsidRPr="00820FC5" w:rsidRDefault="001E1556" w:rsidP="003A76FC">
      <w:pPr>
        <w:widowControl/>
        <w:spacing w:after="240"/>
        <w:ind w:left="567" w:hanging="567"/>
      </w:pPr>
      <w:r w:rsidRPr="00820FC5">
        <w:t>–</w:t>
      </w:r>
      <w:r w:rsidRPr="00820FC5">
        <w:tab/>
        <w:t>Tendo em conta o acórdão do Tribunal de Justiça, de 16 de julho de 2020, no processo C-311/18, Data Protection Commissioner/Facebook Ireland Limited e Maximillian Schrems</w:t>
      </w:r>
      <w:r w:rsidRPr="00820FC5">
        <w:rPr>
          <w:vertAlign w:val="superscript"/>
        </w:rPr>
        <w:footnoteReference w:id="1"/>
      </w:r>
      <w:r w:rsidRPr="00820FC5">
        <w:t xml:space="preserve"> («Schrems II»);</w:t>
      </w:r>
    </w:p>
    <w:p w14:paraId="6126C222" w14:textId="77777777" w:rsidR="003A76FC" w:rsidRPr="00820FC5" w:rsidRDefault="003A76FC" w:rsidP="003A76FC">
      <w:pPr>
        <w:pStyle w:val="NormalHanging12a"/>
      </w:pPr>
      <w:r w:rsidRPr="00820FC5">
        <w:t>–</w:t>
      </w:r>
      <w:r w:rsidRPr="00820FC5">
        <w:tab/>
        <w:t>Tendo em conta o acórdão do Tribunal de Justiça da União Europeia, de 6 de outubro de 2015, no processo C-362/14, Maximillian Schrems/Data Protection Commissioner</w:t>
      </w:r>
      <w:r w:rsidRPr="00820FC5">
        <w:rPr>
          <w:vertAlign w:val="superscript"/>
        </w:rPr>
        <w:footnoteReference w:id="2"/>
      </w:r>
      <w:r w:rsidRPr="00820FC5">
        <w:t xml:space="preserve"> («Schrems I»);</w:t>
      </w:r>
    </w:p>
    <w:p w14:paraId="26F28811" w14:textId="77777777" w:rsidR="003A76FC" w:rsidRPr="00820FC5" w:rsidRDefault="003A76FC" w:rsidP="003A76FC">
      <w:pPr>
        <w:pStyle w:val="NormalHanging12a"/>
      </w:pPr>
      <w:r w:rsidRPr="00820FC5">
        <w:t>–</w:t>
      </w:r>
      <w:r w:rsidRPr="00820FC5">
        <w:tab/>
        <w:t xml:space="preserve">Tendo em conta o acórdão do Tribunal de Justiça da União Europeia, de 6 de outubro de 2020, no processo </w:t>
      </w:r>
      <w:bookmarkStart w:id="1" w:name="pagePrincipale"/>
      <w:bookmarkEnd w:id="1"/>
      <w:r w:rsidRPr="00820FC5">
        <w:t>C</w:t>
      </w:r>
      <w:r w:rsidRPr="00820FC5">
        <w:noBreakHyphen/>
        <w:t>623/17, Privacy International/Secretary of State of Foreign and Commonwealth affairs</w:t>
      </w:r>
      <w:r w:rsidRPr="00820FC5">
        <w:rPr>
          <w:vertAlign w:val="superscript"/>
        </w:rPr>
        <w:footnoteReference w:id="3"/>
      </w:r>
      <w:r w:rsidRPr="00820FC5">
        <w:t>;</w:t>
      </w:r>
    </w:p>
    <w:p w14:paraId="415AC0D4" w14:textId="77777777" w:rsidR="003A76FC" w:rsidRPr="00820FC5" w:rsidRDefault="003A76FC" w:rsidP="003A76FC">
      <w:pPr>
        <w:pStyle w:val="NormalHanging12a"/>
      </w:pPr>
      <w:r w:rsidRPr="00820FC5">
        <w:t>–</w:t>
      </w:r>
      <w:r w:rsidRPr="00820FC5">
        <w:tab/>
        <w:t>Tendo em conta a sua resolução, de 5 de julho de 2018, sobre o nível de proteção adequado assegurado pelo escudo de proteção da privacidade UE-EUA</w:t>
      </w:r>
      <w:r w:rsidRPr="00820FC5">
        <w:rPr>
          <w:vertAlign w:val="superscript"/>
        </w:rPr>
        <w:footnoteReference w:id="4"/>
      </w:r>
      <w:r w:rsidRPr="00820FC5">
        <w:t xml:space="preserve">, </w:t>
      </w:r>
    </w:p>
    <w:p w14:paraId="51A457E3" w14:textId="77777777" w:rsidR="003A76FC" w:rsidRPr="00820FC5" w:rsidRDefault="003A76FC" w:rsidP="003A76FC">
      <w:pPr>
        <w:pStyle w:val="NormalHanging12a"/>
      </w:pPr>
      <w:r w:rsidRPr="00820FC5">
        <w:t>–</w:t>
      </w:r>
      <w:r w:rsidRPr="00820FC5">
        <w:tab/>
        <w:t>Tendo em conta a sua resolução, de 25 de outubro de 2018, sobre a utilização pela Cambridge Analytica de dados dos utilizadores do Facebook e o impacto na proteção de dados</w:t>
      </w:r>
      <w:r w:rsidRPr="00820FC5">
        <w:rPr>
          <w:vertAlign w:val="superscript"/>
        </w:rPr>
        <w:footnoteReference w:id="5"/>
      </w:r>
      <w:r w:rsidRPr="00820FC5">
        <w:t xml:space="preserve">; </w:t>
      </w:r>
    </w:p>
    <w:p w14:paraId="28CC7542" w14:textId="77777777" w:rsidR="003A76FC" w:rsidRPr="00820FC5" w:rsidRDefault="003A76FC" w:rsidP="003A76FC">
      <w:pPr>
        <w:pStyle w:val="NormalHanging12a"/>
      </w:pPr>
      <w:r w:rsidRPr="00820FC5">
        <w:t>–</w:t>
      </w:r>
      <w:r w:rsidRPr="00820FC5">
        <w:tab/>
        <w:t>Tendo em conta a sua resolução, de 23 de novembro de 2020, sobre a revisão da política comercial da UE</w:t>
      </w:r>
      <w:r w:rsidRPr="00820FC5">
        <w:rPr>
          <w:vertAlign w:val="superscript"/>
        </w:rPr>
        <w:footnoteReference w:id="6"/>
      </w:r>
      <w:r w:rsidRPr="00820FC5">
        <w:t xml:space="preserve">; </w:t>
      </w:r>
    </w:p>
    <w:p w14:paraId="46BB3DFE" w14:textId="77777777" w:rsidR="003A76FC" w:rsidRPr="00820FC5" w:rsidRDefault="003A76FC" w:rsidP="003A76FC">
      <w:pPr>
        <w:pStyle w:val="NormalHanging12a"/>
      </w:pPr>
      <w:r w:rsidRPr="00820FC5">
        <w:t>–</w:t>
      </w:r>
      <w:r w:rsidRPr="00820FC5">
        <w:tab/>
        <w:t>Tendo em conta o Regulamento (UE) 2016/679 (Regulamento Geral sobre a Proteção de Dados, a seguir «RGPD»)</w:t>
      </w:r>
      <w:r w:rsidRPr="00820FC5">
        <w:rPr>
          <w:vertAlign w:val="superscript"/>
        </w:rPr>
        <w:footnoteReference w:id="7"/>
      </w:r>
      <w:r w:rsidRPr="00820FC5">
        <w:t xml:space="preserve">; </w:t>
      </w:r>
    </w:p>
    <w:p w14:paraId="18460B06" w14:textId="77777777" w:rsidR="003A76FC" w:rsidRPr="00820FC5" w:rsidRDefault="003A76FC" w:rsidP="003A76FC">
      <w:pPr>
        <w:pStyle w:val="NormalHanging12a"/>
      </w:pPr>
      <w:r w:rsidRPr="00820FC5">
        <w:t>–</w:t>
      </w:r>
      <w:r w:rsidRPr="00820FC5">
        <w:tab/>
        <w:t xml:space="preserve">Tendo em conta as Recomendações 01/2020, do Comité Europeu para a Proteção de </w:t>
      </w:r>
      <w:r w:rsidRPr="00820FC5">
        <w:lastRenderedPageBreak/>
        <w:t>Dados, relativas às medidas complementares aos instrumentos de transferência para assegurar o cumprimento do nível de proteção dos dados pessoais da UE, e 02/2020 sobre as garantias essenciais europeias relativas às medidas de vigilância</w:t>
      </w:r>
      <w:r w:rsidRPr="00820FC5">
        <w:rPr>
          <w:vertAlign w:val="superscript"/>
        </w:rPr>
        <w:footnoteReference w:id="8"/>
      </w:r>
      <w:r w:rsidRPr="00820FC5">
        <w:t>;</w:t>
      </w:r>
    </w:p>
    <w:p w14:paraId="52219F2C" w14:textId="77777777" w:rsidR="00ED22B8" w:rsidRPr="00820FC5" w:rsidRDefault="00ED22B8" w:rsidP="00ED22B8">
      <w:pPr>
        <w:pStyle w:val="NormalHanging12a"/>
      </w:pPr>
      <w:r w:rsidRPr="00820FC5">
        <w:t>–</w:t>
      </w:r>
      <w:r w:rsidRPr="00820FC5">
        <w:tab/>
        <w:t>Tendo em conta o artigo 132.º, n.º 2, do seu Regimento,</w:t>
      </w:r>
    </w:p>
    <w:p w14:paraId="6EE44B73" w14:textId="14A89C72" w:rsidR="00814BC6" w:rsidRPr="00820FC5" w:rsidRDefault="001C31D8" w:rsidP="001C31D8">
      <w:pPr>
        <w:pStyle w:val="NormalHanging12a"/>
        <w:ind w:hanging="566"/>
      </w:pPr>
      <w:r w:rsidRPr="00820FC5">
        <w:t>A.</w:t>
      </w:r>
      <w:r w:rsidRPr="00820FC5">
        <w:tab/>
        <w:t>Considerando que o Tribunal de Justiça da UE (TJUE), no seu acórdão «Schrems I», salientou que o acesso indiscriminado dos serviços de informação ao conteúdo das comunicações eletrónicas viola o conteúdo essencial do direito à confidencialidade das comunicações, tal como previsto no artigo 7.º da Carta;</w:t>
      </w:r>
    </w:p>
    <w:p w14:paraId="472F6D45" w14:textId="54928942" w:rsidR="00250718" w:rsidRPr="00820FC5" w:rsidRDefault="001C31D8" w:rsidP="001C31D8">
      <w:pPr>
        <w:pStyle w:val="NormalHanging12a"/>
        <w:ind w:hanging="566"/>
      </w:pPr>
      <w:r w:rsidRPr="00820FC5">
        <w:t>B.</w:t>
      </w:r>
      <w:r w:rsidRPr="00820FC5">
        <w:tab/>
        <w:t>Considerando que o Tribunal de Justiça, no acórdão «Schrems II», salientou que os Estados Unidos (EUA) não preveem vias de recurso adequadas para pessoas não americanas contra a vigilância em larga escala, o que viola o conteúdo essencial do direito à tutela jurisdicional efetiva previsto no artigo 47.º da Carta;</w:t>
      </w:r>
    </w:p>
    <w:p w14:paraId="017FB887" w14:textId="464EB56A" w:rsidR="00250718" w:rsidRPr="00820FC5" w:rsidRDefault="001C31D8" w:rsidP="001C31D8">
      <w:pPr>
        <w:pStyle w:val="NormalHanging12a"/>
        <w:ind w:hanging="566"/>
      </w:pPr>
      <w:r w:rsidRPr="00820FC5">
        <w:t>C.</w:t>
      </w:r>
      <w:r w:rsidRPr="00820FC5">
        <w:tab/>
        <w:t>Considerando que, na sua resolução de 25 de outubro de 2018, o Parlamento Europeu já tinha instado a Comissão a suspender o Escudo de Proteção da Privacidade;</w:t>
      </w:r>
    </w:p>
    <w:p w14:paraId="1BD6B8F6" w14:textId="77777777" w:rsidR="00250718" w:rsidRPr="00820FC5" w:rsidRDefault="00250718" w:rsidP="00250718">
      <w:pPr>
        <w:pStyle w:val="NormalHanging12a"/>
        <w:ind w:left="1" w:firstLine="0"/>
      </w:pPr>
      <w:r w:rsidRPr="00820FC5">
        <w:rPr>
          <w:b/>
          <w:bCs/>
          <w:i/>
          <w:iCs/>
        </w:rPr>
        <w:t>OBSERVAÇÕES GERAIS</w:t>
      </w:r>
    </w:p>
    <w:p w14:paraId="17826566" w14:textId="7E560143" w:rsidR="00814BC6" w:rsidRPr="00820FC5" w:rsidRDefault="001C31D8" w:rsidP="001C31D8">
      <w:pPr>
        <w:pStyle w:val="NormalHanging12a"/>
        <w:ind w:hanging="566"/>
      </w:pPr>
      <w:r w:rsidRPr="00820FC5">
        <w:t>1.</w:t>
      </w:r>
      <w:r w:rsidRPr="00820FC5">
        <w:tab/>
        <w:t>Toma nota do acórdão do TJUE de 16 de julho de 2020, no qual o Tribunal confirmou a validade da Decisão 2010/87 relativa às cláusulas contratuais-tipo (CCT), considerando-as um mecanismo eficaz para garantir o respeito do nível de proteção previsto no direito da UE; observa ainda que o Tribunal declarou que a Decisão 2016/1250 da Comissão, relativa ao nível de proteção assegurado pelo Escudo de Proteção da Privacidade UE-EUA, é inválida;</w:t>
      </w:r>
    </w:p>
    <w:p w14:paraId="0078C998" w14:textId="153BE441" w:rsidR="00A462B1" w:rsidRPr="00820FC5" w:rsidRDefault="001C31D8" w:rsidP="001C31D8">
      <w:pPr>
        <w:pStyle w:val="NormalHanging12a"/>
        <w:ind w:hanging="566"/>
      </w:pPr>
      <w:r w:rsidRPr="00820FC5">
        <w:t>2.</w:t>
      </w:r>
      <w:r w:rsidRPr="00820FC5">
        <w:tab/>
        <w:t>Considera que o acórdão do TJUE tem implicações significativas para as decisões de adequação relativas a países terceiros; reafirma a necessidade de clareza e segurança jurídicas;</w:t>
      </w:r>
    </w:p>
    <w:p w14:paraId="34DA8BA6" w14:textId="4BA85E71" w:rsidR="00A462B1" w:rsidRPr="00820FC5" w:rsidRDefault="001C31D8" w:rsidP="001C31D8">
      <w:pPr>
        <w:pStyle w:val="NormalHanging12a"/>
        <w:ind w:hanging="566"/>
      </w:pPr>
      <w:r w:rsidRPr="00820FC5">
        <w:t>3.</w:t>
      </w:r>
      <w:r w:rsidRPr="00820FC5">
        <w:tab/>
        <w:t>Manifesta preocupação pelo facto de todo o processo «Schrems II» ter sido iniciado pelo Irish Data Protection Commissioner [Comissário para a Proteção de Dados irlandês], quando este podia ter tomado uma decisão no âmbito das suas competências ao abrigo do artigo 58.º do RGPD; manifesta profunda preocupação pelo facto de várias queixas por violações do RGPD, apresentadas em 25 de maio de 2018, ainda não terem sido decididas pelo Comissário para a Proteção de Dados irlandês, que é a autoridade principal para estes casos; condena veementemente a tentativa, por parte da autoridade irlandesa de proteção de dados, de transferir os custos do processo judicial para Maximilian Schrems, o que teria provocado um enorme efeito dissuasor; insta a Comissão a iniciar processos por infração contra a Irlanda, por não executar corretamente o RGPD;</w:t>
      </w:r>
    </w:p>
    <w:p w14:paraId="1689259E" w14:textId="3740CA94" w:rsidR="00BF6571" w:rsidRPr="00820FC5" w:rsidRDefault="001C31D8" w:rsidP="001C31D8">
      <w:pPr>
        <w:pStyle w:val="NormalHanging12a"/>
        <w:ind w:hanging="566"/>
      </w:pPr>
      <w:r w:rsidRPr="00820FC5">
        <w:t>4.</w:t>
      </w:r>
      <w:r w:rsidRPr="00820FC5">
        <w:tab/>
        <w:t xml:space="preserve">Insta a Comissão a publicar novas orientações sobre transferências internacionais de dados para as empresas, designadamente para as PME, incluindo sobre as salvaguardas </w:t>
      </w:r>
      <w:r w:rsidRPr="00820FC5">
        <w:lastRenderedPageBreak/>
        <w:t>adicionais necessárias para as transferências através de CCT;</w:t>
      </w:r>
    </w:p>
    <w:p w14:paraId="24D1A15F" w14:textId="202FFCBA" w:rsidR="00BF6571" w:rsidRPr="00820FC5" w:rsidRDefault="00BF6571" w:rsidP="00BF6571">
      <w:pPr>
        <w:pStyle w:val="NormalHanging12a"/>
        <w:ind w:left="1" w:firstLine="0"/>
      </w:pPr>
      <w:r w:rsidRPr="00820FC5">
        <w:rPr>
          <w:b/>
          <w:i/>
        </w:rPr>
        <w:t>CLÁUSULAS CONTRATUAIS-TIPO</w:t>
      </w:r>
    </w:p>
    <w:p w14:paraId="50727A17" w14:textId="3317E88A" w:rsidR="00BF6571" w:rsidRPr="00820FC5" w:rsidRDefault="001C31D8" w:rsidP="001C31D8">
      <w:pPr>
        <w:pStyle w:val="NormalHanging12a"/>
        <w:ind w:hanging="566"/>
      </w:pPr>
      <w:r w:rsidRPr="00820FC5">
        <w:t>5.</w:t>
      </w:r>
      <w:r w:rsidRPr="00820FC5">
        <w:tab/>
        <w:t>Toma nota do projeto de decisão de execução da Comissão e dos projetos de CCT; congratula-se com o facto de a Comissão estar atualmente a procurar recolher reações das partes interessadas sobre estes projetos;</w:t>
      </w:r>
    </w:p>
    <w:p w14:paraId="51C87763" w14:textId="747E79E9" w:rsidR="00BF6571" w:rsidRPr="00820FC5" w:rsidRDefault="001C31D8" w:rsidP="001C31D8">
      <w:pPr>
        <w:pStyle w:val="NormalHanging12a"/>
        <w:ind w:hanging="566"/>
      </w:pPr>
      <w:r w:rsidRPr="00820FC5">
        <w:t>6.</w:t>
      </w:r>
      <w:r w:rsidRPr="00820FC5">
        <w:tab/>
        <w:t xml:space="preserve">Regista as Recomendações 01/2020 do Comité Europeu para a Proteção de Dados (CEPD), relativas às medidas complementares aos instrumentos de transferência para assegurar o cumprimento do nível de proteção dos dados pessoais da UE; manifesta a sua preocupação com os potenciais conflitos destas recomendações com a proposta da Comissão relativa aos conselhos consultivos internos; considera que são necessárias orientações mais detalhadas do CEPD; </w:t>
      </w:r>
    </w:p>
    <w:p w14:paraId="396927EB" w14:textId="23D07BC0" w:rsidR="00BF6571" w:rsidRPr="00820FC5" w:rsidRDefault="001C31D8" w:rsidP="001C31D8">
      <w:pPr>
        <w:pStyle w:val="NormalHanging12a"/>
        <w:ind w:hanging="566"/>
      </w:pPr>
      <w:r w:rsidRPr="00820FC5">
        <w:t>7.</w:t>
      </w:r>
      <w:r w:rsidRPr="00820FC5">
        <w:tab/>
        <w:t>Considera fundamental que as empresas da UE recorram a mecanismos sólidos, em conformidade com o acórdão do TJUE; entende, a este respeito, que a atual proposta da Comissão relativa a um modelo de CCT deve ter devidamente em conta todas as recomendações pertinentes; apoia um conjunto de medidas suplementares, por exemplo, a certificação de segurança e as salvaguardas de encriptação, aceites pelas entidades reguladoras;</w:t>
      </w:r>
    </w:p>
    <w:p w14:paraId="4334779F" w14:textId="32F02EF4" w:rsidR="00BF6571" w:rsidRPr="00820FC5" w:rsidRDefault="001C31D8" w:rsidP="001C31D8">
      <w:pPr>
        <w:pStyle w:val="NormalHanging12a"/>
        <w:ind w:hanging="566"/>
      </w:pPr>
      <w:r w:rsidRPr="00820FC5">
        <w:t>8.</w:t>
      </w:r>
      <w:r w:rsidRPr="00820FC5">
        <w:tab/>
        <w:t>Salienta que, para os responsáveis pelo tratamento de dados abrangidos pelo âmbito de aplicação da Foreign Intelligence Surveillance Act dos EUA, não é possível transferir dados pessoais da União ao abrigo destas CCT, devido ao elevado risco de vigilância em larga escala; só uma reforma global das práticas de vigilância nos EUA pode resolver este problema de forma sustentável e proporcionar segurança jurídica às empresas e aos titulares dos dados;</w:t>
      </w:r>
    </w:p>
    <w:p w14:paraId="39276751" w14:textId="70DCCAE0" w:rsidR="00BF6571" w:rsidRPr="00820FC5" w:rsidRDefault="001C31D8" w:rsidP="001C31D8">
      <w:pPr>
        <w:pStyle w:val="NormalHanging12a"/>
        <w:ind w:hanging="566"/>
      </w:pPr>
      <w:r w:rsidRPr="00820FC5">
        <w:t>9.</w:t>
      </w:r>
      <w:r w:rsidRPr="00820FC5">
        <w:tab/>
        <w:t>Recorda que um grande número de PME recorre às CCT; salienta que as empresas e as PME necessitam urgentemente de orientações e assistência claras na aplicação e interpretação do acórdão do Tribunal;</w:t>
      </w:r>
    </w:p>
    <w:p w14:paraId="73B6FF38" w14:textId="3F7C1FC2" w:rsidR="00BF6571" w:rsidRPr="00820FC5" w:rsidRDefault="001C31D8" w:rsidP="001C31D8">
      <w:pPr>
        <w:pStyle w:val="NormalHanging12a"/>
        <w:ind w:hanging="566"/>
      </w:pPr>
      <w:r w:rsidRPr="00820FC5">
        <w:t>10.</w:t>
      </w:r>
      <w:r w:rsidRPr="00820FC5">
        <w:tab/>
        <w:t>Destaca o poder de negociação e a capacidade jurídica limitados das PME europeias que, através das autoavaliações da adequação de países terceiros previstas, deverão determinar os complexos quadros jurídicos dos diferentes países terceiros; insta a Comissão e o CEPD a analisar exaustivamente a necessidade e viabilidade de quaisquer medidas suplementares necessárias, especialmente para as PME;</w:t>
      </w:r>
    </w:p>
    <w:p w14:paraId="7E0D5CA8" w14:textId="231D8B77" w:rsidR="00BF6571" w:rsidRPr="00820FC5" w:rsidRDefault="001C31D8" w:rsidP="001C31D8">
      <w:pPr>
        <w:pStyle w:val="NormalHanging12a"/>
        <w:ind w:hanging="566"/>
      </w:pPr>
      <w:r w:rsidRPr="00820FC5">
        <w:t>11.</w:t>
      </w:r>
      <w:r w:rsidRPr="00820FC5">
        <w:tab/>
        <w:t>Insta as autoridades nacionais de controlo a utilizar, nesses casos, os respetivos poderes referidos no artigo 3.º do projeto de decisão de execução e nos termos do artigo 58.º do RGPD;</w:t>
      </w:r>
    </w:p>
    <w:p w14:paraId="09D6268F" w14:textId="528C5193" w:rsidR="00BF6571" w:rsidRPr="00820FC5" w:rsidRDefault="00BF6571" w:rsidP="00BF6571">
      <w:pPr>
        <w:pStyle w:val="NormalHanging12a"/>
        <w:ind w:left="1" w:firstLine="0"/>
      </w:pPr>
      <w:r w:rsidRPr="00820FC5">
        <w:rPr>
          <w:b/>
          <w:i/>
        </w:rPr>
        <w:t>ESCUDO DE PROTEÇÃO DA PRIVACIDADE</w:t>
      </w:r>
    </w:p>
    <w:p w14:paraId="038B72A1" w14:textId="36CA07D9" w:rsidR="00BF6571" w:rsidRPr="00820FC5" w:rsidRDefault="001C31D8" w:rsidP="001C31D8">
      <w:pPr>
        <w:pStyle w:val="NormalHanging12a"/>
        <w:ind w:hanging="566"/>
      </w:pPr>
      <w:r w:rsidRPr="00820FC5">
        <w:t>12.</w:t>
      </w:r>
      <w:r w:rsidRPr="00820FC5">
        <w:tab/>
        <w:t xml:space="preserve">Observa que, apesar das melhorias introduzidas no Escudo de Proteção da Privacidade em comparação com os acordos de «porto seguro», o TJUE considerou que o escudo de proteção da privacidade UE-EUA não garante um nível de proteção substancialmente equivalente - e, por conseguinte, adequado - ao proporcionado pelo RGPD e pela Carta, em particular devido às condições estabelecidas no que diz respeito ao acesso das </w:t>
      </w:r>
      <w:r w:rsidRPr="00820FC5">
        <w:lastRenderedPageBreak/>
        <w:t>autoridades públicas dos EUA aos dados pessoais transferidos ao abrigo do Escudo de Proteção da Privacidade e à ausência de direitos passíveis de recurso para os titulares de dados da UE nos tribunais norte-americanos contra as autoridades norte-americanas;</w:t>
      </w:r>
    </w:p>
    <w:p w14:paraId="26CF2723" w14:textId="7D5FB3CE" w:rsidR="00BF6571" w:rsidRPr="00820FC5" w:rsidRDefault="001C31D8" w:rsidP="001C31D8">
      <w:pPr>
        <w:pStyle w:val="NormalHanging12a"/>
        <w:ind w:hanging="566"/>
      </w:pPr>
      <w:r w:rsidRPr="00820FC5">
        <w:t>13.</w:t>
      </w:r>
      <w:r w:rsidRPr="00820FC5">
        <w:tab/>
        <w:t>Recorda a resolução do Parlamento de 2018 sobre o Escudo de Proteção da Privacidade, que sublinhou o risco de o Escudo de Proteção da Privacidade ser declarado inválido pelo TUJE;</w:t>
      </w:r>
    </w:p>
    <w:p w14:paraId="7FF8DF33" w14:textId="0C61E4F7" w:rsidR="00BF6571" w:rsidRPr="00820FC5" w:rsidRDefault="00BF6571" w:rsidP="00BF6571">
      <w:pPr>
        <w:pStyle w:val="NormalHanging12a"/>
        <w:spacing w:before="240"/>
        <w:ind w:left="1" w:firstLine="0"/>
      </w:pPr>
      <w:r w:rsidRPr="00820FC5">
        <w:rPr>
          <w:b/>
          <w:i/>
        </w:rPr>
        <w:t>VIGILÂNCIA EM LARGA ESCALA E QUADRO JURÍDICO</w:t>
      </w:r>
    </w:p>
    <w:p w14:paraId="5CEDF62D" w14:textId="3A8437DC" w:rsidR="00BF6571" w:rsidRPr="00820FC5" w:rsidRDefault="001C31D8" w:rsidP="001C31D8">
      <w:pPr>
        <w:pStyle w:val="NormalHanging12a"/>
        <w:ind w:hanging="566"/>
      </w:pPr>
      <w:r w:rsidRPr="00820FC5">
        <w:t>14.</w:t>
      </w:r>
      <w:r w:rsidRPr="00820FC5">
        <w:tab/>
        <w:t>Incentiva a Comissão a continuar a monitorizar a utilização de tecnologias de vigilância em larga escala no Reino Unido;</w:t>
      </w:r>
    </w:p>
    <w:p w14:paraId="5DCAA0DA" w14:textId="26197AAE" w:rsidR="00BF6571" w:rsidRPr="00820FC5" w:rsidRDefault="001C31D8" w:rsidP="001C31D8">
      <w:pPr>
        <w:pStyle w:val="NormalHanging12a"/>
        <w:ind w:hanging="566"/>
      </w:pPr>
      <w:r w:rsidRPr="00820FC5">
        <w:t>15.</w:t>
      </w:r>
      <w:r w:rsidRPr="00820FC5">
        <w:tab/>
        <w:t>Salienta que nem a California Consumer Privacy Act (CCPA) nos EUA nem nenhuma das propostas federais até à data satisfazem os requisitos do RGPD para um nível de proteção adequado; incentiva o legislador federal dos EUA a aprovar uma lei federal sólida e abrangente em matéria de proteção de dados e privacidade a nível nacional, que cumpra esses requisitos;</w:t>
      </w:r>
    </w:p>
    <w:p w14:paraId="60391FF9" w14:textId="5507C4E5" w:rsidR="00BF6571" w:rsidRPr="00820FC5" w:rsidRDefault="001C31D8" w:rsidP="001C31D8">
      <w:pPr>
        <w:pStyle w:val="NormalHanging12a"/>
        <w:ind w:hanging="566"/>
      </w:pPr>
      <w:r w:rsidRPr="00820FC5">
        <w:t>16.</w:t>
      </w:r>
      <w:r w:rsidRPr="00820FC5">
        <w:tab/>
        <w:t>Salienta que essa legislação em matéria de proteção de dados e privacidade dos consumidores não resolverá, por si só, os problemas fundamentais constatados pelo Tribunal no que diz respeito à vigilância em larga escala por parte dos serviços de informações dos EUA e o acesso insuficiente à tutela jurisdicional; incentiva o legislador federal dos EUA a reconsiderar as alterações à secção 702 do FISA Act, ao Decreto Presidencial 12333 e à Presidential Policy Directive 28, nomeadamente no que diz respeito à concessão do mesmo nível de proteção entre cidadãos da UE e dos EUA;</w:t>
      </w:r>
    </w:p>
    <w:p w14:paraId="39D79FD9" w14:textId="4D78380C" w:rsidR="00BF6571" w:rsidRPr="00820FC5" w:rsidRDefault="00BF6571" w:rsidP="00BF6571">
      <w:pPr>
        <w:pStyle w:val="NormalHanging12a"/>
        <w:ind w:left="1" w:firstLine="0"/>
      </w:pPr>
      <w:r w:rsidRPr="00820FC5">
        <w:rPr>
          <w:b/>
          <w:i/>
        </w:rPr>
        <w:t>DECISÕES DE ADEQUAÇÃO</w:t>
      </w:r>
    </w:p>
    <w:p w14:paraId="00A43691" w14:textId="4893C986" w:rsidR="00BF6571" w:rsidRPr="00820FC5" w:rsidRDefault="001C31D8" w:rsidP="001C31D8">
      <w:pPr>
        <w:pStyle w:val="NormalHanging12a"/>
        <w:ind w:hanging="566"/>
      </w:pPr>
      <w:r w:rsidRPr="00820FC5">
        <w:t>17.</w:t>
      </w:r>
      <w:r w:rsidRPr="00820FC5">
        <w:tab/>
        <w:t>Insta a Comissão a tomar todas as medidas necessárias para assegurar que qualquer acordo adicional com os EUA cumpra plenamente o Regulamento (UE) 2016/679, a Carta dos Direitos Fundamentais da UE e todos os aspetos do acórdão do TJUE;</w:t>
      </w:r>
    </w:p>
    <w:p w14:paraId="5121FE11" w14:textId="5621A460" w:rsidR="00BF6571" w:rsidRPr="00820FC5" w:rsidRDefault="001C31D8" w:rsidP="001C31D8">
      <w:pPr>
        <w:pStyle w:val="NormalHanging12a"/>
        <w:ind w:hanging="566"/>
      </w:pPr>
      <w:r w:rsidRPr="00820FC5">
        <w:t>18.</w:t>
      </w:r>
      <w:r w:rsidRPr="00820FC5">
        <w:tab/>
        <w:t>Recorda a obrigação da Comissão de rever todas as decisões de adequação aprovadas ao abrigo da Diretiva 95/46, em aplicação das conclusões dos acórdãos «Schrems I e II» para avaliar se é concedido um nível de proteção substancialmente equivalente;</w:t>
      </w:r>
    </w:p>
    <w:p w14:paraId="3ABA9745" w14:textId="3C48E7D7" w:rsidR="00BF6571" w:rsidRPr="00820FC5" w:rsidRDefault="001C31D8" w:rsidP="001C31D8">
      <w:pPr>
        <w:pStyle w:val="NormalHanging12a"/>
        <w:ind w:hanging="566"/>
      </w:pPr>
      <w:r w:rsidRPr="00820FC5">
        <w:t>19.</w:t>
      </w:r>
      <w:r w:rsidRPr="00820FC5">
        <w:tab/>
        <w:t>Insta a Comissão a não aprovar qualquer nova decisão de adequação em relação aos EUA, a menos que sejam introduzidas reformas significativas das leis e práticas no domínio do acesso à informação por parte das autoridades públicas, sobretudo para fins de segurança nacional e de informações;</w:t>
      </w:r>
    </w:p>
    <w:p w14:paraId="4D5DE174" w14:textId="416E086C" w:rsidR="00BF6571" w:rsidRPr="00820FC5" w:rsidRDefault="001C31D8" w:rsidP="001C31D8">
      <w:pPr>
        <w:pStyle w:val="NormalHanging12a"/>
        <w:ind w:hanging="566"/>
      </w:pPr>
      <w:r w:rsidRPr="00820FC5">
        <w:t>20.</w:t>
      </w:r>
      <w:r w:rsidRPr="00820FC5">
        <w:tab/>
        <w:t>Insta a Comissão a publicar uma lista atualizada dos critérios que tem em conta ao avaliar a elegibilidade de um país terceiro para uma decisão de adequação;</w:t>
      </w:r>
    </w:p>
    <w:p w14:paraId="332C3C2E" w14:textId="3FD09EEF" w:rsidR="00BF6571" w:rsidRPr="00820FC5" w:rsidRDefault="001C31D8" w:rsidP="001C31D8">
      <w:pPr>
        <w:pStyle w:val="NormalHanging12a"/>
        <w:ind w:hanging="566"/>
      </w:pPr>
      <w:r w:rsidRPr="00820FC5">
        <w:t>21.</w:t>
      </w:r>
      <w:r w:rsidRPr="00820FC5">
        <w:tab/>
        <w:t>Encarrega o seu Presidente de transmitir a presente resolução à Comissão, ao Conselho Europeu, ao Conselho, ao CEPD e aos parlamentos nacionais;</w:t>
      </w:r>
    </w:p>
    <w:sectPr w:rsidR="00BF6571" w:rsidRPr="00820FC5" w:rsidSect="00724A6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Restart w:val="eachSect"/>
      </w:footnotePr>
      <w:endnotePr>
        <w:numFmt w:val="decimal"/>
      </w:endnotePr>
      <w:pgSz w:w="11906" w:h="16838" w:code="9"/>
      <w:pgMar w:top="1134" w:right="1418" w:bottom="1418" w:left="1418" w:header="1134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8380B4" w14:textId="77777777" w:rsidR="00F510C8" w:rsidRPr="00724A65" w:rsidRDefault="00F510C8">
      <w:r w:rsidRPr="00724A65">
        <w:separator/>
      </w:r>
    </w:p>
  </w:endnote>
  <w:endnote w:type="continuationSeparator" w:id="0">
    <w:p w14:paraId="0DE703E5" w14:textId="77777777" w:rsidR="00F510C8" w:rsidRPr="00724A65" w:rsidRDefault="00F510C8">
      <w:r w:rsidRPr="00724A65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ejaVu Serif">
    <w:altName w:val="Times New Roman"/>
    <w:charset w:val="01"/>
    <w:family w:val="roman"/>
    <w:pitch w:val="variable"/>
  </w:font>
  <w:font w:name="DejaVu Sans">
    <w:altName w:val="Times New Roman"/>
    <w:charset w:val="01"/>
    <w:family w:val="roman"/>
    <w:pitch w:val="variable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okChampa">
    <w:charset w:val="DE"/>
    <w:family w:val="swiss"/>
    <w:pitch w:val="variable"/>
    <w:sig w:usb0="00000000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E45C05" w14:textId="5759A845" w:rsidR="00724A65" w:rsidRPr="00724A65" w:rsidRDefault="00724A65" w:rsidP="00724A65">
    <w:pPr>
      <w:pStyle w:val="EPFooter"/>
    </w:pPr>
    <w:r w:rsidRPr="00724A65">
      <w:t>PE</w:t>
    </w:r>
    <w:r w:rsidRPr="00724A65">
      <w:rPr>
        <w:rStyle w:val="HideTWBExt"/>
        <w:noProof w:val="0"/>
      </w:rPr>
      <w:t>&lt;NoPE&gt;</w:t>
    </w:r>
    <w:r w:rsidRPr="00724A65">
      <w:t>663.216</w:t>
    </w:r>
    <w:r w:rsidRPr="00724A65">
      <w:rPr>
        <w:rStyle w:val="HideTWBExt"/>
        <w:noProof w:val="0"/>
      </w:rPr>
      <w:t>&lt;/NoPE&gt;&lt;Version&gt;</w:t>
    </w:r>
    <w:r w:rsidRPr="00724A65">
      <w:t>v01-00</w:t>
    </w:r>
    <w:r w:rsidRPr="00724A65">
      <w:rPr>
        <w:rStyle w:val="HideTWBExt"/>
        <w:noProof w:val="0"/>
      </w:rPr>
      <w:t>&lt;/Version&gt;</w:t>
    </w:r>
    <w:r w:rsidRPr="00724A65">
      <w:tab/>
    </w:r>
    <w:r w:rsidRPr="00724A65">
      <w:fldChar w:fldCharType="begin"/>
    </w:r>
    <w:r w:rsidRPr="00724A65">
      <w:instrText xml:space="preserve"> PAGE  \* MERGEFORMAT </w:instrText>
    </w:r>
    <w:r w:rsidRPr="00724A65">
      <w:fldChar w:fldCharType="separate"/>
    </w:r>
    <w:r w:rsidR="0065771E">
      <w:rPr>
        <w:noProof/>
      </w:rPr>
      <w:t>2</w:t>
    </w:r>
    <w:r w:rsidRPr="00724A65">
      <w:fldChar w:fldCharType="end"/>
    </w:r>
    <w:r w:rsidRPr="00724A65">
      <w:t>/</w:t>
    </w:r>
    <w:r w:rsidR="0065771E">
      <w:fldChar w:fldCharType="begin"/>
    </w:r>
    <w:r w:rsidR="0065771E">
      <w:instrText xml:space="preserve"> NUMPAGES  \* MERGEFORMAT </w:instrText>
    </w:r>
    <w:r w:rsidR="0065771E">
      <w:fldChar w:fldCharType="separate"/>
    </w:r>
    <w:r w:rsidR="0065771E">
      <w:rPr>
        <w:noProof/>
      </w:rPr>
      <w:t>5</w:t>
    </w:r>
    <w:r w:rsidR="0065771E">
      <w:rPr>
        <w:noProof/>
      </w:rPr>
      <w:fldChar w:fldCharType="end"/>
    </w:r>
    <w:r w:rsidRPr="00724A65">
      <w:tab/>
    </w:r>
    <w:r w:rsidRPr="00724A65">
      <w:rPr>
        <w:rStyle w:val="HideTWBExt"/>
        <w:noProof w:val="0"/>
      </w:rPr>
      <w:t>&lt;PathFdR&gt;</w:t>
    </w:r>
    <w:r w:rsidRPr="00724A65">
      <w:t>RE\1222135PT.docx</w:t>
    </w:r>
    <w:r w:rsidRPr="00724A65">
      <w:rPr>
        <w:rStyle w:val="HideTWBExt"/>
        <w:noProof w:val="0"/>
      </w:rPr>
      <w:t>&lt;/PathFdR&gt;</w:t>
    </w:r>
  </w:p>
  <w:p w14:paraId="012744B5" w14:textId="12979C6E" w:rsidR="00A90219" w:rsidRPr="00724A65" w:rsidRDefault="00724A65" w:rsidP="00724A65">
    <w:pPr>
      <w:pStyle w:val="EPFooter2"/>
    </w:pPr>
    <w:r w:rsidRPr="00724A65">
      <w:t>PT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B2793C" w14:textId="528ABE7B" w:rsidR="00724A65" w:rsidRPr="00724A65" w:rsidRDefault="00724A65" w:rsidP="00724A65">
    <w:pPr>
      <w:pStyle w:val="EPFooter"/>
    </w:pPr>
    <w:r w:rsidRPr="00724A65">
      <w:rPr>
        <w:rStyle w:val="HideTWBExt"/>
        <w:noProof w:val="0"/>
      </w:rPr>
      <w:t>&lt;PathFdR&gt;</w:t>
    </w:r>
    <w:r w:rsidRPr="00724A65">
      <w:t>RE\1222135PT.docx</w:t>
    </w:r>
    <w:r w:rsidRPr="00724A65">
      <w:rPr>
        <w:rStyle w:val="HideTWBExt"/>
        <w:noProof w:val="0"/>
      </w:rPr>
      <w:t>&lt;/PathFdR&gt;</w:t>
    </w:r>
    <w:r w:rsidRPr="00724A65">
      <w:tab/>
    </w:r>
    <w:r w:rsidRPr="00724A65">
      <w:fldChar w:fldCharType="begin"/>
    </w:r>
    <w:r w:rsidRPr="00724A65">
      <w:instrText xml:space="preserve"> PAGE  \* MERGEFORMAT </w:instrText>
    </w:r>
    <w:r w:rsidRPr="00724A65">
      <w:fldChar w:fldCharType="separate"/>
    </w:r>
    <w:r w:rsidR="0065771E">
      <w:rPr>
        <w:noProof/>
      </w:rPr>
      <w:t>3</w:t>
    </w:r>
    <w:r w:rsidRPr="00724A65">
      <w:fldChar w:fldCharType="end"/>
    </w:r>
    <w:r w:rsidRPr="00724A65">
      <w:t>/</w:t>
    </w:r>
    <w:r w:rsidR="0065771E">
      <w:fldChar w:fldCharType="begin"/>
    </w:r>
    <w:r w:rsidR="0065771E">
      <w:instrText xml:space="preserve"> NUMPAGES  \* MERGEFORMAT </w:instrText>
    </w:r>
    <w:r w:rsidR="0065771E">
      <w:fldChar w:fldCharType="separate"/>
    </w:r>
    <w:r w:rsidR="0065771E">
      <w:rPr>
        <w:noProof/>
      </w:rPr>
      <w:t>5</w:t>
    </w:r>
    <w:r w:rsidR="0065771E">
      <w:rPr>
        <w:noProof/>
      </w:rPr>
      <w:fldChar w:fldCharType="end"/>
    </w:r>
    <w:r w:rsidRPr="00724A65">
      <w:tab/>
      <w:t>PE</w:t>
    </w:r>
    <w:r w:rsidRPr="00724A65">
      <w:rPr>
        <w:rStyle w:val="HideTWBExt"/>
        <w:noProof w:val="0"/>
      </w:rPr>
      <w:t>&lt;NoPE&gt;</w:t>
    </w:r>
    <w:r w:rsidRPr="00724A65">
      <w:t>663.216</w:t>
    </w:r>
    <w:r w:rsidRPr="00724A65">
      <w:rPr>
        <w:rStyle w:val="HideTWBExt"/>
        <w:noProof w:val="0"/>
      </w:rPr>
      <w:t>&lt;/NoPE&gt;&lt;Version&gt;</w:t>
    </w:r>
    <w:r w:rsidRPr="00724A65">
      <w:t>v01-00</w:t>
    </w:r>
    <w:r w:rsidRPr="00724A65">
      <w:rPr>
        <w:rStyle w:val="HideTWBExt"/>
        <w:noProof w:val="0"/>
      </w:rPr>
      <w:t>&lt;/Version&gt;</w:t>
    </w:r>
  </w:p>
  <w:p w14:paraId="200C4218" w14:textId="26C24835" w:rsidR="00A90219" w:rsidRPr="00724A65" w:rsidRDefault="00724A65" w:rsidP="00724A65">
    <w:pPr>
      <w:pStyle w:val="EPFooter2"/>
    </w:pPr>
    <w:r w:rsidRPr="00724A65">
      <w:tab/>
    </w:r>
    <w:r w:rsidRPr="00724A65">
      <w:tab/>
      <w:t>PT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638A5D" w14:textId="77777777" w:rsidR="00724A65" w:rsidRPr="00724A65" w:rsidRDefault="00724A65" w:rsidP="00724A65">
    <w:pPr>
      <w:pStyle w:val="EPFooter"/>
    </w:pPr>
    <w:r w:rsidRPr="00724A65">
      <w:rPr>
        <w:rStyle w:val="HideTWBExt"/>
        <w:noProof w:val="0"/>
      </w:rPr>
      <w:t>&lt;PathFdR&gt;</w:t>
    </w:r>
    <w:r w:rsidRPr="00724A65">
      <w:t>RE\1222135PT.docx</w:t>
    </w:r>
    <w:r w:rsidRPr="00724A65">
      <w:rPr>
        <w:rStyle w:val="HideTWBExt"/>
        <w:noProof w:val="0"/>
      </w:rPr>
      <w:t>&lt;/PathFdR&gt;</w:t>
    </w:r>
    <w:r w:rsidRPr="00724A65">
      <w:tab/>
    </w:r>
    <w:r w:rsidRPr="00724A65">
      <w:tab/>
      <w:t>PE</w:t>
    </w:r>
    <w:r w:rsidRPr="00724A65">
      <w:rPr>
        <w:rStyle w:val="HideTWBExt"/>
        <w:noProof w:val="0"/>
      </w:rPr>
      <w:t>&lt;NoPE&gt;</w:t>
    </w:r>
    <w:r w:rsidRPr="00724A65">
      <w:t>663.216</w:t>
    </w:r>
    <w:r w:rsidRPr="00724A65">
      <w:rPr>
        <w:rStyle w:val="HideTWBExt"/>
        <w:noProof w:val="0"/>
      </w:rPr>
      <w:t>&lt;/NoPE&gt;&lt;Version&gt;</w:t>
    </w:r>
    <w:r w:rsidRPr="00724A65">
      <w:t>v01-00</w:t>
    </w:r>
    <w:r w:rsidRPr="00724A65">
      <w:rPr>
        <w:rStyle w:val="HideTWBExt"/>
        <w:noProof w:val="0"/>
      </w:rPr>
      <w:t>&lt;/Version&gt;</w:t>
    </w:r>
  </w:p>
  <w:p w14:paraId="7556990F" w14:textId="5F70D874" w:rsidR="00A90219" w:rsidRPr="00724A65" w:rsidRDefault="00724A65" w:rsidP="00724A65">
    <w:pPr>
      <w:pStyle w:val="EPFooter2"/>
    </w:pPr>
    <w:r w:rsidRPr="00724A65">
      <w:t>PT</w:t>
    </w:r>
    <w:r w:rsidRPr="00724A65">
      <w:tab/>
    </w:r>
    <w:r w:rsidRPr="00724A65">
      <w:rPr>
        <w:b w:val="0"/>
        <w:i/>
        <w:color w:val="C0C0C0"/>
        <w:sz w:val="22"/>
      </w:rPr>
      <w:t>Unida na diversidade</w:t>
    </w:r>
    <w:r w:rsidRPr="00724A65">
      <w:tab/>
      <w:t>PT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FFF761" w14:textId="77777777" w:rsidR="00F510C8" w:rsidRPr="00724A65" w:rsidRDefault="00F510C8">
      <w:r w:rsidRPr="00724A65">
        <w:separator/>
      </w:r>
    </w:p>
  </w:footnote>
  <w:footnote w:type="continuationSeparator" w:id="0">
    <w:p w14:paraId="739DD931" w14:textId="77777777" w:rsidR="00F510C8" w:rsidRPr="00724A65" w:rsidRDefault="00F510C8">
      <w:r w:rsidRPr="00724A65">
        <w:continuationSeparator/>
      </w:r>
    </w:p>
  </w:footnote>
  <w:footnote w:id="1">
    <w:p w14:paraId="6D9CB35F" w14:textId="79031DFC" w:rsidR="001E1556" w:rsidRPr="00724A65" w:rsidRDefault="001E1556" w:rsidP="001E1556">
      <w:pPr>
        <w:pStyle w:val="FootnoteText"/>
        <w:rPr>
          <w:rFonts w:ascii="Times New Roman" w:hAnsi="Times New Roman" w:cs="Times New Roman"/>
        </w:rPr>
      </w:pPr>
      <w:r w:rsidRPr="00724A65">
        <w:rPr>
          <w:rStyle w:val="Funotenzeichen"/>
          <w:rFonts w:ascii="Times New Roman" w:hAnsi="Times New Roman" w:cs="Times New Roman"/>
        </w:rPr>
        <w:footnoteRef/>
      </w:r>
      <w:hyperlink r:id="rId1" w:history="1">
        <w:r w:rsidRPr="00724A65">
          <w:rPr>
            <w:rStyle w:val="Hyperlink"/>
            <w:rFonts w:ascii="Times New Roman" w:hAnsi="Times New Roman"/>
          </w:rPr>
          <w:tab/>
        </w:r>
        <w:hyperlink r:id="rId2" w:history="1">
          <w:r w:rsidRPr="00724A65">
            <w:rPr>
              <w:rStyle w:val="Hyperlink"/>
              <w:rFonts w:ascii="Times New Roman" w:hAnsi="Times New Roman"/>
            </w:rPr>
            <w:t>https://eur-lex.europa.eu/legal-content/PT/TXT/?uri=CELEX%3A62018CA0311&amp;qid=1610640279033</w:t>
          </w:r>
        </w:hyperlink>
      </w:hyperlink>
      <w:r w:rsidRPr="00724A65">
        <w:rPr>
          <w:rFonts w:ascii="Times New Roman" w:hAnsi="Times New Roman"/>
        </w:rPr>
        <w:t xml:space="preserve"> </w:t>
      </w:r>
    </w:p>
  </w:footnote>
  <w:footnote w:id="2">
    <w:p w14:paraId="547F0DAC" w14:textId="07A23E4B" w:rsidR="003A76FC" w:rsidRPr="00724A65" w:rsidRDefault="003A76FC" w:rsidP="003A76FC">
      <w:pPr>
        <w:pStyle w:val="FootnoteText"/>
      </w:pPr>
      <w:r w:rsidRPr="00724A65">
        <w:rPr>
          <w:rStyle w:val="FootnoteReference"/>
        </w:rPr>
        <w:footnoteRef/>
      </w:r>
      <w:r w:rsidRPr="00724A65">
        <w:t xml:space="preserve"> </w:t>
      </w:r>
      <w:r w:rsidRPr="00724A65">
        <w:tab/>
      </w:r>
      <w:hyperlink r:id="rId3" w:history="1">
        <w:r w:rsidRPr="00724A65">
          <w:rPr>
            <w:rStyle w:val="Hyperlink"/>
          </w:rPr>
          <w:t>https://eur-lex.europa.eu/legal-content/PT/TXT/?uri=CELEX%3A62014CJ0362</w:t>
        </w:r>
      </w:hyperlink>
      <w:r w:rsidRPr="00724A65">
        <w:t xml:space="preserve"> </w:t>
      </w:r>
    </w:p>
  </w:footnote>
  <w:footnote w:id="3">
    <w:p w14:paraId="293C707A" w14:textId="763C6C87" w:rsidR="003A76FC" w:rsidRPr="00724A65" w:rsidRDefault="003A76FC" w:rsidP="003A76FC">
      <w:pPr>
        <w:pStyle w:val="FootnoteText"/>
      </w:pPr>
      <w:r w:rsidRPr="00724A65">
        <w:rPr>
          <w:rStyle w:val="FootnoteReference"/>
        </w:rPr>
        <w:footnoteRef/>
      </w:r>
      <w:r w:rsidRPr="00724A65">
        <w:t xml:space="preserve"> </w:t>
      </w:r>
      <w:r w:rsidRPr="00724A65">
        <w:tab/>
      </w:r>
      <w:hyperlink r:id="rId4" w:history="1">
        <w:r w:rsidRPr="00724A65">
          <w:rPr>
            <w:rStyle w:val="Hyperlink"/>
          </w:rPr>
          <w:t>https://eur-lex.europa.eu/legal-content/PT/TXT/?uri=CELEX:62017CJ0623</w:t>
        </w:r>
      </w:hyperlink>
      <w:r w:rsidRPr="00724A65">
        <w:t xml:space="preserve"> </w:t>
      </w:r>
    </w:p>
  </w:footnote>
  <w:footnote w:id="4">
    <w:p w14:paraId="0EB3CEDE" w14:textId="071C7A79" w:rsidR="003A76FC" w:rsidRPr="00820FC5" w:rsidRDefault="003A76FC" w:rsidP="003A76FC">
      <w:pPr>
        <w:pStyle w:val="FootnoteText"/>
        <w:rPr>
          <w:rFonts w:ascii="Times New Roman" w:hAnsi="Times New Roman" w:cs="Times New Roman"/>
          <w:lang w:val="sv-SE"/>
        </w:rPr>
      </w:pPr>
      <w:r w:rsidRPr="00C7130C">
        <w:rPr>
          <w:rFonts w:ascii="Times New Roman" w:hAnsi="Times New Roman" w:cs="Times New Roman"/>
          <w:vertAlign w:val="superscript"/>
        </w:rPr>
        <w:footnoteRef/>
      </w:r>
      <w:r w:rsidRPr="00820FC5">
        <w:rPr>
          <w:rFonts w:ascii="Times New Roman" w:hAnsi="Times New Roman" w:cs="Times New Roman"/>
          <w:lang w:val="sv-SE"/>
        </w:rPr>
        <w:tab/>
        <w:t xml:space="preserve">P8_TA(2018)0315, </w:t>
      </w:r>
      <w:hyperlink r:id="rId5" w:history="1">
        <w:r w:rsidRPr="00820FC5">
          <w:rPr>
            <w:rFonts w:ascii="Times New Roman" w:hAnsi="Times New Roman" w:cs="Times New Roman"/>
            <w:lang w:val="sv-SE"/>
          </w:rPr>
          <w:t>https://www.europarl.europa.eu/doceo/document/TA-8-2018-0315_PT.html</w:t>
        </w:r>
      </w:hyperlink>
      <w:r w:rsidRPr="00820FC5">
        <w:rPr>
          <w:rFonts w:ascii="Times New Roman" w:hAnsi="Times New Roman" w:cs="Times New Roman"/>
          <w:lang w:val="sv-SE"/>
        </w:rPr>
        <w:t xml:space="preserve"> </w:t>
      </w:r>
    </w:p>
  </w:footnote>
  <w:footnote w:id="5">
    <w:p w14:paraId="2313C642" w14:textId="6A931825" w:rsidR="003A76FC" w:rsidRPr="00820FC5" w:rsidRDefault="003A76FC" w:rsidP="003A76FC">
      <w:pPr>
        <w:rPr>
          <w:sz w:val="20"/>
          <w:lang w:val="sv-SE"/>
        </w:rPr>
      </w:pPr>
      <w:r w:rsidRPr="00C7130C">
        <w:rPr>
          <w:sz w:val="20"/>
          <w:vertAlign w:val="superscript"/>
        </w:rPr>
        <w:footnoteRef/>
      </w:r>
      <w:r w:rsidRPr="00820FC5">
        <w:rPr>
          <w:sz w:val="20"/>
          <w:lang w:val="sv-SE"/>
        </w:rPr>
        <w:t xml:space="preserve">   P8_TA(2018)0433, </w:t>
      </w:r>
      <w:hyperlink r:id="rId6" w:history="1">
        <w:r w:rsidRPr="00820FC5">
          <w:rPr>
            <w:sz w:val="20"/>
            <w:lang w:val="sv-SE"/>
          </w:rPr>
          <w:t>https://www.europarl.europa.eu/doceo/document/TA-8-2018-0433_PT.html</w:t>
        </w:r>
      </w:hyperlink>
      <w:r w:rsidRPr="00820FC5">
        <w:rPr>
          <w:sz w:val="20"/>
          <w:lang w:val="sv-SE"/>
        </w:rPr>
        <w:t xml:space="preserve"> </w:t>
      </w:r>
    </w:p>
  </w:footnote>
  <w:footnote w:id="6">
    <w:p w14:paraId="48A9A0E0" w14:textId="77777777" w:rsidR="003A76FC" w:rsidRPr="00820FC5" w:rsidRDefault="003A76FC" w:rsidP="003A76FC">
      <w:pPr>
        <w:pStyle w:val="FootnoteText"/>
        <w:rPr>
          <w:rFonts w:ascii="Times New Roman" w:hAnsi="Times New Roman" w:cs="Times New Roman"/>
          <w:lang w:val="sv-SE"/>
        </w:rPr>
      </w:pPr>
      <w:r w:rsidRPr="00724A65">
        <w:rPr>
          <w:rStyle w:val="FootnoteReference"/>
          <w:rFonts w:ascii="Times New Roman" w:hAnsi="Times New Roman" w:cs="Times New Roman"/>
        </w:rPr>
        <w:footnoteRef/>
      </w:r>
      <w:r w:rsidRPr="00820FC5">
        <w:rPr>
          <w:rFonts w:ascii="Times New Roman" w:hAnsi="Times New Roman"/>
          <w:lang w:val="sv-SE"/>
        </w:rPr>
        <w:t xml:space="preserve"> </w:t>
      </w:r>
      <w:r w:rsidRPr="00820FC5">
        <w:rPr>
          <w:rFonts w:ascii="Times New Roman" w:hAnsi="Times New Roman"/>
          <w:lang w:val="sv-SE"/>
        </w:rPr>
        <w:tab/>
        <w:t>P9_TA(2020)0337, https://www.europarl.europa.eu/doceo/document/TA-9-2020-0337_PT.html</w:t>
      </w:r>
    </w:p>
  </w:footnote>
  <w:footnote w:id="7">
    <w:p w14:paraId="2E8D957B" w14:textId="28123961" w:rsidR="003A76FC" w:rsidRPr="00724A65" w:rsidRDefault="003A76FC" w:rsidP="00C7130C">
      <w:pPr>
        <w:pStyle w:val="BodyText"/>
        <w:ind w:left="284" w:hanging="284"/>
        <w:rPr>
          <w:sz w:val="20"/>
        </w:rPr>
      </w:pPr>
      <w:r w:rsidRPr="00C7130C">
        <w:rPr>
          <w:vertAlign w:val="superscript"/>
        </w:rPr>
        <w:footnoteRef/>
      </w:r>
      <w:r w:rsidRPr="00724A65">
        <w:rPr>
          <w:sz w:val="20"/>
        </w:rPr>
        <w:t xml:space="preserve"> </w:t>
      </w:r>
      <w:r w:rsidR="00C7130C">
        <w:rPr>
          <w:sz w:val="20"/>
        </w:rPr>
        <w:tab/>
      </w:r>
      <w:r w:rsidRPr="00C7130C">
        <w:rPr>
          <w:sz w:val="20"/>
        </w:rPr>
        <w:t>Regulamento (UE) 2016/679 do Parlamento Europeu e do Conselho, de 27 de abril de 2016, relativo à proteção das pessoas singulares no que diz respeito ao tratamento de dados pessoais e à livre circulação desses dados e que revoga a Diretiva 95/46/CE (Regulamento Geral sobre a Proteção de Dados), JO L 119 de 4.5.2016, p. 1-88,</w:t>
      </w:r>
      <w:r w:rsidRPr="00724A65">
        <w:t xml:space="preserve"> </w:t>
      </w:r>
      <w:hyperlink r:id="rId7" w:history="1">
        <w:r w:rsidRPr="00724A65">
          <w:rPr>
            <w:color w:val="4472C4" w:themeColor="accent5"/>
            <w:sz w:val="20"/>
            <w:u w:val="single"/>
          </w:rPr>
          <w:t>https://eur-lex.europa.eu/eli/reg/2016/679/oj?locale=pt</w:t>
        </w:r>
      </w:hyperlink>
      <w:r w:rsidRPr="00724A65">
        <w:rPr>
          <w:sz w:val="20"/>
        </w:rPr>
        <w:t xml:space="preserve">    </w:t>
      </w:r>
    </w:p>
    <w:p w14:paraId="08AC5CF0" w14:textId="77777777" w:rsidR="003A76FC" w:rsidRPr="00724A65" w:rsidRDefault="003A76FC" w:rsidP="003A76FC">
      <w:pPr>
        <w:pStyle w:val="FootnoteText"/>
        <w:rPr>
          <w:rFonts w:ascii="DejaVu Sans" w:hAnsi="DejaVu Sans"/>
        </w:rPr>
      </w:pPr>
    </w:p>
  </w:footnote>
  <w:footnote w:id="8">
    <w:p w14:paraId="57762114" w14:textId="5E301454" w:rsidR="003A76FC" w:rsidRPr="00724A65" w:rsidRDefault="003A76FC" w:rsidP="003A76FC">
      <w:pPr>
        <w:pStyle w:val="FootnoteText"/>
      </w:pPr>
      <w:r w:rsidRPr="00724A65">
        <w:rPr>
          <w:rStyle w:val="FootnoteReference"/>
        </w:rPr>
        <w:footnoteRef/>
      </w:r>
      <w:r w:rsidRPr="00724A65">
        <w:t xml:space="preserve"> </w:t>
      </w:r>
      <w:r w:rsidR="00C7130C">
        <w:tab/>
      </w:r>
      <w:hyperlink r:id="rId8" w:history="1">
        <w:r w:rsidRPr="00724A65">
          <w:rPr>
            <w:rStyle w:val="Hyperlink"/>
          </w:rPr>
          <w:t>https://edpb.europa.eu/our-work-tools/public-consultations-art-704/2020/recommendations-012020-measures-supplement-transfer_pt</w:t>
        </w:r>
      </w:hyperlink>
    </w:p>
    <w:p w14:paraId="69DFD773" w14:textId="7588CF67" w:rsidR="003A76FC" w:rsidRPr="00724A65" w:rsidRDefault="003A76FC" w:rsidP="003A76FC">
      <w:pPr>
        <w:pStyle w:val="FootnoteText"/>
      </w:pPr>
      <w:r w:rsidRPr="00724A65">
        <w:tab/>
      </w:r>
      <w:hyperlink r:id="rId9" w:history="1">
        <w:r w:rsidRPr="00724A65">
          <w:rPr>
            <w:rStyle w:val="Hyperlink"/>
          </w:rPr>
          <w:t>https://edpb.europa.eu/our-work-tools/our-documents/preporki/recommendations-022020-european-essential-guarantees_pt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90FAD1" w14:textId="77777777" w:rsidR="00C7130C" w:rsidRDefault="00C7130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CA30B2" w14:textId="77777777" w:rsidR="00C7130C" w:rsidRDefault="00C7130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E38ED3" w14:textId="77777777" w:rsidR="00C7130C" w:rsidRDefault="00C7130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B22A8A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0C0EE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FB40F5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F525D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730919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026A28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DC9AF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E120C2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92AAA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B4278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9086570"/>
    <w:multiLevelType w:val="hybridMultilevel"/>
    <w:tmpl w:val="19DA1E1E"/>
    <w:lvl w:ilvl="0" w:tplc="5378A36C">
      <w:start w:val="1"/>
      <w:numFmt w:val="upperLetter"/>
      <w:lvlText w:val="%1."/>
      <w:lvlJc w:val="left"/>
      <w:pPr>
        <w:ind w:left="926" w:hanging="566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001B35"/>
    <w:multiLevelType w:val="hybridMultilevel"/>
    <w:tmpl w:val="F57E875E"/>
    <w:lvl w:ilvl="0" w:tplc="A9940D5C">
      <w:start w:val="1"/>
      <w:numFmt w:val="decimal"/>
      <w:lvlText w:val="%1."/>
      <w:lvlJc w:val="left"/>
      <w:pPr>
        <w:ind w:left="926" w:hanging="566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9"/>
  </w:num>
  <w:num w:numId="3">
    <w:abstractNumId w:val="7"/>
  </w:num>
  <w:num w:numId="4">
    <w:abstractNumId w:val="7"/>
  </w:num>
  <w:num w:numId="5">
    <w:abstractNumId w:val="6"/>
  </w:num>
  <w:num w:numId="6">
    <w:abstractNumId w:val="6"/>
  </w:num>
  <w:num w:numId="7">
    <w:abstractNumId w:val="5"/>
  </w:num>
  <w:num w:numId="8">
    <w:abstractNumId w:val="5"/>
  </w:num>
  <w:num w:numId="9">
    <w:abstractNumId w:val="4"/>
  </w:num>
  <w:num w:numId="10">
    <w:abstractNumId w:val="4"/>
  </w:num>
  <w:num w:numId="11">
    <w:abstractNumId w:val="8"/>
  </w:num>
  <w:num w:numId="12">
    <w:abstractNumId w:val="8"/>
  </w:num>
  <w:num w:numId="13">
    <w:abstractNumId w:val="3"/>
  </w:num>
  <w:num w:numId="14">
    <w:abstractNumId w:val="3"/>
  </w:num>
  <w:num w:numId="15">
    <w:abstractNumId w:val="2"/>
  </w:num>
  <w:num w:numId="16">
    <w:abstractNumId w:val="2"/>
  </w:num>
  <w:num w:numId="17">
    <w:abstractNumId w:val="1"/>
  </w:num>
  <w:num w:numId="18">
    <w:abstractNumId w:val="1"/>
  </w:num>
  <w:num w:numId="19">
    <w:abstractNumId w:val="0"/>
  </w:num>
  <w:num w:numId="20">
    <w:abstractNumId w:val="0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9"/>
  </w:num>
  <w:num w:numId="32">
    <w:abstractNumId w:val="7"/>
  </w:num>
  <w:num w:numId="33">
    <w:abstractNumId w:val="6"/>
  </w:num>
  <w:num w:numId="34">
    <w:abstractNumId w:val="5"/>
  </w:num>
  <w:num w:numId="35">
    <w:abstractNumId w:val="4"/>
  </w:num>
  <w:num w:numId="36">
    <w:abstractNumId w:val="8"/>
  </w:num>
  <w:num w:numId="37">
    <w:abstractNumId w:val="3"/>
  </w:num>
  <w:num w:numId="38">
    <w:abstractNumId w:val="2"/>
  </w:num>
  <w:num w:numId="39">
    <w:abstractNumId w:val="1"/>
  </w:num>
  <w:num w:numId="40">
    <w:abstractNumId w:val="0"/>
  </w:num>
  <w:num w:numId="41">
    <w:abstractNumId w:val="10"/>
  </w:num>
  <w:num w:numId="4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Restart w:val="eachSec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KEY" w:val="LIBE"/>
    <w:docVar w:name="DOCTYPEMNU" w:val=" 1"/>
    <w:docVar w:name="LastEditedSection" w:val=" 1"/>
    <w:docVar w:name="STATMNU" w:val=" 1"/>
    <w:docVar w:name="strDocTypeID" w:val="RE_Statements"/>
    <w:docVar w:name="strSubDir" w:val="1222"/>
    <w:docVar w:name="TXTLANGUE" w:val="EN"/>
    <w:docVar w:name="TXTLANGUEMIN" w:val="en"/>
    <w:docVar w:name="TXTNRPE" w:val="663.216"/>
    <w:docVar w:name="TXTNRRSP" w:val="2020/2789"/>
    <w:docVar w:name="TXTPEorAP" w:val="PE"/>
    <w:docVar w:name="TXTROUTE" w:val="RE\1222135EN.docx"/>
    <w:docVar w:name="TXTTITLE" w:val="on the Resolution on the ruling of the ECJ of 16 July 2020 - Data Protection Commissioner v Facebook Ireland Limited, Maximillian Schrems (“Schrems II”) - Case C-311/18"/>
    <w:docVar w:name="TXTVERSION" w:val="01-00"/>
  </w:docVars>
  <w:rsids>
    <w:rsidRoot w:val="00F510C8"/>
    <w:rsid w:val="00037F46"/>
    <w:rsid w:val="00094DDA"/>
    <w:rsid w:val="000F4BF6"/>
    <w:rsid w:val="00117781"/>
    <w:rsid w:val="001B49A3"/>
    <w:rsid w:val="001B7CFB"/>
    <w:rsid w:val="001C16A7"/>
    <w:rsid w:val="001C31D8"/>
    <w:rsid w:val="001C62C5"/>
    <w:rsid w:val="001E1556"/>
    <w:rsid w:val="001E2450"/>
    <w:rsid w:val="00222BBB"/>
    <w:rsid w:val="00250718"/>
    <w:rsid w:val="002574AA"/>
    <w:rsid w:val="002C7767"/>
    <w:rsid w:val="002D6228"/>
    <w:rsid w:val="00303413"/>
    <w:rsid w:val="003772FA"/>
    <w:rsid w:val="003A76FC"/>
    <w:rsid w:val="00411D03"/>
    <w:rsid w:val="00412503"/>
    <w:rsid w:val="00471D62"/>
    <w:rsid w:val="004B5166"/>
    <w:rsid w:val="00516BD3"/>
    <w:rsid w:val="0053700E"/>
    <w:rsid w:val="0058312A"/>
    <w:rsid w:val="005D6861"/>
    <w:rsid w:val="00654CBD"/>
    <w:rsid w:val="0065771E"/>
    <w:rsid w:val="006726A1"/>
    <w:rsid w:val="006A27B7"/>
    <w:rsid w:val="006F48B8"/>
    <w:rsid w:val="00706BC0"/>
    <w:rsid w:val="00723A0B"/>
    <w:rsid w:val="00724A65"/>
    <w:rsid w:val="00780A7D"/>
    <w:rsid w:val="007E1E11"/>
    <w:rsid w:val="00814BC6"/>
    <w:rsid w:val="00820FC5"/>
    <w:rsid w:val="008278C0"/>
    <w:rsid w:val="00866D70"/>
    <w:rsid w:val="008A4052"/>
    <w:rsid w:val="008D7B31"/>
    <w:rsid w:val="008F5EFB"/>
    <w:rsid w:val="00907285"/>
    <w:rsid w:val="00910F7E"/>
    <w:rsid w:val="00981ED6"/>
    <w:rsid w:val="009C510E"/>
    <w:rsid w:val="009D24DE"/>
    <w:rsid w:val="00A32337"/>
    <w:rsid w:val="00A462B1"/>
    <w:rsid w:val="00A4763A"/>
    <w:rsid w:val="00A516B8"/>
    <w:rsid w:val="00A90219"/>
    <w:rsid w:val="00B16A0B"/>
    <w:rsid w:val="00B34A46"/>
    <w:rsid w:val="00B90331"/>
    <w:rsid w:val="00B90DC2"/>
    <w:rsid w:val="00BC3002"/>
    <w:rsid w:val="00BF2C2D"/>
    <w:rsid w:val="00BF6571"/>
    <w:rsid w:val="00C23264"/>
    <w:rsid w:val="00C7130C"/>
    <w:rsid w:val="00CC09D8"/>
    <w:rsid w:val="00D12F64"/>
    <w:rsid w:val="00D44718"/>
    <w:rsid w:val="00D90D37"/>
    <w:rsid w:val="00DF5457"/>
    <w:rsid w:val="00DF7943"/>
    <w:rsid w:val="00E53167"/>
    <w:rsid w:val="00EA43FB"/>
    <w:rsid w:val="00EC05E9"/>
    <w:rsid w:val="00ED22B8"/>
    <w:rsid w:val="00F02A2C"/>
    <w:rsid w:val="00F11EF3"/>
    <w:rsid w:val="00F26DE8"/>
    <w:rsid w:val="00F4455A"/>
    <w:rsid w:val="00F510C8"/>
    <w:rsid w:val="00F7050A"/>
    <w:rsid w:val="00F959BA"/>
    <w:rsid w:val="00FB7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0D77AC"/>
  <w15:chartTrackingRefBased/>
  <w15:docId w15:val="{E6272C54-2F65-43C4-A91C-140847F81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PT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semiHidden="1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4718"/>
    <w:pPr>
      <w:widowControl w:val="0"/>
    </w:pPr>
    <w:rPr>
      <w:sz w:val="24"/>
    </w:rPr>
  </w:style>
  <w:style w:type="paragraph" w:styleId="Heading1">
    <w:name w:val="heading 1"/>
    <w:basedOn w:val="Normal"/>
    <w:next w:val="Normal"/>
    <w:semiHidden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semiHidden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semiHidden/>
    <w:qFormat/>
    <w:pPr>
      <w:keepNext/>
      <w:spacing w:before="240" w:after="60"/>
      <w:outlineLvl w:val="2"/>
    </w:pPr>
    <w:rPr>
      <w:rFonts w:ascii="Arial" w:hAnsi="Arial"/>
    </w:rPr>
  </w:style>
  <w:style w:type="paragraph" w:styleId="Heading4">
    <w:name w:val="heading 4"/>
    <w:basedOn w:val="Normal"/>
    <w:next w:val="Normal"/>
    <w:semiHidden/>
    <w:qFormat/>
    <w:pPr>
      <w:keepNext/>
      <w:spacing w:before="240" w:after="60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semiHidden/>
    <w:qFormat/>
    <w:p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semiHidden/>
    <w:qFormat/>
    <w:p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semiHidden/>
    <w:qFormat/>
    <w:p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semiHidden/>
    <w:qFormat/>
    <w:p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semiHidden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ideTWBExt">
    <w:name w:val="HideTWBExt"/>
    <w:basedOn w:val="DefaultParagraphFont"/>
    <w:rPr>
      <w:rFonts w:ascii="Arial" w:hAnsi="Arial" w:cs="Arial"/>
      <w:b w:val="0"/>
      <w:i w:val="0"/>
      <w:strike w:val="0"/>
      <w:noProof/>
      <w:vanish/>
      <w:color w:val="000080"/>
      <w:sz w:val="20"/>
    </w:rPr>
  </w:style>
  <w:style w:type="paragraph" w:customStyle="1" w:styleId="EPFooter2">
    <w:name w:val="EPFooter2"/>
    <w:basedOn w:val="Normal"/>
    <w:next w:val="Normal"/>
    <w:pPr>
      <w:widowControl/>
      <w:tabs>
        <w:tab w:val="center" w:pos="4535"/>
        <w:tab w:val="right" w:pos="9921"/>
      </w:tabs>
      <w:ind w:left="-850" w:right="-850"/>
    </w:pPr>
    <w:rPr>
      <w:rFonts w:ascii="Arial" w:hAnsi="Arial" w:cs="Arial"/>
      <w:b/>
      <w:sz w:val="48"/>
    </w:rPr>
  </w:style>
  <w:style w:type="paragraph" w:customStyle="1" w:styleId="EPComma">
    <w:name w:val="EPComma"/>
    <w:basedOn w:val="Normal"/>
    <w:rsid w:val="00DF7943"/>
    <w:pPr>
      <w:spacing w:before="480" w:after="240"/>
    </w:pPr>
  </w:style>
  <w:style w:type="paragraph" w:styleId="TOC1">
    <w:name w:val="toc 1"/>
    <w:basedOn w:val="EPComma"/>
    <w:next w:val="EPComma"/>
    <w:autoRedefine/>
    <w:semiHidden/>
  </w:style>
  <w:style w:type="paragraph" w:styleId="TOCHeading">
    <w:name w:val="TOC Heading"/>
    <w:basedOn w:val="Normal"/>
    <w:next w:val="Normal"/>
    <w:semiHidden/>
    <w:qFormat/>
    <w:pPr>
      <w:keepNext/>
      <w:spacing w:before="240" w:after="240"/>
      <w:jc w:val="center"/>
    </w:pPr>
    <w:rPr>
      <w:rFonts w:ascii="Arial" w:hAnsi="Arial"/>
      <w:b/>
    </w:rPr>
  </w:style>
  <w:style w:type="character" w:customStyle="1" w:styleId="HideTWBInt">
    <w:name w:val="HideTWBInt"/>
    <w:rPr>
      <w:rFonts w:ascii="Arial" w:hAnsi="Arial" w:cs="Arial"/>
      <w:vanish/>
      <w:color w:val="808080"/>
      <w:sz w:val="20"/>
    </w:rPr>
  </w:style>
  <w:style w:type="paragraph" w:customStyle="1" w:styleId="NormalBold">
    <w:name w:val="NormalBold"/>
    <w:basedOn w:val="Normal"/>
    <w:rPr>
      <w:b/>
    </w:rPr>
  </w:style>
  <w:style w:type="paragraph" w:customStyle="1" w:styleId="NormalBold12a">
    <w:name w:val="NormalBold12a"/>
    <w:basedOn w:val="Normal"/>
    <w:pPr>
      <w:spacing w:after="240"/>
    </w:pPr>
    <w:rPr>
      <w:b/>
    </w:rPr>
  </w:style>
  <w:style w:type="paragraph" w:customStyle="1" w:styleId="NormalHanging12a">
    <w:name w:val="NormalHanging12a"/>
    <w:basedOn w:val="Normal"/>
    <w:pPr>
      <w:spacing w:after="240"/>
      <w:ind w:left="567" w:hanging="567"/>
    </w:pPr>
  </w:style>
  <w:style w:type="paragraph" w:customStyle="1" w:styleId="CoverBold">
    <w:name w:val="CoverBold"/>
    <w:basedOn w:val="Normal"/>
    <w:rsid w:val="00B90331"/>
    <w:pPr>
      <w:ind w:left="1417"/>
    </w:pPr>
    <w:rPr>
      <w:b/>
    </w:rPr>
  </w:style>
  <w:style w:type="paragraph" w:customStyle="1" w:styleId="CoverNormal">
    <w:name w:val="CoverNormal"/>
    <w:basedOn w:val="Normal"/>
    <w:pPr>
      <w:ind w:left="1418"/>
    </w:pPr>
  </w:style>
  <w:style w:type="paragraph" w:customStyle="1" w:styleId="CoverNormal12a">
    <w:name w:val="CoverNormal12a"/>
    <w:basedOn w:val="Normal"/>
    <w:rsid w:val="00B90331"/>
    <w:pPr>
      <w:spacing w:after="240"/>
      <w:ind w:left="1418"/>
    </w:pPr>
  </w:style>
  <w:style w:type="paragraph" w:customStyle="1" w:styleId="CoverNormal24a">
    <w:name w:val="CoverNormal24a"/>
    <w:basedOn w:val="Normal"/>
    <w:rsid w:val="00B90331"/>
    <w:pPr>
      <w:spacing w:after="480"/>
      <w:ind w:left="1417"/>
    </w:pPr>
  </w:style>
  <w:style w:type="paragraph" w:customStyle="1" w:styleId="CoverDocType24a">
    <w:name w:val="CoverDocType24a"/>
    <w:basedOn w:val="Normal"/>
    <w:rsid w:val="00EC05E9"/>
    <w:pPr>
      <w:spacing w:after="480"/>
      <w:ind w:left="1418"/>
    </w:pPr>
    <w:rPr>
      <w:rFonts w:ascii="Arial" w:hAnsi="Arial"/>
      <w:b/>
      <w:sz w:val="48"/>
    </w:rPr>
  </w:style>
  <w:style w:type="paragraph" w:styleId="Header">
    <w:name w:val="header"/>
    <w:basedOn w:val="Normal"/>
    <w:link w:val="HeaderChar"/>
    <w:semiHidden/>
    <w:rsid w:val="007E1E11"/>
    <w:pPr>
      <w:tabs>
        <w:tab w:val="center" w:pos="4513"/>
        <w:tab w:val="right" w:pos="9026"/>
      </w:tabs>
    </w:pPr>
  </w:style>
  <w:style w:type="table" w:styleId="TableGrid">
    <w:name w:val="Table Grid"/>
    <w:basedOn w:val="TableNormal"/>
    <w:rsid w:val="00E531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PBody">
    <w:name w:val="EPBody"/>
    <w:basedOn w:val="Normal"/>
    <w:rsid w:val="00E53167"/>
    <w:pPr>
      <w:jc w:val="center"/>
    </w:pPr>
    <w:rPr>
      <w:rFonts w:ascii="Arial" w:hAnsi="Arial" w:cs="Arial"/>
      <w:i/>
      <w:sz w:val="22"/>
      <w:szCs w:val="22"/>
    </w:rPr>
  </w:style>
  <w:style w:type="paragraph" w:customStyle="1" w:styleId="LineTop">
    <w:name w:val="LineTop"/>
    <w:basedOn w:val="Normal"/>
    <w:next w:val="Normal"/>
    <w:rsid w:val="00E53167"/>
    <w:pPr>
      <w:pBdr>
        <w:top w:val="single" w:sz="4" w:space="1" w:color="auto"/>
      </w:pBdr>
      <w:jc w:val="center"/>
    </w:pPr>
    <w:rPr>
      <w:rFonts w:ascii="Arial" w:hAnsi="Arial" w:cs="Arial"/>
      <w:sz w:val="16"/>
      <w:szCs w:val="16"/>
    </w:rPr>
  </w:style>
  <w:style w:type="paragraph" w:customStyle="1" w:styleId="LineBottom">
    <w:name w:val="LineBottom"/>
    <w:basedOn w:val="Normal"/>
    <w:next w:val="Normal"/>
    <w:rsid w:val="00094DDA"/>
    <w:pPr>
      <w:pBdr>
        <w:bottom w:val="single" w:sz="4" w:space="1" w:color="auto"/>
      </w:pBdr>
      <w:spacing w:after="240"/>
      <w:jc w:val="center"/>
    </w:pPr>
    <w:rPr>
      <w:rFonts w:ascii="Arial" w:hAnsi="Arial" w:cs="Arial"/>
      <w:sz w:val="16"/>
      <w:szCs w:val="16"/>
    </w:rPr>
  </w:style>
  <w:style w:type="paragraph" w:customStyle="1" w:styleId="EPName">
    <w:name w:val="EPName"/>
    <w:basedOn w:val="Normal"/>
    <w:rsid w:val="00706BC0"/>
    <w:pPr>
      <w:spacing w:before="80" w:after="80"/>
    </w:pPr>
    <w:rPr>
      <w:rFonts w:ascii="Arial Narrow" w:hAnsi="Arial Narrow" w:cs="Arial"/>
      <w:b/>
      <w:sz w:val="32"/>
      <w:szCs w:val="22"/>
    </w:rPr>
  </w:style>
  <w:style w:type="paragraph" w:customStyle="1" w:styleId="EPTerm">
    <w:name w:val="EPTerm"/>
    <w:basedOn w:val="Normal"/>
    <w:next w:val="Normal"/>
    <w:rsid w:val="00706BC0"/>
    <w:pPr>
      <w:spacing w:after="80"/>
    </w:pPr>
    <w:rPr>
      <w:rFonts w:ascii="Arial" w:hAnsi="Arial" w:cs="Arial"/>
      <w:sz w:val="20"/>
      <w:szCs w:val="22"/>
    </w:rPr>
  </w:style>
  <w:style w:type="paragraph" w:customStyle="1" w:styleId="EPLogo">
    <w:name w:val="EPLogo"/>
    <w:basedOn w:val="Normal"/>
    <w:qFormat/>
    <w:rsid w:val="00706BC0"/>
    <w:pPr>
      <w:jc w:val="right"/>
    </w:pPr>
  </w:style>
  <w:style w:type="paragraph" w:customStyle="1" w:styleId="CoverReference">
    <w:name w:val="CoverReference"/>
    <w:basedOn w:val="Normal"/>
    <w:rsid w:val="00094DDA"/>
    <w:pPr>
      <w:spacing w:before="1080"/>
      <w:jc w:val="right"/>
    </w:pPr>
    <w:rPr>
      <w:rFonts w:ascii="Arial" w:hAnsi="Arial" w:cs="Arial"/>
      <w:b/>
    </w:rPr>
  </w:style>
  <w:style w:type="paragraph" w:customStyle="1" w:styleId="CoverDate">
    <w:name w:val="CoverDate"/>
    <w:basedOn w:val="Normal"/>
    <w:rsid w:val="00094DDA"/>
    <w:pPr>
      <w:spacing w:before="240" w:after="1200"/>
    </w:pPr>
  </w:style>
  <w:style w:type="paragraph" w:customStyle="1" w:styleId="EPFooter">
    <w:name w:val="EPFooter"/>
    <w:basedOn w:val="Normal"/>
    <w:rsid w:val="00EC05E9"/>
    <w:pPr>
      <w:tabs>
        <w:tab w:val="center" w:pos="4535"/>
        <w:tab w:val="right" w:pos="9071"/>
      </w:tabs>
      <w:spacing w:before="240" w:after="240"/>
    </w:pPr>
    <w:rPr>
      <w:color w:val="010000"/>
      <w:sz w:val="22"/>
    </w:rPr>
  </w:style>
  <w:style w:type="character" w:customStyle="1" w:styleId="HeaderChar">
    <w:name w:val="Header Char"/>
    <w:basedOn w:val="DefaultParagraphFont"/>
    <w:link w:val="Header"/>
    <w:semiHidden/>
    <w:rsid w:val="007E1E11"/>
    <w:rPr>
      <w:sz w:val="24"/>
    </w:rPr>
  </w:style>
  <w:style w:type="character" w:styleId="Hyperlink">
    <w:name w:val="Hyperlink"/>
    <w:basedOn w:val="DefaultParagraphFont"/>
    <w:uiPriority w:val="99"/>
    <w:unhideWhenUsed/>
    <w:rsid w:val="003A76FC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nhideWhenUsed/>
    <w:rsid w:val="003A76FC"/>
    <w:pPr>
      <w:widowControl/>
      <w:suppressLineNumbers/>
      <w:ind w:left="339" w:hanging="339"/>
    </w:pPr>
    <w:rPr>
      <w:rFonts w:ascii="DejaVu Serif" w:eastAsia="DejaVu Sans" w:hAnsi="DejaVu Serif" w:cs="Noto Sans Devanagari"/>
      <w:kern w:val="2"/>
      <w:sz w:val="20"/>
      <w:lang w:eastAsia="zh-CN" w:bidi="hi-IN"/>
    </w:rPr>
  </w:style>
  <w:style w:type="character" w:customStyle="1" w:styleId="FootnoteTextChar">
    <w:name w:val="Footnote Text Char"/>
    <w:basedOn w:val="DefaultParagraphFont"/>
    <w:link w:val="FootnoteText"/>
    <w:rsid w:val="003A76FC"/>
    <w:rPr>
      <w:rFonts w:ascii="DejaVu Serif" w:eastAsia="DejaVu Sans" w:hAnsi="DejaVu Serif" w:cs="Noto Sans Devanagari"/>
      <w:kern w:val="2"/>
      <w:lang w:val="pt-PT" w:eastAsia="zh-CN" w:bidi="hi-IN"/>
    </w:rPr>
  </w:style>
  <w:style w:type="character" w:customStyle="1" w:styleId="Funotenzeichen">
    <w:name w:val="Fußnotenzeichen"/>
    <w:qFormat/>
    <w:rsid w:val="003A76FC"/>
  </w:style>
  <w:style w:type="character" w:styleId="FootnoteReference">
    <w:name w:val="footnote reference"/>
    <w:basedOn w:val="DefaultParagraphFont"/>
    <w:uiPriority w:val="99"/>
    <w:unhideWhenUsed/>
    <w:rsid w:val="003A76FC"/>
    <w:rPr>
      <w:vertAlign w:val="superscript"/>
    </w:rPr>
  </w:style>
  <w:style w:type="paragraph" w:styleId="BodyText">
    <w:name w:val="Body Text"/>
    <w:basedOn w:val="Normal"/>
    <w:link w:val="BodyTextChar"/>
    <w:rsid w:val="003A76FC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A76FC"/>
    <w:rPr>
      <w:sz w:val="24"/>
    </w:rPr>
  </w:style>
  <w:style w:type="character" w:styleId="CommentReference">
    <w:name w:val="annotation reference"/>
    <w:basedOn w:val="DefaultParagraphFont"/>
    <w:uiPriority w:val="99"/>
    <w:rsid w:val="00250718"/>
    <w:rPr>
      <w:sz w:val="16"/>
      <w:szCs w:val="16"/>
    </w:rPr>
  </w:style>
  <w:style w:type="paragraph" w:styleId="CommentText">
    <w:name w:val="annotation text"/>
    <w:basedOn w:val="Normal"/>
    <w:link w:val="CommentTextChar"/>
    <w:rsid w:val="0025071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50718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507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50718"/>
    <w:rPr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25071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50718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semiHidden/>
    <w:rsid w:val="001C31D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semiHidden/>
    <w:rsid w:val="001C31D8"/>
    <w:rPr>
      <w:sz w:val="24"/>
    </w:rPr>
  </w:style>
  <w:style w:type="character" w:styleId="FollowedHyperlink">
    <w:name w:val="FollowedHyperlink"/>
    <w:basedOn w:val="DefaultParagraphFont"/>
    <w:rsid w:val="00FB7A1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3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edpb.europa.eu/our-work-tools/public-consultations-art-704/2020/recommendations-012020-measures-supplement-transfer_pt" TargetMode="External"/><Relationship Id="rId3" Type="http://schemas.openxmlformats.org/officeDocument/2006/relationships/hyperlink" Target="https://eur-lex.europa.eu/legal-content/PT/TXT/?uri=CELEX:62014CJ0362" TargetMode="External"/><Relationship Id="rId7" Type="http://schemas.openxmlformats.org/officeDocument/2006/relationships/hyperlink" Target="https://eur-lex.europa.eu/eli/reg/2016/679/oj?locale=pt" TargetMode="External"/><Relationship Id="rId2" Type="http://schemas.openxmlformats.org/officeDocument/2006/relationships/hyperlink" Target="https://eur-lex.europa.eu/legal-content/PT/TXT/?uri=CELEX:62018CA0311&amp;qid=1610640279033" TargetMode="External"/><Relationship Id="rId1" Type="http://schemas.openxmlformats.org/officeDocument/2006/relationships/hyperlink" Target="file:///C:\Users\cbull\AppData\Local\Microsoft\Windows\INetCache\Content.Outlook\9A0NKB2P\%09https:\eur-lex.europa.eu\legal-content\EN\TXT\?uri=CELEX:62018CJ0311" TargetMode="External"/><Relationship Id="rId6" Type="http://schemas.openxmlformats.org/officeDocument/2006/relationships/hyperlink" Target="https://www.europarl.europa.eu/doceo/document/TA-8-2018-0433_PT.html" TargetMode="External"/><Relationship Id="rId5" Type="http://schemas.openxmlformats.org/officeDocument/2006/relationships/hyperlink" Target="https://www.europarl.europa.eu/doceo/document/TA-8-2018-0315_PT.html" TargetMode="External"/><Relationship Id="rId4" Type="http://schemas.openxmlformats.org/officeDocument/2006/relationships/hyperlink" Target="https://eur-lex.europa.eu/legal-content/PT/TXT/?uri=CELEX:62017CJ0623" TargetMode="External"/><Relationship Id="rId9" Type="http://schemas.openxmlformats.org/officeDocument/2006/relationships/hyperlink" Target="https://edpb.europa.eu/our-work-tools/our-documents/preporki/recommendations-022020-european-essential-guarantees_p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329E4B-7A81-441F-A977-2D79F2FFB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1624</Words>
  <Characters>9025</Characters>
  <Application>Microsoft Office Word</Application>
  <DocSecurity>0</DocSecurity>
  <Lines>167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RE_Statements</vt:lpstr>
    </vt:vector>
  </TitlesOfParts>
  <Company/>
  <LinksUpToDate>false</LinksUpToDate>
  <CharactersWithSpaces>10583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RE_Statements</dc:title>
  <dc:subject/>
  <dc:creator>CUADRAT SEIX Iban</dc:creator>
  <cp:keywords/>
  <dc:description/>
  <cp:lastModifiedBy>SILVA Carla Marina</cp:lastModifiedBy>
  <cp:revision>2</cp:revision>
  <cp:lastPrinted>2004-11-19T15:55:00Z</cp:lastPrinted>
  <dcterms:created xsi:type="dcterms:W3CDTF">2021-01-29T10:50:00Z</dcterms:created>
  <dcterms:modified xsi:type="dcterms:W3CDTF">2021-01-29T10:50:00Z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 with">
    <vt:lpwstr>9.9.1 Build [20200705]</vt:lpwstr>
  </property>
  <property fmtid="{D5CDD505-2E9C-101B-9397-08002B2CF9AE}" pid="3" name="LastEdited with">
    <vt:lpwstr>9.9.1 Build [20200705]</vt:lpwstr>
  </property>
  <property fmtid="{D5CDD505-2E9C-101B-9397-08002B2CF9AE}" pid="4" name="&lt;FdR&gt;">
    <vt:lpwstr>1222135</vt:lpwstr>
  </property>
  <property fmtid="{D5CDD505-2E9C-101B-9397-08002B2CF9AE}" pid="5" name="&lt;Type&gt;">
    <vt:lpwstr>RE</vt:lpwstr>
  </property>
  <property fmtid="{D5CDD505-2E9C-101B-9397-08002B2CF9AE}" pid="6" name="&lt;ModelCod&gt;">
    <vt:lpwstr>\\eiciBRUpr1\pdocep$\DocEP\DOCS\General\RE\RE_Statements.dotx(17/04/2020 18:29:07)</vt:lpwstr>
  </property>
  <property fmtid="{D5CDD505-2E9C-101B-9397-08002B2CF9AE}" pid="7" name="&lt;ModelTra&gt;">
    <vt:lpwstr>\\eiciBRUpr1\pdocep$\DocEP\TRANSFIL\EN\RE_Statements.EN(25/06/2019 11:01:00)</vt:lpwstr>
  </property>
  <property fmtid="{D5CDD505-2E9C-101B-9397-08002B2CF9AE}" pid="8" name="&lt;Model&gt;">
    <vt:lpwstr>RE_Statements</vt:lpwstr>
  </property>
  <property fmtid="{D5CDD505-2E9C-101B-9397-08002B2CF9AE}" pid="9" name="FooterPath">
    <vt:lpwstr>RE\1222135PT.docx</vt:lpwstr>
  </property>
  <property fmtid="{D5CDD505-2E9C-101B-9397-08002B2CF9AE}" pid="10" name="PE number">
    <vt:lpwstr>663.216</vt:lpwstr>
  </property>
  <property fmtid="{D5CDD505-2E9C-101B-9397-08002B2CF9AE}" pid="11" name="SendToEpades">
    <vt:lpwstr>OK - 2021/01/15 11:13</vt:lpwstr>
  </property>
  <property fmtid="{D5CDD505-2E9C-101B-9397-08002B2CF9AE}" pid="12" name="SDLStudio">
    <vt:lpwstr/>
  </property>
  <property fmtid="{D5CDD505-2E9C-101B-9397-08002B2CF9AE}" pid="13" name="&lt;Extension&gt;">
    <vt:lpwstr>PT</vt:lpwstr>
  </property>
  <property fmtid="{D5CDD505-2E9C-101B-9397-08002B2CF9AE}" pid="14" name="Bookout">
    <vt:lpwstr>OK - 2021/01/29 11:49</vt:lpwstr>
  </property>
</Properties>
</file>