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4C6464" w14:paraId="5A95D407" w14:textId="77777777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14:paraId="702AD9E4" w14:textId="77777777" w:rsidR="008F5EFB" w:rsidRPr="004C6464" w:rsidRDefault="00F510C8" w:rsidP="00C85D0F">
            <w:pPr>
              <w:pStyle w:val="EPName"/>
            </w:pPr>
            <w:bookmarkStart w:id="0" w:name="_GoBack"/>
            <w:bookmarkEnd w:id="0"/>
            <w:r w:rsidRPr="004C6464">
              <w:t>Parlament Ewropew</w:t>
            </w:r>
          </w:p>
          <w:p w14:paraId="36F604D4" w14:textId="77777777" w:rsidR="008F5EFB" w:rsidRPr="004C6464" w:rsidRDefault="003A76FC" w:rsidP="003A76FC">
            <w:pPr>
              <w:pStyle w:val="EPTerm"/>
            </w:pPr>
            <w:r w:rsidRPr="004C6464">
              <w:t>2019-2024</w:t>
            </w:r>
          </w:p>
        </w:tc>
        <w:tc>
          <w:tcPr>
            <w:tcW w:w="2268" w:type="dxa"/>
            <w:shd w:val="clear" w:color="auto" w:fill="auto"/>
          </w:tcPr>
          <w:p w14:paraId="1723FC61" w14:textId="77777777" w:rsidR="008F5EFB" w:rsidRPr="004C6464" w:rsidRDefault="008F5EFB" w:rsidP="00C85D0F">
            <w:pPr>
              <w:pStyle w:val="EPLogo"/>
            </w:pPr>
            <w:r w:rsidRPr="004C6464">
              <w:rPr>
                <w:noProof/>
                <w:lang w:val="en-GB"/>
              </w:rPr>
              <w:drawing>
                <wp:inline distT="0" distB="0" distL="0" distR="0" wp14:anchorId="56207258" wp14:editId="35CF6CB1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3F2A0" w14:textId="77777777" w:rsidR="00E53167" w:rsidRPr="004C6464" w:rsidRDefault="00E53167" w:rsidP="00E53167">
      <w:pPr>
        <w:pStyle w:val="LineTop"/>
      </w:pPr>
    </w:p>
    <w:p w14:paraId="69AFB50C" w14:textId="77777777" w:rsidR="00E53167" w:rsidRPr="004C6464" w:rsidRDefault="003A76FC" w:rsidP="00E53167">
      <w:pPr>
        <w:pStyle w:val="EPBody"/>
      </w:pPr>
      <w:r w:rsidRPr="004C6464">
        <w:rPr>
          <w:rStyle w:val="HideTWBInt"/>
        </w:rPr>
        <w:t>{LIBE}</w:t>
      </w:r>
      <w:r w:rsidRPr="004C6464">
        <w:t>Kumitat għal-Libertajiet Ċivili, il-Ġustizzja u l-Intern</w:t>
      </w:r>
    </w:p>
    <w:p w14:paraId="14C16DCC" w14:textId="77777777" w:rsidR="00094DDA" w:rsidRPr="004C6464" w:rsidRDefault="00094DDA" w:rsidP="00094DDA">
      <w:pPr>
        <w:pStyle w:val="LineBottom"/>
      </w:pPr>
    </w:p>
    <w:p w14:paraId="5B9DD5D1" w14:textId="77777777" w:rsidR="00094DDA" w:rsidRPr="004C6464" w:rsidRDefault="00094DDA" w:rsidP="00094DDA">
      <w:pPr>
        <w:pStyle w:val="CoverReference"/>
      </w:pPr>
      <w:r w:rsidRPr="004C6464">
        <w:rPr>
          <w:rStyle w:val="HideTWBExt"/>
          <w:b w:val="0"/>
        </w:rPr>
        <w:t>&lt;NoDocSe&gt;</w:t>
      </w:r>
      <w:r w:rsidRPr="004C6464">
        <w:t>2020/2789(RSP)</w:t>
      </w:r>
      <w:r w:rsidRPr="004C6464">
        <w:rPr>
          <w:rStyle w:val="HideTWBExt"/>
          <w:b w:val="0"/>
        </w:rPr>
        <w:t>&lt;/NoDocSe&gt;</w:t>
      </w:r>
    </w:p>
    <w:p w14:paraId="5120A14B" w14:textId="77777777" w:rsidR="00094DDA" w:rsidRPr="004C6464" w:rsidRDefault="00094DDA" w:rsidP="00094DDA">
      <w:pPr>
        <w:pStyle w:val="CoverDate"/>
      </w:pPr>
      <w:r w:rsidRPr="004C6464">
        <w:rPr>
          <w:rStyle w:val="HideTWBExt"/>
        </w:rPr>
        <w:t>&lt;Date&gt;</w:t>
      </w:r>
      <w:r w:rsidRPr="004C6464">
        <w:rPr>
          <w:rStyle w:val="HideTWBInt"/>
        </w:rPr>
        <w:t>{13/01/2021}</w:t>
      </w:r>
      <w:r w:rsidRPr="004C6464">
        <w:t>13.1.2021</w:t>
      </w:r>
      <w:r w:rsidRPr="004C6464">
        <w:rPr>
          <w:rStyle w:val="HideTWBExt"/>
        </w:rPr>
        <w:t>&lt;/Date&gt;</w:t>
      </w:r>
    </w:p>
    <w:p w14:paraId="6BD8A970" w14:textId="77777777" w:rsidR="00814BC6" w:rsidRPr="004C6464" w:rsidRDefault="00814BC6">
      <w:pPr>
        <w:pStyle w:val="CoverDocType24a"/>
      </w:pPr>
      <w:r w:rsidRPr="004C6464">
        <w:rPr>
          <w:rStyle w:val="HideTWBExt"/>
          <w:b w:val="0"/>
        </w:rPr>
        <w:t>&lt;TitreType&gt;</w:t>
      </w:r>
      <w:r w:rsidRPr="004C6464">
        <w:t>ABBOZZ TA' MOZZJONI GĦAL RIŻOLUZZJONI</w:t>
      </w:r>
      <w:r w:rsidRPr="004C6464">
        <w:rPr>
          <w:rStyle w:val="HideTWBExt"/>
          <w:b w:val="0"/>
        </w:rPr>
        <w:t>&lt;/TitreType&gt;</w:t>
      </w:r>
    </w:p>
    <w:p w14:paraId="71E91CCE" w14:textId="77777777" w:rsidR="00814BC6" w:rsidRPr="004C6464" w:rsidRDefault="00814BC6">
      <w:pPr>
        <w:pStyle w:val="CoverNormal12a"/>
      </w:pPr>
      <w:r w:rsidRPr="004C6464">
        <w:rPr>
          <w:rStyle w:val="HideTWBExt"/>
        </w:rPr>
        <w:t>&lt;TitreSuite&gt;</w:t>
      </w:r>
      <w:r w:rsidRPr="004C6464">
        <w:t>imressqa wara d-dikjarazzjoni tal-Kummissjoni</w:t>
      </w:r>
      <w:r w:rsidRPr="004C6464">
        <w:rPr>
          <w:rStyle w:val="HideTWBExt"/>
        </w:rPr>
        <w:t>&lt;/TitreSuite&gt;</w:t>
      </w:r>
    </w:p>
    <w:p w14:paraId="1702F310" w14:textId="77777777" w:rsidR="00814BC6" w:rsidRPr="004C6464" w:rsidRDefault="00814BC6">
      <w:pPr>
        <w:pStyle w:val="CoverNormal12a"/>
      </w:pPr>
      <w:r w:rsidRPr="004C6464">
        <w:rPr>
          <w:rStyle w:val="HideTWBExt"/>
        </w:rPr>
        <w:t>&lt;TitreRecueil&gt;</w:t>
      </w:r>
      <w:r w:rsidRPr="004C6464">
        <w:t>skont l-Artikolu 132(2) tar-Regoli ta' Proċedura</w:t>
      </w:r>
      <w:r w:rsidRPr="004C6464">
        <w:rPr>
          <w:rStyle w:val="HideTWBExt"/>
        </w:rPr>
        <w:t>&lt;/TitreRecueil&gt;</w:t>
      </w:r>
    </w:p>
    <w:p w14:paraId="673379C3" w14:textId="453B0284" w:rsidR="00C23264" w:rsidRPr="004C6464" w:rsidRDefault="00C23264" w:rsidP="00C23264">
      <w:pPr>
        <w:pStyle w:val="CoverNormal"/>
      </w:pPr>
      <w:r w:rsidRPr="004C6464">
        <w:rPr>
          <w:rStyle w:val="HideTWBExt"/>
        </w:rPr>
        <w:t>&lt;Titre&gt;</w:t>
      </w:r>
      <w:r w:rsidRPr="004C6464">
        <w:t>dwar is-sentenza tal-Qorti tal-Ġustizzja tas-16 ta' Lulju 2020 - Data Protection Commissioner vs Facebook Ireland Limited u Maximillian Schrems ("Schrems II") - Kawża C-311/18</w:t>
      </w:r>
      <w:r w:rsidRPr="004C6464">
        <w:rPr>
          <w:rStyle w:val="HideTWBExt"/>
        </w:rPr>
        <w:t>&lt;/Titre&gt;</w:t>
      </w:r>
    </w:p>
    <w:p w14:paraId="3CD31C96" w14:textId="77777777" w:rsidR="00C23264" w:rsidRPr="004C6464" w:rsidRDefault="00C23264" w:rsidP="00C23264">
      <w:pPr>
        <w:pStyle w:val="CoverNormal24a"/>
      </w:pPr>
      <w:r w:rsidRPr="004C6464">
        <w:rPr>
          <w:rStyle w:val="HideTWBExt"/>
        </w:rPr>
        <w:t>&lt;DocRef&gt;</w:t>
      </w:r>
      <w:r w:rsidRPr="004C6464">
        <w:t>(2020/2789(RSP))</w:t>
      </w:r>
      <w:r w:rsidRPr="004C6464">
        <w:rPr>
          <w:rStyle w:val="HideTWBExt"/>
        </w:rPr>
        <w:t>&lt;/DocRef&gt;</w:t>
      </w:r>
    </w:p>
    <w:p w14:paraId="09FC6BCE" w14:textId="77777777" w:rsidR="002574AA" w:rsidRPr="004C6464" w:rsidRDefault="002574AA" w:rsidP="002574AA">
      <w:pPr>
        <w:pStyle w:val="CoverBold"/>
      </w:pPr>
      <w:r w:rsidRPr="004C6464">
        <w:rPr>
          <w:rStyle w:val="HideTWBExt"/>
          <w:b w:val="0"/>
        </w:rPr>
        <w:t>&lt;RepeatBlock-By&gt;&lt;Depute&gt;</w:t>
      </w:r>
      <w:r w:rsidRPr="004C6464">
        <w:t>Juan Fernando López Aguilar</w:t>
      </w:r>
      <w:r w:rsidRPr="004C6464">
        <w:rPr>
          <w:rStyle w:val="HideTWBExt"/>
          <w:b w:val="0"/>
          <w:color w:val="auto"/>
        </w:rPr>
        <w:t>&lt;/Depute&gt;</w:t>
      </w:r>
    </w:p>
    <w:p w14:paraId="33C071FD" w14:textId="5B0044C3" w:rsidR="002574AA" w:rsidRPr="004C6464" w:rsidRDefault="002574AA" w:rsidP="002574AA">
      <w:pPr>
        <w:pStyle w:val="CoverNormal"/>
      </w:pPr>
      <w:r w:rsidRPr="004C6464">
        <w:rPr>
          <w:rStyle w:val="HideTWBExt"/>
        </w:rPr>
        <w:t>&lt;Commission&gt;</w:t>
      </w:r>
      <w:r w:rsidRPr="004C6464">
        <w:rPr>
          <w:rStyle w:val="HideTWBInt"/>
        </w:rPr>
        <w:t>{LIBE}</w:t>
      </w:r>
      <w:r w:rsidRPr="004C6464">
        <w:t>f'isem il-Kumitat għal-Libertajiet Ċivili, il-Ġustizzja u l-Intern</w:t>
      </w:r>
      <w:r w:rsidRPr="004C6464">
        <w:rPr>
          <w:rStyle w:val="HideTWBExt"/>
        </w:rPr>
        <w:t>&lt;/Commission&gt;</w:t>
      </w:r>
    </w:p>
    <w:p w14:paraId="78E1BA91" w14:textId="77777777" w:rsidR="002574AA" w:rsidRPr="004C6464" w:rsidRDefault="002574AA" w:rsidP="002574AA">
      <w:pPr>
        <w:pStyle w:val="CoverNormal"/>
      </w:pPr>
      <w:r w:rsidRPr="004C6464">
        <w:rPr>
          <w:rStyle w:val="HideTWBExt"/>
        </w:rPr>
        <w:t>&lt;/RepeatBlock-By&gt;</w:t>
      </w:r>
    </w:p>
    <w:p w14:paraId="06BF4DB5" w14:textId="77777777" w:rsidR="00814BC6" w:rsidRPr="004C6464" w:rsidRDefault="00814BC6">
      <w:pPr>
        <w:pStyle w:val="NormalBold12a"/>
      </w:pPr>
      <w:r w:rsidRPr="004C6464">
        <w:br w:type="page"/>
      </w:r>
      <w:r w:rsidRPr="004C6464">
        <w:lastRenderedPageBreak/>
        <w:t>B9</w:t>
      </w:r>
      <w:r w:rsidRPr="004C6464">
        <w:noBreakHyphen/>
        <w:t>0000/2021</w:t>
      </w:r>
    </w:p>
    <w:p w14:paraId="7414C422" w14:textId="5E355FC9" w:rsidR="00C23264" w:rsidRPr="004C6464" w:rsidRDefault="001E1556" w:rsidP="00C23264">
      <w:pPr>
        <w:pStyle w:val="NormalBold"/>
      </w:pPr>
      <w:r w:rsidRPr="004C6464">
        <w:t>Riżoluzzjoni tal-Parlament Ewropew dwar is-sentenza tal-Qorti tal-Ġustizzja tas-16 ta' Lulju 2020 - Data Protection Commissioner vs Facebook Ireland Limited u Maximillian Schrems ("Schrems II") - Kawża C-311/18</w:t>
      </w:r>
    </w:p>
    <w:p w14:paraId="5BB55312" w14:textId="77777777" w:rsidR="00C23264" w:rsidRPr="004C6464" w:rsidRDefault="00F510C8" w:rsidP="00DF7943">
      <w:pPr>
        <w:pStyle w:val="NormalBold"/>
      </w:pPr>
      <w:r w:rsidRPr="004C6464">
        <w:t>(2020/2789(RSP))</w:t>
      </w:r>
    </w:p>
    <w:p w14:paraId="5640CA28" w14:textId="77777777" w:rsidR="00814BC6" w:rsidRPr="004C6464" w:rsidRDefault="00F510C8">
      <w:pPr>
        <w:pStyle w:val="EPComma"/>
      </w:pPr>
      <w:r w:rsidRPr="004C6464">
        <w:rPr>
          <w:i/>
        </w:rPr>
        <w:t>Il-Parlament Ewropew</w:t>
      </w:r>
      <w:r w:rsidRPr="004C6464">
        <w:t>,</w:t>
      </w:r>
    </w:p>
    <w:p w14:paraId="0E983A99" w14:textId="345AD13F" w:rsidR="00814BC6" w:rsidRPr="004C6464" w:rsidRDefault="00814BC6">
      <w:pPr>
        <w:pStyle w:val="NormalHanging12a"/>
      </w:pPr>
      <w:r w:rsidRPr="004C6464">
        <w:t>–</w:t>
      </w:r>
      <w:r w:rsidRPr="004C6464">
        <w:tab/>
        <w:t>wara li kkunsidra l-Karta tad-Drittijiet Fundamentali tal-Unjoni Ewropea, b'mod partikolari l-Artikoli 7, 8, 47 u 52,</w:t>
      </w:r>
    </w:p>
    <w:p w14:paraId="74E75821" w14:textId="2D5694F1" w:rsidR="001E1556" w:rsidRPr="004C6464" w:rsidRDefault="001E1556" w:rsidP="003A76FC">
      <w:pPr>
        <w:widowControl/>
        <w:spacing w:after="240"/>
        <w:ind w:left="567" w:hanging="567"/>
      </w:pPr>
      <w:r w:rsidRPr="004C6464">
        <w:t>–</w:t>
      </w:r>
      <w:r w:rsidRPr="004C6464">
        <w:tab/>
        <w:t>wara li kkunsidra s-sentenza tal-Qorti tal-Ġustizzja tas-16 ta' Lulju 2020 fil-Kawża C-311/18, Data Protection Commissioner v Facebook Ireland Limited u Maximillian Schrems</w:t>
      </w:r>
      <w:r w:rsidRPr="004C6464">
        <w:rPr>
          <w:vertAlign w:val="superscript"/>
        </w:rPr>
        <w:footnoteReference w:id="1"/>
      </w:r>
      <w:r w:rsidRPr="004C6464">
        <w:t xml:space="preserve"> (Schrems II);</w:t>
      </w:r>
    </w:p>
    <w:p w14:paraId="6126C222" w14:textId="77777777" w:rsidR="003A76FC" w:rsidRPr="004C6464" w:rsidRDefault="003A76FC" w:rsidP="003A76FC">
      <w:pPr>
        <w:pStyle w:val="NormalHanging12a"/>
      </w:pPr>
      <w:r w:rsidRPr="004C6464">
        <w:t>–</w:t>
      </w:r>
      <w:r w:rsidRPr="004C6464">
        <w:tab/>
        <w:t>wara li kkunsidra s-sentenza tal-Qorti tal-Ġustizzja tas-6 ta' Ottubru 2015 fil-Kawża C-362/14 Maximilian Schrems v Data Protection Commissioner</w:t>
      </w:r>
      <w:r w:rsidRPr="004C6464">
        <w:rPr>
          <w:vertAlign w:val="superscript"/>
        </w:rPr>
        <w:footnoteReference w:id="2"/>
      </w:r>
      <w:r w:rsidRPr="004C6464">
        <w:t xml:space="preserve"> "(Schrems I)",</w:t>
      </w:r>
    </w:p>
    <w:p w14:paraId="26F28811" w14:textId="77777777" w:rsidR="003A76FC" w:rsidRPr="004C6464" w:rsidRDefault="003A76FC" w:rsidP="003A76FC">
      <w:pPr>
        <w:pStyle w:val="NormalHanging12a"/>
      </w:pPr>
      <w:r w:rsidRPr="004C6464">
        <w:t>–</w:t>
      </w:r>
      <w:r w:rsidRPr="004C6464">
        <w:tab/>
        <w:t xml:space="preserve">wara li kkunsidra s-sentenza tal-Qorti tal-Ġustizzja tas-6 ta' Ottubru 2020 fil-Kawża </w:t>
      </w:r>
      <w:bookmarkStart w:id="1" w:name="pagePrincipale"/>
      <w:bookmarkEnd w:id="1"/>
      <w:r w:rsidRPr="004C6464">
        <w:t>C</w:t>
      </w:r>
      <w:r w:rsidRPr="004C6464">
        <w:noBreakHyphen/>
        <w:t>623/17 Privacy International v Secretary of State of Foreign and Commonwealth Affairs</w:t>
      </w:r>
      <w:r w:rsidRPr="004C6464">
        <w:rPr>
          <w:vertAlign w:val="superscript"/>
        </w:rPr>
        <w:footnoteReference w:id="3"/>
      </w:r>
      <w:r w:rsidRPr="004C6464">
        <w:t>;</w:t>
      </w:r>
    </w:p>
    <w:p w14:paraId="415AC0D4" w14:textId="77777777" w:rsidR="003A76FC" w:rsidRPr="004C6464" w:rsidRDefault="003A76FC" w:rsidP="003A76FC">
      <w:pPr>
        <w:pStyle w:val="NormalHanging12a"/>
      </w:pPr>
      <w:r w:rsidRPr="004C6464">
        <w:t>–</w:t>
      </w:r>
      <w:r w:rsidRPr="004C6464">
        <w:tab/>
        <w:t>wara li kkunsidra r-riżoluzzjoni tiegħu tal-5 ta' Lulju 2018 dwar l-adegwatezza tal-protezzjoni mogħtija mit-Tarka tal-Privatezza UE-US</w:t>
      </w:r>
      <w:r w:rsidRPr="004C6464">
        <w:rPr>
          <w:vertAlign w:val="superscript"/>
        </w:rPr>
        <w:footnoteReference w:id="4"/>
      </w:r>
      <w:r w:rsidRPr="004C6464">
        <w:t xml:space="preserve">; </w:t>
      </w:r>
    </w:p>
    <w:p w14:paraId="51A457E3" w14:textId="77777777" w:rsidR="003A76FC" w:rsidRPr="004C6464" w:rsidRDefault="003A76FC" w:rsidP="003A76FC">
      <w:pPr>
        <w:pStyle w:val="NormalHanging12a"/>
      </w:pPr>
      <w:r w:rsidRPr="004C6464">
        <w:t>–</w:t>
      </w:r>
      <w:r w:rsidRPr="004C6464">
        <w:tab/>
        <w:t>wara li kkunsidra r-riżoluzzjoni tiegħu tal-25 ta' Ottubru 2018 dwar l-użu tad-data tal-utenti ta' Facebook minn Cambridge Analytica u l-impatt fuq il-protezzjoni tad-data</w:t>
      </w:r>
      <w:r w:rsidRPr="004C6464">
        <w:rPr>
          <w:vertAlign w:val="superscript"/>
        </w:rPr>
        <w:footnoteReference w:id="5"/>
      </w:r>
      <w:r w:rsidRPr="004C6464">
        <w:t xml:space="preserve">; </w:t>
      </w:r>
    </w:p>
    <w:p w14:paraId="28CC7542" w14:textId="77777777" w:rsidR="003A76FC" w:rsidRPr="004C6464" w:rsidRDefault="003A76FC" w:rsidP="003A76FC">
      <w:pPr>
        <w:pStyle w:val="NormalHanging12a"/>
      </w:pPr>
      <w:r w:rsidRPr="004C6464">
        <w:t>–</w:t>
      </w:r>
      <w:r w:rsidRPr="004C6464">
        <w:tab/>
        <w:t>wara li kkunsidra r-riżoluzzjoni tiegħu tas-26 ta' Novembru 2020 dwar ir-Rieżami tal-Politika Kummerċjali tal-UE</w:t>
      </w:r>
      <w:r w:rsidRPr="004C6464">
        <w:rPr>
          <w:vertAlign w:val="superscript"/>
        </w:rPr>
        <w:footnoteReference w:id="6"/>
      </w:r>
      <w:r w:rsidRPr="004C6464">
        <w:t xml:space="preserve">, </w:t>
      </w:r>
    </w:p>
    <w:p w14:paraId="46BB3DFE" w14:textId="77777777" w:rsidR="003A76FC" w:rsidRPr="004C6464" w:rsidRDefault="003A76FC" w:rsidP="003A76FC">
      <w:pPr>
        <w:pStyle w:val="NormalHanging12a"/>
      </w:pPr>
      <w:r w:rsidRPr="004C6464">
        <w:t>–</w:t>
      </w:r>
      <w:r w:rsidRPr="004C6464">
        <w:tab/>
        <w:t>wara li kkunsidra r-Regolament (UE) 2016/679, ir-Regolament Ġenerali dwar il-Protezzjoni tad-Data (GDPR)</w:t>
      </w:r>
      <w:r w:rsidRPr="004C6464">
        <w:rPr>
          <w:vertAlign w:val="superscript"/>
        </w:rPr>
        <w:footnoteReference w:id="7"/>
      </w:r>
      <w:r w:rsidRPr="004C6464">
        <w:t xml:space="preserve">; </w:t>
      </w:r>
    </w:p>
    <w:p w14:paraId="18460B06" w14:textId="77777777" w:rsidR="003A76FC" w:rsidRPr="004C6464" w:rsidRDefault="003A76FC" w:rsidP="003A76FC">
      <w:pPr>
        <w:pStyle w:val="NormalHanging12a"/>
      </w:pPr>
      <w:r w:rsidRPr="004C6464">
        <w:t>–</w:t>
      </w:r>
      <w:r w:rsidRPr="004C6464">
        <w:tab/>
        <w:t>wara li kkunsidra r-Rakkomandazzjonijiet 01/2020 tal-Bord Ewropew għall-Protezzjoni tad-Data dwar miżuri li jissupplimentaw għodod ta' trasferiment biex tiġi żgurata l-konformità mal-livell tal-UE ta' protezzjoni tad-data personali u 02/2020 dwar il-</w:t>
      </w:r>
      <w:r w:rsidRPr="004C6464">
        <w:lastRenderedPageBreak/>
        <w:t>Garanziji Essenzjali Ewropej għal miżuri ta' sorveljanza</w:t>
      </w:r>
      <w:r w:rsidRPr="004C6464">
        <w:rPr>
          <w:vertAlign w:val="superscript"/>
        </w:rPr>
        <w:footnoteReference w:id="8"/>
      </w:r>
      <w:r w:rsidRPr="004C6464">
        <w:t>;</w:t>
      </w:r>
    </w:p>
    <w:p w14:paraId="52219F2C" w14:textId="77777777" w:rsidR="00ED22B8" w:rsidRPr="004C6464" w:rsidRDefault="00ED22B8" w:rsidP="00ED22B8">
      <w:pPr>
        <w:pStyle w:val="NormalHanging12a"/>
      </w:pPr>
      <w:r w:rsidRPr="004C6464">
        <w:t>–</w:t>
      </w:r>
      <w:r w:rsidRPr="004C6464">
        <w:tab/>
        <w:t>wara li kkunsidra l-Artikolu 132(2) tar-Regoli ta' Proċedura tiegħu,</w:t>
      </w:r>
    </w:p>
    <w:p w14:paraId="6EE44B73" w14:textId="14A89C72" w:rsidR="00814BC6" w:rsidRPr="004C6464" w:rsidRDefault="001C31D8" w:rsidP="001C31D8">
      <w:pPr>
        <w:pStyle w:val="NormalHanging12a"/>
        <w:ind w:hanging="566"/>
      </w:pPr>
      <w:r w:rsidRPr="004C6464">
        <w:t>A.</w:t>
      </w:r>
      <w:r w:rsidRPr="004C6464">
        <w:tab/>
        <w:t>billi l-Qorti tal-Ġustizzja tal-UE (QĠUE) fis-sentenza "Schrems I" indikat li l-aċċess indiskriminat mill-awtoritajiet tal-intelligence għall-kontenut tal-komunikazzjonijiet elettroniċi jikser l-essenza tad-dritt għall-kunfidenzjalità tal-komunikazzjonijiet kif previst fl-Artikolu 7 tal-Karta;</w:t>
      </w:r>
    </w:p>
    <w:p w14:paraId="472F6D45" w14:textId="54928942" w:rsidR="00250718" w:rsidRPr="004C6464" w:rsidRDefault="001C31D8" w:rsidP="001C31D8">
      <w:pPr>
        <w:pStyle w:val="NormalHanging12a"/>
        <w:ind w:hanging="566"/>
      </w:pPr>
      <w:r w:rsidRPr="004C6464">
        <w:t>B.</w:t>
      </w:r>
      <w:r w:rsidRPr="004C6464">
        <w:tab/>
        <w:t>billi l-Qorti fis-sentenza "Schrems II" indikat li l-Istati Uniti ma jipprovdux rimedji legali suffiċjenti għal persuni li mhumiex mill-Istati Uniti kontra s-sorveljanza tal-massa, u li dan jikser l-essenza tad-dritt għal rimedju legali kif previst fl-Artikolu 47 tal-Karta;</w:t>
      </w:r>
    </w:p>
    <w:p w14:paraId="017FB887" w14:textId="464EB56A" w:rsidR="00250718" w:rsidRPr="004C6464" w:rsidRDefault="001C31D8" w:rsidP="001C31D8">
      <w:pPr>
        <w:pStyle w:val="NormalHanging12a"/>
        <w:ind w:hanging="566"/>
      </w:pPr>
      <w:r w:rsidRPr="004C6464">
        <w:t>C.</w:t>
      </w:r>
      <w:r w:rsidRPr="004C6464">
        <w:tab/>
        <w:t>billi fir-riżoluzzjoni tiegħu tal-25 ta' Ottubru 2018, il-Parlament Ewropew kien diġà talab lill-Kummissjoni tissospendi t-Tarka tal-Privatezza;</w:t>
      </w:r>
    </w:p>
    <w:p w14:paraId="1BD6B8F6" w14:textId="77777777" w:rsidR="00250718" w:rsidRPr="004C6464" w:rsidRDefault="00250718" w:rsidP="00250718">
      <w:pPr>
        <w:pStyle w:val="NormalHanging12a"/>
        <w:ind w:left="1" w:firstLine="0"/>
      </w:pPr>
      <w:r w:rsidRPr="004C6464">
        <w:rPr>
          <w:b/>
          <w:bCs/>
          <w:i/>
          <w:iCs/>
        </w:rPr>
        <w:t>OSSERVAZZJONIJIET ĠENERALI</w:t>
      </w:r>
    </w:p>
    <w:p w14:paraId="17826566" w14:textId="7E560143" w:rsidR="00814BC6" w:rsidRPr="004C6464" w:rsidRDefault="001C31D8" w:rsidP="001C31D8">
      <w:pPr>
        <w:pStyle w:val="NormalHanging12a"/>
        <w:ind w:hanging="566"/>
      </w:pPr>
      <w:r w:rsidRPr="004C6464">
        <w:t>1.</w:t>
      </w:r>
      <w:r w:rsidRPr="004C6464">
        <w:tab/>
        <w:t>Jieħu nota tas-sentenza tal-QĠUE tas-16 ta' Lulju 2020, li fiha l-Qorti kkonfermat il-validità tad-Deċiżjoni 2010/87 dwar klawżoli kuntrattwali standard (SCCs) filwaqt li ddikjarathom li huma mekkaniżmu effettiv biex tiġi żgurata l-konformità mal-livell ta' protezzjoni previst fid-dritt tal-UE; jinnota wkoll li l-Qorti invalidat id-Deċiżjoni tal-Kummissjoni 2016/1250 dwar l-adegwatezza tal-protezzjoni pprovduta mill-Ħarsien tal-Privatezza UE-U.S.;</w:t>
      </w:r>
    </w:p>
    <w:p w14:paraId="0078C998" w14:textId="153BE441" w:rsidR="00A462B1" w:rsidRPr="004C6464" w:rsidRDefault="001C31D8" w:rsidP="001C31D8">
      <w:pPr>
        <w:pStyle w:val="NormalHanging12a"/>
        <w:ind w:hanging="566"/>
      </w:pPr>
      <w:r w:rsidRPr="004C6464">
        <w:t>2.</w:t>
      </w:r>
      <w:r w:rsidRPr="004C6464">
        <w:tab/>
        <w:t>Jemmen li s-sentenza tal-QĠUE għandha implikazzjonijiet sinifikanti għal deċiżjonijiet ta' adegwatezza li jinvolvu pajjiżi terzi; jafferma mill-ġdid il-ħtieġa għal ċarezza u ċertezza tad-dritt;</w:t>
      </w:r>
    </w:p>
    <w:p w14:paraId="34DA8BA6" w14:textId="4BA85E71" w:rsidR="00A462B1" w:rsidRPr="004C6464" w:rsidRDefault="001C31D8" w:rsidP="001C31D8">
      <w:pPr>
        <w:pStyle w:val="NormalHanging12a"/>
        <w:ind w:hanging="566"/>
      </w:pPr>
      <w:r w:rsidRPr="004C6464">
        <w:t>3.</w:t>
      </w:r>
      <w:r w:rsidRPr="004C6464">
        <w:tab/>
        <w:t>Jinsab imħasseb li l-kawża "Schrems II" kollha nbdiet mill-Kummissarju Irlandiż għall-Protezzjoni tad-Data, minflok ma adottata deċiżjoni fi ħdan is-setgħat konferiti lilu skont l-Artikolu 58 tal-GDPR; juri tħassib serju li l-Kummissarju Irlandiż għall-Protezzjoni tad-Data, bħala l-awtorità ewlenija għal dan, għadu ma ħax deċiżjoni dwar diversi rapporti dwar ksur tal-GDPR, imressqa fil-25 ta' Mejju 2018; jikkundanna bil-qawwa t-tentattiv tal-Awtorità Irlandiża għall-Protezzjoni tad-Data biex tpoġġi l-piż tal-ispejjeż tal-proċedura ġudizzjarja fuq Maximilian Schrems, tentattiv li kien joħloq effett disważiv massiv; jistieden lill-Kummissjoni tibda proċeduri ta' ksur kontra l-Irlanda għal nuqqas ta' infurzar xieraq tal-GDPR;</w:t>
      </w:r>
    </w:p>
    <w:p w14:paraId="1689259E" w14:textId="3740CA94" w:rsidR="00BF6571" w:rsidRPr="004C6464" w:rsidRDefault="001C31D8" w:rsidP="001C31D8">
      <w:pPr>
        <w:pStyle w:val="NormalHanging12a"/>
        <w:ind w:hanging="566"/>
      </w:pPr>
      <w:r w:rsidRPr="004C6464">
        <w:t>4.</w:t>
      </w:r>
      <w:r w:rsidRPr="004C6464">
        <w:tab/>
        <w:t>Iħeġġeġ lill-Kummissjoni tippubblika aktar gwida għall-kumpaniji, b'mod partikolari għall-SMEs, dwar it-trasferimenti internazzjonali tad-data, inkluż dwar is-salvagwardji addizzjonali meħtieġa għal trasferimenti bl-użu ta' SCCs;</w:t>
      </w:r>
    </w:p>
    <w:p w14:paraId="24D1A15F" w14:textId="202FFCBA" w:rsidR="00BF6571" w:rsidRPr="004C6464" w:rsidRDefault="00BF6571" w:rsidP="00BF6571">
      <w:pPr>
        <w:pStyle w:val="NormalHanging12a"/>
        <w:ind w:left="1" w:firstLine="0"/>
      </w:pPr>
      <w:r w:rsidRPr="004C6464">
        <w:rPr>
          <w:b/>
          <w:i/>
        </w:rPr>
        <w:t>KLAWŻOLI KUNTRATTWALI STANDARD</w:t>
      </w:r>
    </w:p>
    <w:p w14:paraId="50727A17" w14:textId="3317E88A" w:rsidR="00BF6571" w:rsidRPr="004C6464" w:rsidRDefault="001C31D8" w:rsidP="001C31D8">
      <w:pPr>
        <w:pStyle w:val="NormalHanging12a"/>
        <w:ind w:hanging="566"/>
      </w:pPr>
      <w:r w:rsidRPr="004C6464">
        <w:lastRenderedPageBreak/>
        <w:t>5.</w:t>
      </w:r>
      <w:r w:rsidRPr="004C6464">
        <w:tab/>
        <w:t>Jieħu nota tal-abbozz ta' deċiżjoni ta' implimentazzjoni tal-Kummissjoni u l-abbozz tal-SCCs; jilqa' l-fatt li l-Kummissjoni bħalissa qed tfittex feedback mingħand il-partijiet ikkonċernati dwar dan l-abbozz;</w:t>
      </w:r>
    </w:p>
    <w:p w14:paraId="51C87763" w14:textId="747E79E9" w:rsidR="00BF6571" w:rsidRPr="004C6464" w:rsidRDefault="001C31D8" w:rsidP="001C31D8">
      <w:pPr>
        <w:pStyle w:val="NormalHanging12a"/>
        <w:ind w:hanging="566"/>
      </w:pPr>
      <w:r w:rsidRPr="004C6464">
        <w:t>6.</w:t>
      </w:r>
      <w:r w:rsidRPr="004C6464">
        <w:tab/>
        <w:t xml:space="preserve">Jieħu nota tar-Rakkomandazzjonijiet 01/2020 tal-Bord Ewropew għall-Protezzjoni tad-Data (EDPB) dwar miżuri li jissupplimentaw għodod ta' trasferiment biex tiġi żgurata l-konformità mal-livell tal-UE ta' protezzjoni tad-data personali; jinsab imħasseb dwar kunflitti potenzjali ta' dawn ir-rakkomandazzjonijiet mal-proposta tal-Kummissjoni għall-SSCs; iqis li huma meħtieġa linji gwida aktar dettaljati mingħand il-Bord Ewropew għall-Protezzjoni tad-Data; </w:t>
      </w:r>
    </w:p>
    <w:p w14:paraId="396927EB" w14:textId="23D07BC0" w:rsidR="00BF6571" w:rsidRPr="004C6464" w:rsidRDefault="001C31D8" w:rsidP="001C31D8">
      <w:pPr>
        <w:pStyle w:val="NormalHanging12a"/>
        <w:ind w:hanging="566"/>
      </w:pPr>
      <w:r w:rsidRPr="004C6464">
        <w:t>7.</w:t>
      </w:r>
      <w:r w:rsidRPr="004C6464">
        <w:tab/>
        <w:t>Jemmen li huwa kruċjali li l-kumpaniji tal-UE jiddependu fuq mekkaniżmi solidi konformi mas-sentenza tal-QĠUE; iqis, f'dan ir-rigward, li l-proposta attwali tal-Kummissjoni għal mudell ta' SCC għandha tqis kif jixraq ir-rakkomandazzjonijiet rilevanti kollha; jappoġġa sett ta' għodod ta' miżuri supplimentari, pereżempju ċ-ċertifikazzjoni tas-sigurtà u s-salvagwardji tal-kriptaġġ, li huma aċċettati mir-regolaturi;</w:t>
      </w:r>
    </w:p>
    <w:p w14:paraId="4334779F" w14:textId="32F02EF4" w:rsidR="00BF6571" w:rsidRPr="004C6464" w:rsidRDefault="001C31D8" w:rsidP="001C31D8">
      <w:pPr>
        <w:pStyle w:val="NormalHanging12a"/>
        <w:ind w:hanging="566"/>
      </w:pPr>
      <w:r w:rsidRPr="004C6464">
        <w:t>8.</w:t>
      </w:r>
      <w:r w:rsidRPr="004C6464">
        <w:tab/>
        <w:t>Jindika li għall-kontrolluri tad-data li jaqgħu fil-kamp ta' applikazzjoni tal-Att tal-Istati Uniti dwar is-Sorveljanza tal-Intelligence Esterna, trasferiment ta' data personali mill-Unjoni mhuwiex possibbli taħt dawn l-SCCs, minħabba r-riskju għoli ta' sorveljanza tal-massa; hija biss riforma komprensiva tal-prattiki tas-sorveljanza fl-Istati Uniti li tista' tindirizza din il-problema b'mod sostenibbli u tipprovdi ċertezza tad-dritt lin-negozji u lis-suġġetti tad-data;</w:t>
      </w:r>
    </w:p>
    <w:p w14:paraId="39276751" w14:textId="70DCCAE0" w:rsidR="00BF6571" w:rsidRPr="004C6464" w:rsidRDefault="001C31D8" w:rsidP="001C31D8">
      <w:pPr>
        <w:pStyle w:val="NormalHanging12a"/>
        <w:ind w:hanging="566"/>
      </w:pPr>
      <w:r w:rsidRPr="004C6464">
        <w:t>9.</w:t>
      </w:r>
      <w:r w:rsidRPr="004C6464">
        <w:tab/>
        <w:t>Ifakkar li għadd kbir ta’ SMEs jagħmlu użu mill-SCCs; jenfasizza li l-kumpaniji u l-SMEs jeħtieġu b'mod urġenti linji gwida ċari u assistenza fl-applikazzjoni u l-interpretazzjoni tas-sentenza tal-Qorti;</w:t>
      </w:r>
    </w:p>
    <w:p w14:paraId="73B6FF38" w14:textId="3F7C1FC2" w:rsidR="00BF6571" w:rsidRPr="004C6464" w:rsidRDefault="001C31D8" w:rsidP="001C31D8">
      <w:pPr>
        <w:pStyle w:val="NormalHanging12a"/>
        <w:ind w:hanging="566"/>
      </w:pPr>
      <w:r w:rsidRPr="004C6464">
        <w:t>10.</w:t>
      </w:r>
      <w:r w:rsidRPr="004C6464">
        <w:tab/>
        <w:t>Jenfasizza s-setgħa ta' negozjar u l-kapaċità legali limitati tal-SMEs Ewropej, li, permezz ta' valutazzjonijiet tal-awtoadegwatezza ta' pajjiżi terzi, huma mistennija jiddeterminaw l-oqfsa legali kumplessi ta' pajjiżi terzi differenti; iħeġġeġ lill-Kummissjoni u lill-Bord Ewropew għall-Protezzjoni tad-Data jeżaminaw bir-reqqa l-ħtieġa u l-fattibbiltà ta' kwalunkwe miżura supplimentari meħtieġa, speċjalment għall-SMEs;</w:t>
      </w:r>
    </w:p>
    <w:p w14:paraId="7E0D5CA8" w14:textId="231D8B77" w:rsidR="00BF6571" w:rsidRPr="004C6464" w:rsidRDefault="001C31D8" w:rsidP="001C31D8">
      <w:pPr>
        <w:pStyle w:val="NormalHanging12a"/>
        <w:ind w:hanging="566"/>
      </w:pPr>
      <w:r w:rsidRPr="004C6464">
        <w:t>11.</w:t>
      </w:r>
      <w:r w:rsidRPr="004C6464">
        <w:tab/>
        <w:t>Iħeġġeġ lill-awtoritajiet superviżorji nazzjonali jużaw is-setgħat rispettivi tagħhom imsemmija fl-Artikolu 3 tal-abbozz ta' deċiżjoni ta' implimentazzjoni u skont l-Artikolu 58 tal-GDPR f'każijiet bħal dawn.</w:t>
      </w:r>
    </w:p>
    <w:p w14:paraId="09D6268F" w14:textId="528C5193" w:rsidR="00BF6571" w:rsidRPr="004C6464" w:rsidRDefault="00BF6571" w:rsidP="00BF6571">
      <w:pPr>
        <w:pStyle w:val="NormalHanging12a"/>
        <w:ind w:left="1" w:firstLine="0"/>
      </w:pPr>
      <w:r w:rsidRPr="004C6464">
        <w:rPr>
          <w:b/>
          <w:i/>
        </w:rPr>
        <w:t>TARKA TAL-PRIVATEZZA</w:t>
      </w:r>
    </w:p>
    <w:p w14:paraId="038B72A1" w14:textId="36CA07D9" w:rsidR="00BF6571" w:rsidRPr="004C6464" w:rsidRDefault="001C31D8" w:rsidP="001C31D8">
      <w:pPr>
        <w:pStyle w:val="NormalHanging12a"/>
        <w:ind w:hanging="566"/>
      </w:pPr>
      <w:r w:rsidRPr="004C6464">
        <w:t>12.</w:t>
      </w:r>
      <w:r w:rsidRPr="004C6464">
        <w:tab/>
        <w:t>Jinnota li, minkejja t-titjib tat-Tarka tal-Privatezza meta mqabbla mal-arranġamenti tal-Isfera ta' Sikurezza, il-QĠUE sabet li t-Tarka tal-Privatezza UE-US ma tiggarantixxix livell ta' protezzjoni essenzjalment ekwivalenti, u għaldaqstant livell adegwat ta' protezzjoni, għal dak ipprovdut mill-GDPR u mill-Karta tal-UE, b'mod partikolari minħabba l-kundizzjonijiet stabbiliti fir-rigward tal-aċċess min-naħa tal-awtoritajiet pubbliċi tal-Istati Uniti għal data personali trasferita fl-ambitu tat-Tarka tal-Privatezza u n-nuqqas ta' drittijiet azzjonabbli għas-suġġetti tad-data tal-UE quddiem il-qrati tal-Istati Uniti kontra l-awtoritajiet tal-Istati Uniti;</w:t>
      </w:r>
    </w:p>
    <w:p w14:paraId="26CF2723" w14:textId="7D5FB3CE" w:rsidR="00BF6571" w:rsidRPr="004C6464" w:rsidRDefault="001C31D8" w:rsidP="001C31D8">
      <w:pPr>
        <w:pStyle w:val="NormalHanging12a"/>
        <w:ind w:hanging="566"/>
      </w:pPr>
      <w:r w:rsidRPr="004C6464">
        <w:lastRenderedPageBreak/>
        <w:t>13.</w:t>
      </w:r>
      <w:r w:rsidRPr="004C6464">
        <w:tab/>
        <w:t>Ifakkar fir-riżoluzzjoni tal-Parlament tal-2018 dwar it-Tarka tal-Privatezza, li ssottolinjat ir-riskju tal-invalidazzjoni tat-Tarka tal-Privatezza mill-QĠUE;</w:t>
      </w:r>
    </w:p>
    <w:p w14:paraId="7FF8DF33" w14:textId="0C61E4F7" w:rsidR="00BF6571" w:rsidRPr="004C6464" w:rsidRDefault="00BF6571" w:rsidP="00BF6571">
      <w:pPr>
        <w:pStyle w:val="NormalHanging12a"/>
        <w:spacing w:before="240"/>
        <w:ind w:left="1" w:firstLine="0"/>
      </w:pPr>
      <w:r w:rsidRPr="004C6464">
        <w:rPr>
          <w:b/>
          <w:i/>
        </w:rPr>
        <w:t>IS-SORVELJANZA TAL-MASSA U L-QAFAS LEGALI</w:t>
      </w:r>
    </w:p>
    <w:p w14:paraId="5CEDF62D" w14:textId="3A8437DC" w:rsidR="00BF6571" w:rsidRPr="004C6464" w:rsidRDefault="001C31D8" w:rsidP="001C31D8">
      <w:pPr>
        <w:pStyle w:val="NormalHanging12a"/>
        <w:ind w:hanging="566"/>
      </w:pPr>
      <w:r w:rsidRPr="004C6464">
        <w:t>14.</w:t>
      </w:r>
      <w:r w:rsidRPr="004C6464">
        <w:tab/>
        <w:t>Iħeġġeġ lill-Kummissjoni tkompli timmonitorja l-użu ta' teknoloġiji ta' sorveljanza tal-massa fir-Renju Unit;</w:t>
      </w:r>
    </w:p>
    <w:p w14:paraId="5DCAA0DA" w14:textId="26197AAE" w:rsidR="00BF6571" w:rsidRPr="004C6464" w:rsidRDefault="001C31D8" w:rsidP="001C31D8">
      <w:pPr>
        <w:pStyle w:val="NormalHanging12a"/>
        <w:ind w:hanging="566"/>
      </w:pPr>
      <w:r w:rsidRPr="004C6464">
        <w:t>15.</w:t>
      </w:r>
      <w:r w:rsidRPr="004C6464">
        <w:tab/>
        <w:t>Jindika li la l-Att ta' Kalifornja dwar il-Privatezza tal-Konsumatur (CCPA) fl-Istati Uniti u lanqas il-proposti federali magħmula s'issa ma jissodisfaw ir-rekwiżiti tal-GDPR għal livell adegwat ta' protezzjoni; iħeġġeġ lil-leġiżlatur federali tal-Istati Uniti jadotta att federali b'saħħtu u komprensiv dwar il-protezzjoni tad-data u l-privatezza fil-livell nazzjonali li jissodisfa dawk ir-rekwiżiti;</w:t>
      </w:r>
    </w:p>
    <w:p w14:paraId="60391FF9" w14:textId="5507C4E5" w:rsidR="00BF6571" w:rsidRPr="004C6464" w:rsidRDefault="001C31D8" w:rsidP="001C31D8">
      <w:pPr>
        <w:pStyle w:val="NormalHanging12a"/>
        <w:ind w:hanging="566"/>
      </w:pPr>
      <w:r w:rsidRPr="004C6464">
        <w:t>16.</w:t>
      </w:r>
      <w:r w:rsidRPr="004C6464">
        <w:tab/>
        <w:t>Jindika li weħidha, tali leġiżlazzjoni dwar il-protezzjoni tad-data tal-konsumaturi u l-protezzjoni tal-privatezza mhux se tirrimedja l-kwistjonijiet fundamentali misjuba mill-Qorti dwar is-sorveljanza tal-massa mis-servizzi tal-intelligence tal-Istati Uniti u l-aċċess insuffiċjenti għal rimedju; iħeġġeġ lil-leġiżlatur federali tal-Istati Uniti jerġa' jikkunsidra l-modifiki għat-Taqsima 702 tal-FISA, l-Ordni Eżekuttiva 12333 u d-Direttiva Presidenzjali 28, b'mod partikolari rigward l-għoti tal-istess livell ta' protezzjoni liċ-ċittadini tal-UE u dawk tal-Istati Uniti;</w:t>
      </w:r>
    </w:p>
    <w:p w14:paraId="39D79FD9" w14:textId="4D78380C" w:rsidR="00BF6571" w:rsidRPr="004C6464" w:rsidRDefault="00BF6571" w:rsidP="00BF6571">
      <w:pPr>
        <w:pStyle w:val="NormalHanging12a"/>
        <w:ind w:left="1" w:firstLine="0"/>
      </w:pPr>
      <w:r w:rsidRPr="004C6464">
        <w:rPr>
          <w:b/>
          <w:i/>
        </w:rPr>
        <w:t>DEĊIŻJONIJIET TA' ADEGWATEZZA</w:t>
      </w:r>
    </w:p>
    <w:p w14:paraId="00A43691" w14:textId="4893C986" w:rsidR="00BF6571" w:rsidRPr="004C6464" w:rsidRDefault="001C31D8" w:rsidP="001C31D8">
      <w:pPr>
        <w:pStyle w:val="NormalHanging12a"/>
        <w:ind w:hanging="566"/>
      </w:pPr>
      <w:r w:rsidRPr="004C6464">
        <w:t>17.</w:t>
      </w:r>
      <w:r w:rsidRPr="004C6464">
        <w:tab/>
        <w:t>Jistieden lill-Kummissjoni tieħu l-miżuri kollha meħtieġa biex tiżgura li kwalunkwe arranġament ulterjuri mal-Istati Uniti jikkonforma għalkollox mar-Regolament (UE) 2016/679, mal-Karta tal-UE, u kull aspett tas-sentenza tal-QĠUE;</w:t>
      </w:r>
    </w:p>
    <w:p w14:paraId="5121FE11" w14:textId="5621A460" w:rsidR="00BF6571" w:rsidRPr="004C6464" w:rsidRDefault="001C31D8" w:rsidP="001C31D8">
      <w:pPr>
        <w:pStyle w:val="NormalHanging12a"/>
        <w:ind w:hanging="566"/>
      </w:pPr>
      <w:r w:rsidRPr="004C6464">
        <w:t>18.</w:t>
      </w:r>
      <w:r w:rsidRPr="004C6464">
        <w:tab/>
        <w:t>Ifakkar fl-obbligu tal-Kummissjoni li tagħmel rieżami tad-deċiżjonijiet ta' adegwatezza kollha adottati fl-ambitu tad-Direttiva KE 95/46 filwaqt li tapplika l-konklużjonijiet tas-sentenzi "Schrems I u II" biex tivvaluta jekk joffrux livell ta' protezzjoni essenzjalment ekwivalenti;</w:t>
      </w:r>
    </w:p>
    <w:p w14:paraId="3ABA9745" w14:textId="3C48E7D7" w:rsidR="00BF6571" w:rsidRPr="004C6464" w:rsidRDefault="001C31D8" w:rsidP="001C31D8">
      <w:pPr>
        <w:pStyle w:val="NormalHanging12a"/>
        <w:ind w:hanging="566"/>
      </w:pPr>
      <w:r w:rsidRPr="004C6464">
        <w:t>19.</w:t>
      </w:r>
      <w:r w:rsidRPr="004C6464">
        <w:tab/>
        <w:t>Jappella lill-Kummissjoni biex ma tadottax deċiżjonijiet ta' adegwatezza ġodda fir-rigward tal-Istati Uniti, sakemm ma jiġux introdotti riformi b'sinifikat tal-liġijiet u l-prattiki fil-qasam tal-aċċess għall-informazzjoni mill-awtoritajiet pubbliċi, b'mod partikolari għal finijiet ta' intelligence u ta' sigurtà nazzjonali;</w:t>
      </w:r>
    </w:p>
    <w:p w14:paraId="4D5DE174" w14:textId="416E086C" w:rsidR="00BF6571" w:rsidRPr="004C6464" w:rsidRDefault="001C31D8" w:rsidP="001C31D8">
      <w:pPr>
        <w:pStyle w:val="NormalHanging12a"/>
        <w:ind w:hanging="566"/>
      </w:pPr>
      <w:r w:rsidRPr="004C6464">
        <w:t>20.</w:t>
      </w:r>
      <w:r w:rsidRPr="004C6464">
        <w:tab/>
        <w:t>Jistieden lill-Kummissjoni tippubblika lista aġġornata ta' kriterji li tqis meta tevalwa jekk pajjiż terz jikkwalifikax għal deċiżjoni ta' adegwatezza;</w:t>
      </w:r>
    </w:p>
    <w:p w14:paraId="332C3C2E" w14:textId="3FD09EEF" w:rsidR="00BF6571" w:rsidRPr="004C6464" w:rsidRDefault="001C31D8" w:rsidP="001C31D8">
      <w:pPr>
        <w:pStyle w:val="NormalHanging12a"/>
        <w:ind w:hanging="566"/>
      </w:pPr>
      <w:r w:rsidRPr="004C6464">
        <w:t>21.</w:t>
      </w:r>
      <w:r w:rsidRPr="004C6464">
        <w:tab/>
        <w:t>Jagħti istruzzjonijiet lill-President tiegħu biex jgħaddi din ir-riżoluzzjoni lill-Kummissjoni, lill-Kunsill Ewropew, lill-Kunsill, lill-Bord Ewropew għall-Protezzjoni tad-Data u lill-parlamenti nazzjonali.</w:t>
      </w:r>
    </w:p>
    <w:sectPr w:rsidR="00BF6571" w:rsidRPr="004C6464" w:rsidSect="004C64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80B4" w14:textId="77777777" w:rsidR="00F510C8" w:rsidRPr="00F510C8" w:rsidRDefault="00F510C8">
      <w:r w:rsidRPr="00F510C8">
        <w:separator/>
      </w:r>
    </w:p>
  </w:endnote>
  <w:endnote w:type="continuationSeparator" w:id="0">
    <w:p w14:paraId="0DE703E5" w14:textId="77777777" w:rsidR="00F510C8" w:rsidRPr="00F510C8" w:rsidRDefault="00F510C8">
      <w:r w:rsidRPr="00F510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erif">
    <w:altName w:val="Times New Roman"/>
    <w:charset w:val="01"/>
    <w:family w:val="roman"/>
    <w:pitch w:val="variable"/>
  </w:font>
  <w:font w:name="DejaVu Sans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32EE1" w14:textId="3FD21FF4" w:rsidR="004C6464" w:rsidRDefault="004C6464" w:rsidP="004C6464">
    <w:pPr>
      <w:pStyle w:val="EPFooter"/>
    </w:pPr>
    <w:r>
      <w:t>PE</w:t>
    </w:r>
    <w:r w:rsidRPr="004C6464">
      <w:rPr>
        <w:rStyle w:val="HideTWBExt"/>
      </w:rPr>
      <w:t>&lt;NoPE&gt;</w:t>
    </w:r>
    <w:r>
      <w:t>663.216</w:t>
    </w:r>
    <w:r w:rsidRPr="004C6464">
      <w:rPr>
        <w:rStyle w:val="HideTWBExt"/>
      </w:rPr>
      <w:t>&lt;/NoPE&gt;&lt;Version&gt;</w:t>
    </w:r>
    <w:r>
      <w:t>v01-00</w:t>
    </w:r>
    <w:r w:rsidRPr="004C6464">
      <w:rPr>
        <w:rStyle w:val="HideTWBExt"/>
      </w:rPr>
      <w:t>&lt;/Version&gt;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5</w:t>
      </w:r>
    </w:fldSimple>
    <w:r>
      <w:tab/>
    </w:r>
    <w:r w:rsidRPr="004C6464">
      <w:rPr>
        <w:rStyle w:val="HideTWBExt"/>
      </w:rPr>
      <w:t>&lt;PathFdR&gt;</w:t>
    </w:r>
    <w:r>
      <w:t>RE\1222135MT.docx</w:t>
    </w:r>
    <w:r w:rsidRPr="004C6464">
      <w:rPr>
        <w:rStyle w:val="HideTWBExt"/>
      </w:rPr>
      <w:t>&lt;/PathFdR&gt;</w:t>
    </w:r>
  </w:p>
  <w:p w14:paraId="012744B5" w14:textId="6A7E4830" w:rsidR="00A90219" w:rsidRPr="00F510C8" w:rsidRDefault="004C6464" w:rsidP="004C6464">
    <w:pPr>
      <w:pStyle w:val="EPFooter2"/>
    </w:pPr>
    <w:r>
      <w:t>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D7907" w14:textId="0D391B48" w:rsidR="004C6464" w:rsidRDefault="004C6464" w:rsidP="004C6464">
    <w:pPr>
      <w:pStyle w:val="EPFooter"/>
    </w:pPr>
    <w:r w:rsidRPr="004C6464">
      <w:rPr>
        <w:rStyle w:val="HideTWBExt"/>
      </w:rPr>
      <w:t>&lt;PathFdR&gt;</w:t>
    </w:r>
    <w:r>
      <w:t>RE\1222135MT.docx</w:t>
    </w:r>
    <w:r w:rsidRPr="004C6464">
      <w:rPr>
        <w:rStyle w:val="HideTWBExt"/>
      </w:rPr>
      <w:t>&lt;/PathFdR&gt;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>/</w:t>
    </w:r>
    <w:fldSimple w:instr=" NUMPAGES  \* MERGEFORMAT ">
      <w:r>
        <w:rPr>
          <w:noProof/>
        </w:rPr>
        <w:t>5</w:t>
      </w:r>
    </w:fldSimple>
    <w:r>
      <w:tab/>
      <w:t>PE</w:t>
    </w:r>
    <w:r w:rsidRPr="004C6464">
      <w:rPr>
        <w:rStyle w:val="HideTWBExt"/>
      </w:rPr>
      <w:t>&lt;NoPE&gt;</w:t>
    </w:r>
    <w:r>
      <w:t>663.216</w:t>
    </w:r>
    <w:r w:rsidRPr="004C6464">
      <w:rPr>
        <w:rStyle w:val="HideTWBExt"/>
      </w:rPr>
      <w:t>&lt;/NoPE&gt;&lt;Version&gt;</w:t>
    </w:r>
    <w:r>
      <w:t>v01-00</w:t>
    </w:r>
    <w:r w:rsidRPr="004C6464">
      <w:rPr>
        <w:rStyle w:val="HideTWBExt"/>
      </w:rPr>
      <w:t>&lt;/Version&gt;</w:t>
    </w:r>
  </w:p>
  <w:p w14:paraId="200C4218" w14:textId="1A15F489" w:rsidR="00A90219" w:rsidRPr="00F510C8" w:rsidRDefault="004C6464" w:rsidP="004C6464">
    <w:pPr>
      <w:pStyle w:val="EPFooter2"/>
    </w:pPr>
    <w:r>
      <w:tab/>
    </w:r>
    <w:r>
      <w:tab/>
      <w:t>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B2C34" w14:textId="77777777" w:rsidR="004C6464" w:rsidRDefault="004C6464" w:rsidP="004C6464">
    <w:pPr>
      <w:pStyle w:val="EPFooter"/>
    </w:pPr>
    <w:r w:rsidRPr="004C6464">
      <w:rPr>
        <w:rStyle w:val="HideTWBExt"/>
      </w:rPr>
      <w:t>&lt;PathFdR&gt;</w:t>
    </w:r>
    <w:r>
      <w:t>RE\1222135MT.docx</w:t>
    </w:r>
    <w:r w:rsidRPr="004C6464">
      <w:rPr>
        <w:rStyle w:val="HideTWBExt"/>
      </w:rPr>
      <w:t>&lt;/PathFdR&gt;</w:t>
    </w:r>
    <w:r>
      <w:tab/>
    </w:r>
    <w:r>
      <w:tab/>
      <w:t>PE</w:t>
    </w:r>
    <w:r w:rsidRPr="004C6464">
      <w:rPr>
        <w:rStyle w:val="HideTWBExt"/>
      </w:rPr>
      <w:t>&lt;NoPE&gt;</w:t>
    </w:r>
    <w:r>
      <w:t>663.216</w:t>
    </w:r>
    <w:r w:rsidRPr="004C6464">
      <w:rPr>
        <w:rStyle w:val="HideTWBExt"/>
      </w:rPr>
      <w:t>&lt;/NoPE&gt;&lt;Version&gt;</w:t>
    </w:r>
    <w:r>
      <w:t>v01-00</w:t>
    </w:r>
    <w:r w:rsidRPr="004C6464">
      <w:rPr>
        <w:rStyle w:val="HideTWBExt"/>
      </w:rPr>
      <w:t>&lt;/Version&gt;</w:t>
    </w:r>
  </w:p>
  <w:p w14:paraId="7556990F" w14:textId="7F4F68CA" w:rsidR="00A90219" w:rsidRPr="00F510C8" w:rsidRDefault="004C6464" w:rsidP="004C6464">
    <w:pPr>
      <w:pStyle w:val="EPFooter2"/>
    </w:pPr>
    <w:r>
      <w:t>MT</w:t>
    </w:r>
    <w:r>
      <w:tab/>
    </w:r>
    <w:r w:rsidRPr="004C6464">
      <w:rPr>
        <w:b w:val="0"/>
        <w:i/>
        <w:color w:val="C0C0C0"/>
        <w:sz w:val="22"/>
      </w:rPr>
      <w:t>Magħquda fid-diversità</w:t>
    </w:r>
    <w:r>
      <w:tab/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FF761" w14:textId="77777777" w:rsidR="00F510C8" w:rsidRPr="00F510C8" w:rsidRDefault="00F510C8">
      <w:r w:rsidRPr="00F510C8">
        <w:separator/>
      </w:r>
    </w:p>
  </w:footnote>
  <w:footnote w:type="continuationSeparator" w:id="0">
    <w:p w14:paraId="739DD931" w14:textId="77777777" w:rsidR="00F510C8" w:rsidRPr="00F510C8" w:rsidRDefault="00F510C8">
      <w:r w:rsidRPr="00F510C8">
        <w:continuationSeparator/>
      </w:r>
    </w:p>
  </w:footnote>
  <w:footnote w:id="1">
    <w:p w14:paraId="6D9CB35F" w14:textId="7F8D076B" w:rsidR="001E1556" w:rsidRDefault="001E1556" w:rsidP="001E1556">
      <w:pPr>
        <w:pStyle w:val="FootnoteText"/>
        <w:rPr>
          <w:rFonts w:ascii="Times New Roman" w:hAnsi="Times New Roman" w:cs="Times New Roman"/>
        </w:rPr>
      </w:pPr>
      <w:r>
        <w:rPr>
          <w:rStyle w:val="Funotenzeichen"/>
          <w:rFonts w:ascii="Times New Roman" w:hAnsi="Times New Roman" w:cs="Times New Roman"/>
        </w:rPr>
        <w:footnoteRef/>
      </w:r>
      <w:hyperlink r:id="rId1" w:history="1">
        <w:r>
          <w:rPr>
            <w:rStyle w:val="Hyperlink"/>
            <w:rFonts w:ascii="Times New Roman" w:hAnsi="Times New Roman"/>
          </w:rPr>
          <w:tab/>
        </w:r>
        <w:hyperlink r:id="rId2" w:history="1">
          <w:r>
            <w:rPr>
              <w:rStyle w:val="Hyperlink"/>
              <w:rFonts w:ascii="Times New Roman" w:hAnsi="Times New Roman"/>
            </w:rPr>
            <w:t>https://eur-lex.europa.eu/legal-content/MT/TXT/?uri=CELEX%3A62018CA0311&amp;qid=1610640279033</w:t>
          </w:r>
        </w:hyperlink>
      </w:hyperlink>
      <w:r>
        <w:rPr>
          <w:rFonts w:ascii="Times New Roman" w:hAnsi="Times New Roman"/>
        </w:rPr>
        <w:t xml:space="preserve"> </w:t>
      </w:r>
    </w:p>
  </w:footnote>
  <w:footnote w:id="2">
    <w:p w14:paraId="547F0DAC" w14:textId="6062932C" w:rsidR="003A76FC" w:rsidRDefault="003A76FC" w:rsidP="003A76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3" w:history="1">
        <w:r>
          <w:rPr>
            <w:rStyle w:val="Hyperlink"/>
          </w:rPr>
          <w:t>https://eur-lex.europa.eu/legal-content/MT/TXT/?uri=CELEX%3A62014CJ0362</w:t>
        </w:r>
      </w:hyperlink>
      <w:r>
        <w:t xml:space="preserve"> </w:t>
      </w:r>
    </w:p>
  </w:footnote>
  <w:footnote w:id="3">
    <w:p w14:paraId="293C707A" w14:textId="40B4F034" w:rsidR="003A76FC" w:rsidRDefault="003A76FC" w:rsidP="003A76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4" w:history="1">
        <w:r>
          <w:rPr>
            <w:rStyle w:val="Hyperlink"/>
          </w:rPr>
          <w:t>https://eur-lex.europa.eu/legal-content/MT/TXT/?uri=CELEX:62017CJ0623</w:t>
        </w:r>
      </w:hyperlink>
      <w:r>
        <w:t xml:space="preserve"> </w:t>
      </w:r>
    </w:p>
  </w:footnote>
  <w:footnote w:id="4">
    <w:p w14:paraId="0EB3CEDE" w14:textId="786FBFF9" w:rsidR="003A76FC" w:rsidRDefault="003A76FC" w:rsidP="003A76FC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ab/>
        <w:t xml:space="preserve">P8_TA(2018)0315, </w:t>
      </w:r>
      <w:hyperlink r:id="rId5" w:history="1">
        <w:r>
          <w:rPr>
            <w:rFonts w:ascii="Times New Roman" w:hAnsi="Times New Roman"/>
          </w:rPr>
          <w:t>https://www.europarl.europa.eu/doceo/document/TA-8-2018-0315_MT.html</w:t>
        </w:r>
      </w:hyperlink>
      <w:r>
        <w:rPr>
          <w:rFonts w:ascii="Times New Roman" w:hAnsi="Times New Roman"/>
        </w:rPr>
        <w:t xml:space="preserve"> </w:t>
      </w:r>
    </w:p>
  </w:footnote>
  <w:footnote w:id="5">
    <w:p w14:paraId="2313C642" w14:textId="72249F6D" w:rsidR="003A76FC" w:rsidRDefault="003A76FC" w:rsidP="003A76FC">
      <w:pPr>
        <w:rPr>
          <w:sz w:val="20"/>
        </w:rPr>
      </w:pPr>
      <w:r>
        <w:rPr>
          <w:sz w:val="20"/>
        </w:rPr>
        <w:footnoteRef/>
      </w:r>
      <w:r>
        <w:rPr>
          <w:sz w:val="20"/>
        </w:rPr>
        <w:t xml:space="preserve">   P8_TA(2018)0433, </w:t>
      </w:r>
      <w:hyperlink r:id="rId6" w:history="1">
        <w:r>
          <w:rPr>
            <w:sz w:val="20"/>
          </w:rPr>
          <w:t>https://www.europarl.europa.eu/doceo/document/TA-8-2018-0433_MT.html</w:t>
        </w:r>
      </w:hyperlink>
      <w:r>
        <w:rPr>
          <w:sz w:val="20"/>
        </w:rPr>
        <w:t xml:space="preserve"> </w:t>
      </w:r>
    </w:p>
  </w:footnote>
  <w:footnote w:id="6">
    <w:p w14:paraId="48A9A0E0" w14:textId="77777777" w:rsidR="003A76FC" w:rsidRDefault="003A76FC" w:rsidP="003A76F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P9_TA(2020)0337, https://www.europarl.europa.eu/doceo/document/TA-9-2020-0337_MT.html</w:t>
      </w:r>
    </w:p>
  </w:footnote>
  <w:footnote w:id="7">
    <w:p w14:paraId="2E8D957B" w14:textId="02050F10" w:rsidR="003A76FC" w:rsidRDefault="003A76FC" w:rsidP="003A76FC">
      <w:pPr>
        <w:pStyle w:val="BodyText"/>
        <w:rPr>
          <w:sz w:val="20"/>
        </w:rPr>
      </w:pPr>
      <w:r>
        <w:footnoteRef/>
      </w:r>
      <w:r>
        <w:rPr>
          <w:sz w:val="20"/>
        </w:rPr>
        <w:t xml:space="preserve">   Ir-Regolament (UE) 2016/679 tal-Parlament Ewropew u tal-Kunsill tas-27 ta' April 2016 dwar il-protezzjoni tal-persuni fiżiċi fir-rigward tal-ipproċessar ta' data personali u dwar il-moviment liberu ta' tali data, u li jħassar id-Direttiva 95/46/KE (Regolament Ġenerali dwar il-Protezzjoni tad-Data), ĠU L 119, 4.5.2016, p. 1-88, </w:t>
      </w:r>
      <w:hyperlink r:id="rId7" w:history="1">
        <w:r>
          <w:rPr>
            <w:color w:val="4472C4" w:themeColor="accent5"/>
            <w:sz w:val="20"/>
            <w:u w:val="single"/>
          </w:rPr>
          <w:t>http://data.europa.eu/eli/reg/2016/679/oj</w:t>
        </w:r>
      </w:hyperlink>
      <w:r>
        <w:rPr>
          <w:sz w:val="20"/>
        </w:rPr>
        <w:t xml:space="preserve">    </w:t>
      </w:r>
    </w:p>
    <w:p w14:paraId="08AC5CF0" w14:textId="77777777" w:rsidR="003A76FC" w:rsidRDefault="003A76FC" w:rsidP="003A76FC">
      <w:pPr>
        <w:pStyle w:val="FootnoteText"/>
        <w:rPr>
          <w:rFonts w:ascii="DejaVu Sans" w:hAnsi="DejaVu Sans"/>
        </w:rPr>
      </w:pPr>
    </w:p>
  </w:footnote>
  <w:footnote w:id="8">
    <w:p w14:paraId="57762114" w14:textId="171F9309" w:rsidR="003A76FC" w:rsidRDefault="003A76FC" w:rsidP="003A76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>
          <w:rPr>
            <w:rStyle w:val="Hyperlink"/>
          </w:rPr>
          <w:t>https://edpb.europa.eu/our-work-tools/public-consultations-art-704/2020/recommendations-012020-measures-supplement-transfer_mt</w:t>
        </w:r>
      </w:hyperlink>
    </w:p>
    <w:p w14:paraId="69DFD773" w14:textId="315878EB" w:rsidR="003A76FC" w:rsidRDefault="003A76FC" w:rsidP="003A76FC">
      <w:pPr>
        <w:pStyle w:val="FootnoteText"/>
      </w:pPr>
      <w:r>
        <w:tab/>
      </w:r>
      <w:hyperlink r:id="rId9" w:history="1">
        <w:r>
          <w:rPr>
            <w:rStyle w:val="Hyperlink"/>
          </w:rPr>
          <w:t>https://edpb.europa.eu/our-work-tools/our-documents/preporki/recommendations-022020-european-essential-guarantees_mt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9756B" w14:textId="77777777" w:rsidR="004C6464" w:rsidRDefault="004C6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F1008" w14:textId="77777777" w:rsidR="004C6464" w:rsidRDefault="004C6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1266" w14:textId="77777777" w:rsidR="004C6464" w:rsidRDefault="004C6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86570"/>
    <w:multiLevelType w:val="hybridMultilevel"/>
    <w:tmpl w:val="19DA1E1E"/>
    <w:lvl w:ilvl="0" w:tplc="5378A36C">
      <w:start w:val="1"/>
      <w:numFmt w:val="upperLetter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01B35"/>
    <w:multiLevelType w:val="hybridMultilevel"/>
    <w:tmpl w:val="F57E875E"/>
    <w:lvl w:ilvl="0" w:tplc="A9940D5C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22"/>
    <w:docVar w:name="TXTLANGUE" w:val="EN"/>
    <w:docVar w:name="TXTLANGUEMIN" w:val="en"/>
    <w:docVar w:name="TXTNRPE" w:val="663.216"/>
    <w:docVar w:name="TXTNRRSP" w:val="2020/2789"/>
    <w:docVar w:name="TXTPEorAP" w:val="PE"/>
    <w:docVar w:name="TXTROUTE" w:val="RE\1222135EN.docx"/>
    <w:docVar w:name="TXTTITLE" w:val="on the Resolution on the ruling of the ECJ of 16 July 2020 - Data Protection Commissioner v Facebook Ireland Limited, Maximillian Schrems (“Schrems II”) - Case C-311/18"/>
    <w:docVar w:name="TXTVERSION" w:val="01-00"/>
  </w:docVars>
  <w:rsids>
    <w:rsidRoot w:val="00F510C8"/>
    <w:rsid w:val="00037F46"/>
    <w:rsid w:val="00094DDA"/>
    <w:rsid w:val="000F4BF6"/>
    <w:rsid w:val="00117781"/>
    <w:rsid w:val="001B49A3"/>
    <w:rsid w:val="001B7CFB"/>
    <w:rsid w:val="001C16A7"/>
    <w:rsid w:val="001C31D8"/>
    <w:rsid w:val="001C62C5"/>
    <w:rsid w:val="001E1556"/>
    <w:rsid w:val="001E2450"/>
    <w:rsid w:val="00222BBB"/>
    <w:rsid w:val="00250718"/>
    <w:rsid w:val="002574AA"/>
    <w:rsid w:val="002C7767"/>
    <w:rsid w:val="00303413"/>
    <w:rsid w:val="003772FA"/>
    <w:rsid w:val="003A76FC"/>
    <w:rsid w:val="00411D03"/>
    <w:rsid w:val="00412503"/>
    <w:rsid w:val="00471D62"/>
    <w:rsid w:val="004B5166"/>
    <w:rsid w:val="004C6464"/>
    <w:rsid w:val="00516BD3"/>
    <w:rsid w:val="0053700E"/>
    <w:rsid w:val="0058312A"/>
    <w:rsid w:val="005D6861"/>
    <w:rsid w:val="00654CBD"/>
    <w:rsid w:val="006726A1"/>
    <w:rsid w:val="006A27B7"/>
    <w:rsid w:val="006F48B8"/>
    <w:rsid w:val="00706BC0"/>
    <w:rsid w:val="00723A0B"/>
    <w:rsid w:val="00780A7D"/>
    <w:rsid w:val="007E1E11"/>
    <w:rsid w:val="00814BC6"/>
    <w:rsid w:val="008278C0"/>
    <w:rsid w:val="00866D70"/>
    <w:rsid w:val="008A4052"/>
    <w:rsid w:val="008D7B31"/>
    <w:rsid w:val="008F5EFB"/>
    <w:rsid w:val="00907285"/>
    <w:rsid w:val="00910F7E"/>
    <w:rsid w:val="00981ED6"/>
    <w:rsid w:val="009C510E"/>
    <w:rsid w:val="009D24DE"/>
    <w:rsid w:val="00A32337"/>
    <w:rsid w:val="00A462B1"/>
    <w:rsid w:val="00A4763A"/>
    <w:rsid w:val="00A516B8"/>
    <w:rsid w:val="00A90219"/>
    <w:rsid w:val="00B16A0B"/>
    <w:rsid w:val="00B34A46"/>
    <w:rsid w:val="00B90331"/>
    <w:rsid w:val="00B90DC2"/>
    <w:rsid w:val="00BC3002"/>
    <w:rsid w:val="00BF2C2D"/>
    <w:rsid w:val="00BF6571"/>
    <w:rsid w:val="00C23264"/>
    <w:rsid w:val="00CC09D8"/>
    <w:rsid w:val="00D12F64"/>
    <w:rsid w:val="00D44718"/>
    <w:rsid w:val="00D90D37"/>
    <w:rsid w:val="00DF5457"/>
    <w:rsid w:val="00DF7943"/>
    <w:rsid w:val="00E039EA"/>
    <w:rsid w:val="00E53167"/>
    <w:rsid w:val="00EA43FB"/>
    <w:rsid w:val="00EC05E9"/>
    <w:rsid w:val="00ED22B8"/>
    <w:rsid w:val="00F02A2C"/>
    <w:rsid w:val="00F11EF3"/>
    <w:rsid w:val="00F26DE8"/>
    <w:rsid w:val="00F4455A"/>
    <w:rsid w:val="00F510C8"/>
    <w:rsid w:val="00F7050A"/>
    <w:rsid w:val="00F959BA"/>
    <w:rsid w:val="00F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D77AC"/>
  <w15:chartTrackingRefBased/>
  <w15:docId w15:val="{E6272C54-2F65-43C4-A91C-140847F8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t-M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basedOn w:val="DefaultParagraphFont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character" w:styleId="Hyperlink">
    <w:name w:val="Hyperlink"/>
    <w:basedOn w:val="DefaultParagraphFont"/>
    <w:uiPriority w:val="99"/>
    <w:unhideWhenUsed/>
    <w:rsid w:val="003A76F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3A76FC"/>
    <w:pPr>
      <w:widowControl/>
      <w:suppressLineNumbers/>
      <w:ind w:left="339" w:hanging="339"/>
    </w:pPr>
    <w:rPr>
      <w:rFonts w:ascii="DejaVu Serif" w:eastAsia="DejaVu Sans" w:hAnsi="DejaVu Serif" w:cs="Noto Sans Devanagari"/>
      <w:kern w:val="2"/>
      <w:sz w:val="20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rsid w:val="003A76FC"/>
    <w:rPr>
      <w:rFonts w:ascii="DejaVu Serif" w:eastAsia="DejaVu Sans" w:hAnsi="DejaVu Serif" w:cs="Noto Sans Devanagari"/>
      <w:kern w:val="2"/>
      <w:lang w:val="mt-MT" w:eastAsia="zh-CN" w:bidi="hi-IN"/>
    </w:rPr>
  </w:style>
  <w:style w:type="character" w:customStyle="1" w:styleId="Funotenzeichen">
    <w:name w:val="Fußnotenzeichen"/>
    <w:qFormat/>
    <w:rsid w:val="003A76FC"/>
  </w:style>
  <w:style w:type="character" w:styleId="FootnoteReference">
    <w:name w:val="footnote reference"/>
    <w:basedOn w:val="DefaultParagraphFont"/>
    <w:uiPriority w:val="99"/>
    <w:unhideWhenUsed/>
    <w:rsid w:val="003A76FC"/>
    <w:rPr>
      <w:vertAlign w:val="superscript"/>
    </w:rPr>
  </w:style>
  <w:style w:type="paragraph" w:styleId="BodyText">
    <w:name w:val="Body Text"/>
    <w:basedOn w:val="Normal"/>
    <w:link w:val="BodyTextChar"/>
    <w:rsid w:val="003A76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76FC"/>
    <w:rPr>
      <w:sz w:val="24"/>
    </w:rPr>
  </w:style>
  <w:style w:type="character" w:styleId="CommentReference">
    <w:name w:val="annotation reference"/>
    <w:basedOn w:val="DefaultParagraphFont"/>
    <w:uiPriority w:val="99"/>
    <w:rsid w:val="002507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7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07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071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0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071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semiHidden/>
    <w:rsid w:val="001C3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1C31D8"/>
    <w:rPr>
      <w:sz w:val="24"/>
    </w:rPr>
  </w:style>
  <w:style w:type="character" w:styleId="FollowedHyperlink">
    <w:name w:val="FollowedHyperlink"/>
    <w:basedOn w:val="DefaultParagraphFont"/>
    <w:rsid w:val="00FB7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dpb.europa.eu/our-work-tools/public-consultations-art-704/2020/recommendations-012020-measures-supplement-transfer_mt" TargetMode="External"/><Relationship Id="rId3" Type="http://schemas.openxmlformats.org/officeDocument/2006/relationships/hyperlink" Target="https://eur-lex.europa.eu/legal-content/MT/TXT/?uri=CELEX:62014CJ0362" TargetMode="External"/><Relationship Id="rId7" Type="http://schemas.openxmlformats.org/officeDocument/2006/relationships/hyperlink" Target="http://data.europa.eu/eli/reg/2016/679/oj" TargetMode="External"/><Relationship Id="rId2" Type="http://schemas.openxmlformats.org/officeDocument/2006/relationships/hyperlink" Target="https://eur-lex.europa.eu/legal-content/MT/TXT/?uri=CELEX:62018CA0311&amp;qid=1610640279033" TargetMode="External"/><Relationship Id="rId1" Type="http://schemas.openxmlformats.org/officeDocument/2006/relationships/hyperlink" Target="file:///C:\Users\cbull\AppData\Local\Microsoft\Windows\INetCache\Content.Outlook\9A0NKB2P\%09https:\eur-lex.europa.eu\legal-content\EN\TXT\?uri=CELEX:62018CJ0311" TargetMode="External"/><Relationship Id="rId6" Type="http://schemas.openxmlformats.org/officeDocument/2006/relationships/hyperlink" Target="https://www.europarl.europa.eu/doceo/document/TA-8-2018-0433_MT.html" TargetMode="External"/><Relationship Id="rId5" Type="http://schemas.openxmlformats.org/officeDocument/2006/relationships/hyperlink" Target="https://www.europarl.europa.eu/doceo/document/TA-8-2018-0315_MT.html" TargetMode="External"/><Relationship Id="rId4" Type="http://schemas.openxmlformats.org/officeDocument/2006/relationships/hyperlink" Target="https://eur-lex.europa.eu/legal-content/MT/TXT/?uri=CELEX:62017CJ0623" TargetMode="External"/><Relationship Id="rId9" Type="http://schemas.openxmlformats.org/officeDocument/2006/relationships/hyperlink" Target="https://edpb.europa.eu/our-work-tools/our-documents/preporki/recommendations-022020-european-essential-guarantees_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85B7-93B0-4C5B-8D7F-98D3B654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9428</Characters>
  <Application>Microsoft Office Word</Application>
  <DocSecurity>0</DocSecurity>
  <Lines>162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CUADRAT SEIX Iban</dc:creator>
  <cp:keywords/>
  <dc:description/>
  <cp:lastModifiedBy>ZAMMIT Antoinette</cp:lastModifiedBy>
  <cp:revision>2</cp:revision>
  <cp:lastPrinted>2004-11-19T15:55:00Z</cp:lastPrinted>
  <dcterms:created xsi:type="dcterms:W3CDTF">2021-01-29T09:31:00Z</dcterms:created>
  <dcterms:modified xsi:type="dcterms:W3CDTF">2021-01-29T09:31:00Z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1222135</vt:lpwstr>
  </property>
  <property fmtid="{D5CDD505-2E9C-101B-9397-08002B2CF9AE}" pid="5" name="&lt;Type&gt;">
    <vt:lpwstr>RE</vt:lpwstr>
  </property>
  <property fmtid="{D5CDD505-2E9C-101B-9397-08002B2CF9AE}" pid="6" name="&lt;ModelCod&gt;">
    <vt:lpwstr>\\eiciBRUpr1\pdocep$\DocEP\DOCS\General\RE\RE_Statements.dotx(17/04/2020 18:29:07)</vt:lpwstr>
  </property>
  <property fmtid="{D5CDD505-2E9C-101B-9397-08002B2CF9AE}" pid="7" name="&lt;ModelTra&gt;">
    <vt:lpwstr>\\eiciBRUpr1\pdocep$\DocEP\TRANSFIL\EN\RE_Statements.EN(25/06/2019 11:01:00)</vt:lpwstr>
  </property>
  <property fmtid="{D5CDD505-2E9C-101B-9397-08002B2CF9AE}" pid="8" name="&lt;Model&gt;">
    <vt:lpwstr>RE_Statements</vt:lpwstr>
  </property>
  <property fmtid="{D5CDD505-2E9C-101B-9397-08002B2CF9AE}" pid="9" name="FooterPath">
    <vt:lpwstr>RE\1222135MT.docx</vt:lpwstr>
  </property>
  <property fmtid="{D5CDD505-2E9C-101B-9397-08002B2CF9AE}" pid="10" name="PE number">
    <vt:lpwstr>663.216</vt:lpwstr>
  </property>
  <property fmtid="{D5CDD505-2E9C-101B-9397-08002B2CF9AE}" pid="11" name="SendToEpades">
    <vt:lpwstr>OK - 2021/01/15 11:13</vt:lpwstr>
  </property>
  <property fmtid="{D5CDD505-2E9C-101B-9397-08002B2CF9AE}" pid="12" name="SDLStudio">
    <vt:lpwstr/>
  </property>
  <property fmtid="{D5CDD505-2E9C-101B-9397-08002B2CF9AE}" pid="13" name="&lt;Extension&gt;">
    <vt:lpwstr>MT</vt:lpwstr>
  </property>
  <property fmtid="{D5CDD505-2E9C-101B-9397-08002B2CF9AE}" pid="14" name="Bookout">
    <vt:lpwstr>OK - 2021/01/29 10:31</vt:lpwstr>
  </property>
</Properties>
</file>