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CE43D6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8F5EFB" w:rsidRPr="00CE43D6" w:rsidRDefault="00A92F07" w:rsidP="00C85D0F">
            <w:pPr>
              <w:pStyle w:val="EPName"/>
            </w:pPr>
            <w:r w:rsidRPr="00CE43D6">
              <w:t>Europski parlament</w:t>
            </w:r>
          </w:p>
          <w:p w:rsidR="008F5EFB" w:rsidRPr="00CE43D6" w:rsidRDefault="00BE0BDD" w:rsidP="00BE0BDD">
            <w:pPr>
              <w:pStyle w:val="EPTerm"/>
            </w:pPr>
            <w:r w:rsidRPr="00CE43D6">
              <w:t>2019-2024</w:t>
            </w:r>
          </w:p>
        </w:tc>
        <w:tc>
          <w:tcPr>
            <w:tcW w:w="2268" w:type="dxa"/>
            <w:shd w:val="clear" w:color="auto" w:fill="auto"/>
          </w:tcPr>
          <w:p w:rsidR="008F5EFB" w:rsidRPr="00CE43D6" w:rsidRDefault="008F5EFB" w:rsidP="00C85D0F">
            <w:pPr>
              <w:pStyle w:val="EPLogo"/>
            </w:pPr>
            <w:r w:rsidRPr="00CE43D6">
              <w:rPr>
                <w:lang w:val="en-GB"/>
              </w:rPr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67" w:rsidRPr="00CE43D6" w:rsidRDefault="00E53167" w:rsidP="00E53167">
      <w:pPr>
        <w:pStyle w:val="LineTop"/>
      </w:pPr>
    </w:p>
    <w:p w:rsidR="00E53167" w:rsidRPr="00CE43D6" w:rsidRDefault="00BE0BDD" w:rsidP="00E53167">
      <w:pPr>
        <w:pStyle w:val="EPBody"/>
      </w:pPr>
      <w:r w:rsidRPr="00CE43D6">
        <w:rPr>
          <w:rStyle w:val="HideTWBInt"/>
        </w:rPr>
        <w:t>{LIBE}</w:t>
      </w:r>
      <w:r w:rsidRPr="00CE43D6">
        <w:t>Odbor za građanske slobode, pravosuđe i unutarnje poslove</w:t>
      </w:r>
    </w:p>
    <w:p w:rsidR="00094DDA" w:rsidRPr="00CE43D6" w:rsidRDefault="00094DDA" w:rsidP="00094DDA">
      <w:pPr>
        <w:pStyle w:val="LineBottom"/>
      </w:pPr>
    </w:p>
    <w:p w:rsidR="00094DDA" w:rsidRPr="00CE43D6" w:rsidRDefault="00094DDA" w:rsidP="00094DDA">
      <w:pPr>
        <w:pStyle w:val="CoverReference"/>
      </w:pPr>
      <w:r w:rsidRPr="00CE43D6">
        <w:rPr>
          <w:rStyle w:val="HideTWBExt"/>
          <w:b w:val="0"/>
          <w:noProof w:val="0"/>
        </w:rPr>
        <w:t>&lt;NoDocSe&gt;</w:t>
      </w:r>
      <w:r w:rsidRPr="00CE43D6">
        <w:t>2020/2789(RSP)</w:t>
      </w:r>
      <w:r w:rsidRPr="00CE43D6">
        <w:rPr>
          <w:rStyle w:val="HideTWBExt"/>
          <w:b w:val="0"/>
          <w:noProof w:val="0"/>
        </w:rPr>
        <w:t>&lt;/NoDocSe&gt;</w:t>
      </w:r>
    </w:p>
    <w:p w:rsidR="00094DDA" w:rsidRPr="00CE43D6" w:rsidRDefault="00094DDA" w:rsidP="00094DDA">
      <w:pPr>
        <w:pStyle w:val="CoverDate"/>
      </w:pPr>
      <w:r w:rsidRPr="00CE43D6">
        <w:rPr>
          <w:rStyle w:val="HideTWBExt"/>
          <w:noProof w:val="0"/>
        </w:rPr>
        <w:t>&lt;Date&gt;</w:t>
      </w:r>
      <w:r w:rsidRPr="00CE43D6">
        <w:rPr>
          <w:rStyle w:val="HideTWBInt"/>
        </w:rPr>
        <w:t>{13/01/2021}</w:t>
      </w:r>
      <w:r w:rsidRPr="00CE43D6">
        <w:t>13.1.2021</w:t>
      </w:r>
      <w:r w:rsidRPr="00CE43D6">
        <w:rPr>
          <w:rStyle w:val="HideTWBExt"/>
          <w:noProof w:val="0"/>
        </w:rPr>
        <w:t>&lt;/Date&gt;</w:t>
      </w:r>
    </w:p>
    <w:p w:rsidR="00814BC6" w:rsidRPr="00CE43D6" w:rsidRDefault="00814BC6">
      <w:pPr>
        <w:pStyle w:val="CoverDocType24a"/>
      </w:pPr>
      <w:r w:rsidRPr="00CE43D6">
        <w:rPr>
          <w:rStyle w:val="HideTWBExt"/>
          <w:b w:val="0"/>
          <w:noProof w:val="0"/>
        </w:rPr>
        <w:t>&lt;TitreType&gt;</w:t>
      </w:r>
      <w:r w:rsidRPr="00CE43D6">
        <w:t>NACRT PRIJEDLOGA REZOLUCIJE</w:t>
      </w:r>
      <w:r w:rsidRPr="00CE43D6">
        <w:rPr>
          <w:rStyle w:val="HideTWBExt"/>
          <w:b w:val="0"/>
          <w:noProof w:val="0"/>
        </w:rPr>
        <w:t>&lt;/TitreType&gt;</w:t>
      </w:r>
    </w:p>
    <w:p w:rsidR="00814BC6" w:rsidRPr="00CE43D6" w:rsidRDefault="00814BC6">
      <w:pPr>
        <w:pStyle w:val="CoverNormal12a"/>
      </w:pPr>
      <w:r w:rsidRPr="00CE43D6">
        <w:rPr>
          <w:rStyle w:val="HideTWBExt"/>
          <w:noProof w:val="0"/>
        </w:rPr>
        <w:t>&lt;TitreSuite&gt;</w:t>
      </w:r>
      <w:r w:rsidRPr="00CE43D6">
        <w:t>podnesenog nakon izjave Komisije</w:t>
      </w:r>
      <w:r w:rsidRPr="00CE43D6">
        <w:rPr>
          <w:rStyle w:val="HideTWBExt"/>
          <w:noProof w:val="0"/>
        </w:rPr>
        <w:t>&lt;/TitreSuite&gt;</w:t>
      </w:r>
    </w:p>
    <w:p w:rsidR="00814BC6" w:rsidRPr="00CE43D6" w:rsidRDefault="00814BC6">
      <w:pPr>
        <w:pStyle w:val="CoverNormal12a"/>
      </w:pPr>
      <w:r w:rsidRPr="00CE43D6">
        <w:rPr>
          <w:rStyle w:val="HideTWBExt"/>
          <w:noProof w:val="0"/>
        </w:rPr>
        <w:t>&lt;TitreRecueil&gt;</w:t>
      </w:r>
      <w:r w:rsidRPr="00CE43D6">
        <w:t>u skladu s člankom 132. stavkom 2. Poslovnika</w:t>
      </w:r>
      <w:r w:rsidRPr="00CE43D6">
        <w:rPr>
          <w:rStyle w:val="HideTWBExt"/>
          <w:noProof w:val="0"/>
        </w:rPr>
        <w:t>&lt;/TitreRecueil&gt;</w:t>
      </w:r>
    </w:p>
    <w:p w:rsidR="00C23264" w:rsidRPr="00CE43D6" w:rsidRDefault="00C23264" w:rsidP="00C23264">
      <w:pPr>
        <w:pStyle w:val="CoverNormal"/>
      </w:pPr>
      <w:r w:rsidRPr="00CE43D6">
        <w:rPr>
          <w:rStyle w:val="HideTWBExt"/>
          <w:noProof w:val="0"/>
        </w:rPr>
        <w:t>&lt;Titre&gt;</w:t>
      </w:r>
      <w:r w:rsidRPr="00CE43D6">
        <w:t>o presudi Suda Europske unije od 16. srpnja 2020. – Data Protection Commissioner protiv Facebook Ireland Limited i Maximillian Schrems („Schrems II”) – predmet C-311/18</w:t>
      </w:r>
      <w:r w:rsidRPr="00CE43D6">
        <w:rPr>
          <w:rStyle w:val="HideTWBExt"/>
          <w:noProof w:val="0"/>
        </w:rPr>
        <w:t>&lt;/Titre&gt;</w:t>
      </w:r>
    </w:p>
    <w:p w:rsidR="00C23264" w:rsidRPr="00CE43D6" w:rsidRDefault="00C23264" w:rsidP="00C23264">
      <w:pPr>
        <w:pStyle w:val="CoverNormal24a"/>
      </w:pPr>
      <w:r w:rsidRPr="00CE43D6">
        <w:rPr>
          <w:rStyle w:val="HideTWBExt"/>
          <w:noProof w:val="0"/>
        </w:rPr>
        <w:t>&lt;DocRef&gt;</w:t>
      </w:r>
      <w:r w:rsidRPr="00CE43D6">
        <w:t>(2020/2789(RSP))</w:t>
      </w:r>
      <w:r w:rsidRPr="00CE43D6">
        <w:rPr>
          <w:rStyle w:val="HideTWBExt"/>
          <w:noProof w:val="0"/>
        </w:rPr>
        <w:t>&lt;/DocRef&gt;</w:t>
      </w:r>
    </w:p>
    <w:p w:rsidR="002574AA" w:rsidRPr="00CE43D6" w:rsidRDefault="002574AA" w:rsidP="002574AA">
      <w:pPr>
        <w:pStyle w:val="CoverBold"/>
      </w:pPr>
      <w:r w:rsidRPr="00CE43D6">
        <w:rPr>
          <w:rStyle w:val="HideTWBExt"/>
          <w:b w:val="0"/>
          <w:noProof w:val="0"/>
        </w:rPr>
        <w:t>&lt;RepeatBlock-By&gt;&lt;Depute&gt;</w:t>
      </w:r>
      <w:r w:rsidRPr="00CE43D6">
        <w:t>Juan Fernando López Aguilar</w:t>
      </w:r>
      <w:r w:rsidRPr="00CE43D6">
        <w:rPr>
          <w:rStyle w:val="HideTWBExt"/>
          <w:b w:val="0"/>
          <w:noProof w:val="0"/>
        </w:rPr>
        <w:t>&lt;/Depute&gt;</w:t>
      </w:r>
    </w:p>
    <w:p w:rsidR="002574AA" w:rsidRPr="00CE43D6" w:rsidRDefault="002574AA" w:rsidP="002574AA">
      <w:pPr>
        <w:pStyle w:val="CoverNormal"/>
      </w:pPr>
      <w:r w:rsidRPr="00CE43D6">
        <w:rPr>
          <w:rStyle w:val="HideTWBExt"/>
          <w:noProof w:val="0"/>
        </w:rPr>
        <w:t>&lt;Commission&gt;</w:t>
      </w:r>
      <w:r w:rsidRPr="00CE43D6">
        <w:rPr>
          <w:rStyle w:val="HideTWBInt"/>
        </w:rPr>
        <w:t>{LIBE}</w:t>
      </w:r>
      <w:r w:rsidRPr="00CE43D6">
        <w:t>u ime Odbora za građanske slobode, pravosuđe i unutarnje poslove</w:t>
      </w:r>
      <w:r w:rsidRPr="00CE43D6">
        <w:rPr>
          <w:rStyle w:val="HideTWBExt"/>
          <w:noProof w:val="0"/>
        </w:rPr>
        <w:t>&lt;/Commission&gt;</w:t>
      </w:r>
    </w:p>
    <w:p w:rsidR="002574AA" w:rsidRPr="00CE43D6" w:rsidRDefault="002574AA" w:rsidP="002574AA">
      <w:pPr>
        <w:pStyle w:val="CoverNormal"/>
      </w:pPr>
      <w:r w:rsidRPr="00CE43D6">
        <w:rPr>
          <w:rStyle w:val="HideTWBExt"/>
          <w:noProof w:val="0"/>
        </w:rPr>
        <w:t>&lt;/RepeatBlock-By&gt;</w:t>
      </w:r>
    </w:p>
    <w:p w:rsidR="00814BC6" w:rsidRPr="00CE43D6" w:rsidRDefault="00814BC6">
      <w:pPr>
        <w:pStyle w:val="NormalBold12a"/>
      </w:pPr>
      <w:r w:rsidRPr="00CE43D6">
        <w:br w:type="page"/>
      </w:r>
      <w:r w:rsidRPr="00CE43D6">
        <w:lastRenderedPageBreak/>
        <w:t>B9-0000/2021</w:t>
      </w:r>
    </w:p>
    <w:p w:rsidR="00BE0BDD" w:rsidRPr="00CE43D6" w:rsidRDefault="00BE0BDD" w:rsidP="00BE0BDD">
      <w:pPr>
        <w:pStyle w:val="NormalBold"/>
      </w:pPr>
      <w:r w:rsidRPr="00CE43D6">
        <w:t>Rezolucija Europskog parlamenta o presudi Suda Europske unije od 16. srpnja 2020. – Data Protection Commissioner protiv Facebook Ireland Limited i Maximillian Schrems („Schrems II”) – predmet C-311/18</w:t>
      </w:r>
    </w:p>
    <w:p w:rsidR="00C23264" w:rsidRPr="00CE43D6" w:rsidRDefault="00A92F07" w:rsidP="00BE0BDD">
      <w:pPr>
        <w:pStyle w:val="NormalBold"/>
      </w:pPr>
      <w:r w:rsidRPr="00CE43D6">
        <w:t>(2020/2789(RSP))</w:t>
      </w:r>
    </w:p>
    <w:p w:rsidR="00814BC6" w:rsidRPr="00CE43D6" w:rsidRDefault="00A92F07">
      <w:pPr>
        <w:pStyle w:val="EPComma"/>
      </w:pPr>
      <w:r w:rsidRPr="00CE43D6">
        <w:rPr>
          <w:i/>
        </w:rPr>
        <w:t>Europski parlament</w:t>
      </w:r>
      <w:r w:rsidRPr="00CE43D6">
        <w:t>,</w:t>
      </w:r>
    </w:p>
    <w:p w:rsidR="00BE0BDD" w:rsidRPr="00CE43D6" w:rsidRDefault="00814BC6" w:rsidP="00BE0BDD">
      <w:pPr>
        <w:pStyle w:val="NormalHanging12a"/>
      </w:pPr>
      <w:r w:rsidRPr="00CE43D6">
        <w:t>–</w:t>
      </w:r>
      <w:r w:rsidRPr="00CE43D6">
        <w:tab/>
        <w:t>uzimajući u obzir Povelju Europske unije o temeljnim pravima, a posebno njezine članke 7., 8., 47. i 52.,</w:t>
      </w:r>
    </w:p>
    <w:p w:rsidR="00BE0BDD" w:rsidRPr="00CE43D6" w:rsidRDefault="00BE0BDD" w:rsidP="00BE0BDD">
      <w:pPr>
        <w:widowControl/>
        <w:spacing w:after="240"/>
        <w:ind w:left="567" w:hanging="567"/>
      </w:pPr>
      <w:r w:rsidRPr="00CE43D6">
        <w:t>–</w:t>
      </w:r>
      <w:r w:rsidRPr="00CE43D6">
        <w:tab/>
        <w:t>uzimajući u obzir presudu Suda Europske unije od 16. srpnja 2020. u predmetu C-311/18, Data Protection Commissioner protiv Facebook Ireland Limited i Maximillian Schrems</w:t>
      </w:r>
      <w:r w:rsidRPr="00CE43D6">
        <w:rPr>
          <w:vertAlign w:val="superscript"/>
        </w:rPr>
        <w:footnoteReference w:id="1"/>
      </w:r>
      <w:r w:rsidRPr="00CE43D6">
        <w:t xml:space="preserve"> („Schrems II”),</w:t>
      </w:r>
    </w:p>
    <w:p w:rsidR="00BE0BDD" w:rsidRPr="00CE43D6" w:rsidRDefault="00BE0BDD" w:rsidP="00BE0BDD">
      <w:pPr>
        <w:pStyle w:val="NormalHanging12a"/>
      </w:pPr>
      <w:r w:rsidRPr="00CE43D6">
        <w:t>–</w:t>
      </w:r>
      <w:r w:rsidRPr="00CE43D6">
        <w:tab/>
        <w:t>uzimajući u obzir presudu Suda Europske unije od 6. listopada 2015. u predmetu C-362/14 Maximillian Schrems protiv Data Protection Commissioner</w:t>
      </w:r>
      <w:r w:rsidRPr="00CE43D6">
        <w:rPr>
          <w:vertAlign w:val="superscript"/>
        </w:rPr>
        <w:footnoteReference w:id="2"/>
      </w:r>
      <w:r w:rsidRPr="00CE43D6">
        <w:t xml:space="preserve"> („Schrems I”),</w:t>
      </w:r>
    </w:p>
    <w:p w:rsidR="00BE0BDD" w:rsidRPr="00CE43D6" w:rsidRDefault="00BE0BDD" w:rsidP="00BE0BDD">
      <w:pPr>
        <w:pStyle w:val="NormalHanging12a"/>
      </w:pPr>
      <w:r w:rsidRPr="00CE43D6">
        <w:t>–</w:t>
      </w:r>
      <w:r w:rsidRPr="00CE43D6">
        <w:tab/>
        <w:t xml:space="preserve">uzimajući u obzir presudu Suda Europske unije od 6. listopada 2020. u predmetu </w:t>
      </w:r>
      <w:bookmarkStart w:id="0" w:name="pagePrincipale"/>
      <w:bookmarkEnd w:id="0"/>
      <w:r w:rsidRPr="00CE43D6">
        <w:t>C-623/17, P</w:t>
      </w:r>
      <w:bookmarkStart w:id="1" w:name="_GoBack"/>
      <w:bookmarkEnd w:id="1"/>
      <w:r w:rsidRPr="00CE43D6">
        <w:t>rivacy International protiv Secretary of State for Foreign and Commonwealth Affairs</w:t>
      </w:r>
      <w:r w:rsidRPr="00CE43D6">
        <w:rPr>
          <w:vertAlign w:val="superscript"/>
        </w:rPr>
        <w:footnoteReference w:id="3"/>
      </w:r>
      <w:r w:rsidRPr="00CE43D6">
        <w:t>,</w:t>
      </w:r>
    </w:p>
    <w:p w:rsidR="00BE0BDD" w:rsidRPr="00CE43D6" w:rsidRDefault="00BE0BDD" w:rsidP="00BE0BDD">
      <w:pPr>
        <w:pStyle w:val="NormalHanging12a"/>
      </w:pPr>
      <w:r w:rsidRPr="00CE43D6">
        <w:t>–</w:t>
      </w:r>
      <w:r w:rsidRPr="00CE43D6">
        <w:tab/>
        <w:t>uzimajući u obzir svoju Rezoluciju od 5. srpnja 2018. o primjerenosti zaštite u okviru europsko-američkog sustava zaštite privatnosti,</w:t>
      </w:r>
      <w:r w:rsidRPr="00CE43D6">
        <w:rPr>
          <w:vertAlign w:val="superscript"/>
        </w:rPr>
        <w:footnoteReference w:id="4"/>
      </w:r>
      <w:r w:rsidRPr="00CE43D6">
        <w:t xml:space="preserve"> </w:t>
      </w:r>
    </w:p>
    <w:p w:rsidR="00BE0BDD" w:rsidRPr="00CE43D6" w:rsidRDefault="00BE0BDD" w:rsidP="00BE0BDD">
      <w:pPr>
        <w:pStyle w:val="NormalHanging12a"/>
      </w:pPr>
      <w:r w:rsidRPr="00CE43D6">
        <w:t>–</w:t>
      </w:r>
      <w:r w:rsidRPr="00CE43D6">
        <w:tab/>
        <w:t>uzimajući u obzir svoju Rezoluciju od 25. listopada 2018. o korištenju podataka korisnika Facebooka od strane poduzeća Cambridge Analytica i učinku na zaštitu podataka</w:t>
      </w:r>
      <w:r w:rsidRPr="00CE43D6">
        <w:rPr>
          <w:vertAlign w:val="superscript"/>
        </w:rPr>
        <w:footnoteReference w:id="5"/>
      </w:r>
      <w:r w:rsidRPr="00CE43D6">
        <w:t xml:space="preserve">, </w:t>
      </w:r>
    </w:p>
    <w:p w:rsidR="00BE0BDD" w:rsidRPr="00CE43D6" w:rsidRDefault="00BE0BDD" w:rsidP="00BE0BDD">
      <w:pPr>
        <w:pStyle w:val="NormalHanging12a"/>
      </w:pPr>
      <w:r w:rsidRPr="00CE43D6">
        <w:t>–</w:t>
      </w:r>
      <w:r w:rsidRPr="00CE43D6">
        <w:tab/>
        <w:t>uzimajući u obzir svoju Rezoluciju od 26. studenoga 2020. o reviziji trgovinske politike EU-a</w:t>
      </w:r>
      <w:r w:rsidRPr="00CE43D6">
        <w:rPr>
          <w:vertAlign w:val="superscript"/>
        </w:rPr>
        <w:footnoteReference w:id="6"/>
      </w:r>
      <w:r w:rsidRPr="00CE43D6">
        <w:t xml:space="preserve">, </w:t>
      </w:r>
    </w:p>
    <w:p w:rsidR="00BE0BDD" w:rsidRPr="00CE43D6" w:rsidRDefault="00BE0BDD" w:rsidP="00BE0BDD">
      <w:pPr>
        <w:pStyle w:val="NormalHanging12a"/>
      </w:pPr>
      <w:r w:rsidRPr="00CE43D6">
        <w:t>–</w:t>
      </w:r>
      <w:r w:rsidRPr="00CE43D6">
        <w:tab/>
        <w:t>uzimajući u obzir Uredbu (EU) 2016/679, tj. Opću uredbu o zaštiti podataka (GPDR)</w:t>
      </w:r>
      <w:r w:rsidRPr="00CE43D6">
        <w:rPr>
          <w:vertAlign w:val="superscript"/>
        </w:rPr>
        <w:footnoteReference w:id="7"/>
      </w:r>
      <w:r w:rsidRPr="00CE43D6">
        <w:t xml:space="preserve">, </w:t>
      </w:r>
    </w:p>
    <w:p w:rsidR="00BE0BDD" w:rsidRPr="00CE43D6" w:rsidRDefault="00BE0BDD" w:rsidP="00BE0BDD">
      <w:pPr>
        <w:pStyle w:val="NormalHanging12a"/>
      </w:pPr>
      <w:r w:rsidRPr="00CE43D6">
        <w:t>–</w:t>
      </w:r>
      <w:r w:rsidRPr="00CE43D6">
        <w:tab/>
        <w:t xml:space="preserve">uzimajući u obzir Preporuku 01/2020 o mjerama kojima se dopunjuju alati za prijenos podataka kako bi se osigurala usklađenost s razinom zaštite osobnih podataka u EU-u i </w:t>
      </w:r>
      <w:r w:rsidRPr="00CE43D6">
        <w:lastRenderedPageBreak/>
        <w:t>njegovu Preporuku 02/2020 o europskim temeljnim jamstvima za mjere nadzora</w:t>
      </w:r>
      <w:r w:rsidRPr="00CE43D6">
        <w:rPr>
          <w:vertAlign w:val="superscript"/>
        </w:rPr>
        <w:footnoteReference w:id="8"/>
      </w:r>
      <w:r w:rsidRPr="00CE43D6">
        <w:t>,</w:t>
      </w:r>
    </w:p>
    <w:p w:rsidR="00ED22B8" w:rsidRPr="00CE43D6" w:rsidRDefault="00ED22B8" w:rsidP="00BE0BDD">
      <w:pPr>
        <w:pStyle w:val="NormalHanging12a"/>
      </w:pPr>
      <w:r w:rsidRPr="00CE43D6">
        <w:t>–</w:t>
      </w:r>
      <w:r w:rsidRPr="00CE43D6">
        <w:tab/>
        <w:t>uzimajući u obzir članak 132. stavak 2. Poslovnika,</w:t>
      </w:r>
    </w:p>
    <w:p w:rsidR="00BE0BDD" w:rsidRPr="00CE43D6" w:rsidRDefault="00814BC6" w:rsidP="00BE0BDD">
      <w:pPr>
        <w:pStyle w:val="NormalHanging12a"/>
        <w:ind w:hanging="566"/>
      </w:pPr>
      <w:r w:rsidRPr="00CE43D6">
        <w:t>A.</w:t>
      </w:r>
      <w:r w:rsidRPr="00CE43D6">
        <w:tab/>
        <w:t>budući da je Sud Europske unije (Sud) u presudi „Schrems I” istaknuo da se neselektivnim pristupom obavještajnih tijela sadržaju elektroničkih komunikacija povređuje bitan sadržaj prava na povjerljivost komunikacija kako je predviđeno člankom 7. Povelje;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B.</w:t>
      </w:r>
      <w:r w:rsidRPr="00CE43D6">
        <w:tab/>
        <w:t>budući da je Sud u presudi „Schrems II” istaknuo da Sjedinjene Američke Države (SAD) ne pružaju dovoljno pravnih lijekova za nedržavljane SAD-a protiv masovnog nadzora te da se time povređuje bitan sadržaj prava na pravni lijek kako je predviđeno člankom 47. Povelje;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C.</w:t>
      </w:r>
      <w:r w:rsidRPr="00CE43D6">
        <w:tab/>
        <w:t>budući da je Europski parlament u svojoj Rezoluciji od 25. listopada 2018. već pozvao Komisiju da obustavi primjenu sustava zaštite privatnosti;</w:t>
      </w:r>
    </w:p>
    <w:p w:rsidR="00BE0BDD" w:rsidRPr="00CE43D6" w:rsidRDefault="00BE0BDD" w:rsidP="00BE0BDD">
      <w:pPr>
        <w:pStyle w:val="NormalHanging12a"/>
        <w:ind w:left="1" w:firstLine="0"/>
      </w:pPr>
      <w:r w:rsidRPr="00CE43D6">
        <w:rPr>
          <w:b/>
          <w:bCs/>
          <w:i/>
          <w:iCs/>
        </w:rPr>
        <w:t>OPĆE NAPOMENE</w:t>
      </w:r>
    </w:p>
    <w:p w:rsidR="00BE0BDD" w:rsidRPr="00CE43D6" w:rsidRDefault="00814BC6" w:rsidP="00BE0BDD">
      <w:pPr>
        <w:pStyle w:val="NormalHanging12a"/>
      </w:pPr>
      <w:r w:rsidRPr="00CE43D6">
        <w:t>1.</w:t>
      </w:r>
      <w:r w:rsidRPr="00CE43D6">
        <w:tab/>
        <w:t>prima na znanje presudu Suda od 16. srpnja 2020., u kojoj je Sud potvrdio valjanost Odluke 2010/87 o standardnim ugovornim klauzulama, koje smatra učinkovitim mehanizmom za osiguranje razine zaštite koja je predviđena pravom Unije; nadalje, prima na znanje da je Sud odlučio da je Odluka Komisije 2016/1250 o primjerenosti zaštite u okviru europsko‑američkog sustava zaštite privatnosti nevaljana;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2.</w:t>
      </w:r>
      <w:r w:rsidRPr="00CE43D6">
        <w:tab/>
        <w:t>smatra da presuda Suda ima znatne posljedice za odluke o primjerenosti koje se odnose na treće zemlje; potvrđuje potrebu za pravnom jasnoćom i sigurnošću;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3.</w:t>
      </w:r>
      <w:r w:rsidRPr="00CE43D6">
        <w:tab/>
        <w:t>zabrinut je da je cijeli predmet „Schrems II” pokrenuo irski povjerenik za zaštitu podataka, umjesto da je donio odluku u okviru svojih ovlasti u skladu s člankom 58. Opće uredbe o zaštiti podataka; duboko je zabrinut zbog toga što irski povjerenik za zaštitu podataka još nije donio odluku o nekoliko pritužbi na kršenja Opće uredbe o zaštiti podataka podnesenih 25. svibnja 2018., iako je glavno nadležno tijelo za te predmete; oštro osuđuje pokušaj irskog tijela za zaštitu podataka da troškove sudskog postupka prebaci na Maximiliana Schremsa, što bi imalo iznimno odvraćajući učinak; poziva Komisiju da protiv Irske pokrene postupke zbog povrede obveze jer ta zemlja ne izvršava pravilno Opću uredbu o zaštiti podataka;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4.</w:t>
      </w:r>
      <w:r w:rsidRPr="00CE43D6">
        <w:tab/>
        <w:t>apelira na Komisiju da objavi daljnje smjernice o međunarodnim prijenosima podataka za poduzeća, osobito za MSP-ove, među ostalim, o dodatnim zaštitnim mjerama nužnim za prijenose u kojima se koriste standardne ugovorne klauzule;</w:t>
      </w:r>
    </w:p>
    <w:p w:rsidR="00BE0BDD" w:rsidRPr="00CE43D6" w:rsidRDefault="00BE0BDD" w:rsidP="00BE0BDD">
      <w:pPr>
        <w:pStyle w:val="NormalHanging12a"/>
        <w:ind w:left="1" w:firstLine="0"/>
      </w:pPr>
      <w:r w:rsidRPr="00CE43D6">
        <w:rPr>
          <w:b/>
          <w:i/>
        </w:rPr>
        <w:t>STANDARDNE UGOVORNE KLAUZULE</w:t>
      </w:r>
    </w:p>
    <w:p w:rsidR="00BE0BDD" w:rsidRPr="00CE43D6" w:rsidRDefault="00BE0BDD" w:rsidP="00BE0BDD">
      <w:pPr>
        <w:pStyle w:val="NormalHanging12a"/>
        <w:ind w:hanging="566"/>
      </w:pPr>
      <w:r w:rsidRPr="00CE43D6">
        <w:t>5.</w:t>
      </w:r>
      <w:r w:rsidRPr="00CE43D6">
        <w:tab/>
        <w:t xml:space="preserve">prima na znanje nacrt provedbene odluke Komisije i nacrt standardnih ugovornih klauzula; pozdravlja činjenicu da Komisija trenutačno traži povratne informacije od </w:t>
      </w:r>
      <w:r w:rsidRPr="00CE43D6">
        <w:lastRenderedPageBreak/>
        <w:t>dionika o tom nacrtu;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6.</w:t>
      </w:r>
      <w:r w:rsidRPr="00CE43D6">
        <w:tab/>
        <w:t xml:space="preserve">prima na znanje Preporuku 01/2020 Europskog odbora za zaštitu podataka o mjerama kojima se dopunjuju alati za prijenos podataka kako bi se osigurala usklađenost s razinom zaštite osobnih podataka u EU-u; zabrinut je zbog mogućih proturječnosti tih preporuka i prijedloga standardnih ugovornih klauzula koji je izradila Komisija; smatra da su potrebne detaljnije smjernice Europskog odbora za zaštitu podataka; </w:t>
      </w:r>
    </w:p>
    <w:p w:rsidR="00BE0BDD" w:rsidRPr="00CE43D6" w:rsidRDefault="00BE0BDD" w:rsidP="00BE0BDD">
      <w:pPr>
        <w:pStyle w:val="NormalHanging12a"/>
        <w:ind w:hanging="566"/>
      </w:pPr>
      <w:r w:rsidRPr="00CE43D6">
        <w:t>7.</w:t>
      </w:r>
      <w:r w:rsidRPr="00CE43D6">
        <w:tab/>
        <w:t>vjeruje da je ključno da se poduzeća iz EU-a mogu osloniti na čvrste mehanizme u skladu s presudom Suda; u tom pogledu smatra da bi se u aktualnom prijedlogu Komisije za obrazac standardnih ugovornih klauzula trebale uzeti u obzir sve relevantne preporuke; podržava paket dodatnih mjera, npr. sigurnosnih certifikacija i zaštitnih enkripcijskih mjera koje prihvaćaju regulatorna tijela;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8.</w:t>
      </w:r>
      <w:r w:rsidRPr="00CE43D6">
        <w:tab/>
        <w:t>ističe da za voditelje obrade podataka koji su obuhvaćeni područjem primjene američkog Zakona o nadzoru stranih obavještajnih službi (FISA) prijenos osobnih podataka iz Unije nije moguć u okviru tih standardnih ugovornih klauzula zbog visokog rizika od masovnog nadzora; smatra da se samo sveobuhvatnom reformom nadzornih praksi u SAD-u može na održiv način riješiti taj problem i pružiti pravna sigurnost poduzećima i osobama na koje se odnose podaci;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9.</w:t>
      </w:r>
      <w:r w:rsidRPr="00CE43D6">
        <w:tab/>
        <w:t>podsjeća na to da se velik broj MSP-ova koristi standardnim ugovornim klauzulama; naglašava da su poduzećima i MSP-ovima hitno potrebne jasne smjernice i pomoć u primjeni i tumačenju presude Suda;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10.</w:t>
      </w:r>
      <w:r w:rsidRPr="00CE43D6">
        <w:tab/>
        <w:t>ističe da se od europskih MSP-ova očekuje da, unatoč ograničenoj pregovaračkoj moći i pravnoj sposobnosti, s pomoću obveznih samoprocjena primjerenosti trećih zemalja ocijene složene pravne okvire različitih trećih zemalja; apelira na Komisiju i Europski odbor za zaštitu podataka da temeljito ispitaju nužnost i izvedivost svih potrebnih dodatnih mjera, naročito za MSP-ove;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11.</w:t>
      </w:r>
      <w:r w:rsidRPr="00CE43D6">
        <w:tab/>
        <w:t>snažno potiče nacionalna nadzorna tijela da u takvim slučajevima iskoriste svoje ovlasti iz članka 3. nacrta provedbene odluke i u skladu s člankom 58. Opće uredbe o zaštiti podataka;</w:t>
      </w:r>
    </w:p>
    <w:p w:rsidR="00BE0BDD" w:rsidRPr="00CE43D6" w:rsidRDefault="00BE0BDD" w:rsidP="00BE0BDD">
      <w:pPr>
        <w:pStyle w:val="NormalHanging12a"/>
        <w:ind w:left="1" w:firstLine="0"/>
      </w:pPr>
      <w:r w:rsidRPr="00CE43D6">
        <w:rPr>
          <w:b/>
          <w:i/>
        </w:rPr>
        <w:t>SUSTAV ZAŠTITE PRIVATNOSTI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12.</w:t>
      </w:r>
      <w:r w:rsidRPr="00CE43D6">
        <w:tab/>
        <w:t>primjećuje da je, unatoč poboljšanjima sustava zaštite privatnosti u usporedbi s načelima „sigurne luke”, Sud utvrdio da europsko-američki sustav zaštite privatnosti ne jamči bitno ekvivalentnu i time primjerenu razinu zaštite u usporedbi s onom koju pružaju Opća uredba o zaštiti podataka i Povelja EU-a, osobito zbog uvjeta koji su uvedeni u pogledu pristupa američkih javnih tijela osobnim podacima prenesenima u okviru sustava zaštite privatnosti te činjenice da osobe iz EU-a na koje se odnose podaci nemaju prava na koja se u postupku pred američkim sudovima mogu pozivati protiv američkih tijela;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13.</w:t>
      </w:r>
      <w:r w:rsidRPr="00CE43D6">
        <w:tab/>
        <w:t>podsjeća na Rezoluciju Parlamenta iz 2018. o sustavu zaštite privatnosti, u kojoj se naglašava da postoji rizik da će ga Sud poništiti;</w:t>
      </w:r>
    </w:p>
    <w:p w:rsidR="00BE0BDD" w:rsidRPr="00CE43D6" w:rsidRDefault="00BE0BDD" w:rsidP="00BE0BDD">
      <w:pPr>
        <w:pStyle w:val="NormalHanging12a"/>
        <w:spacing w:before="240"/>
        <w:ind w:left="1" w:firstLine="0"/>
      </w:pPr>
      <w:r w:rsidRPr="00CE43D6">
        <w:rPr>
          <w:b/>
          <w:i/>
        </w:rPr>
        <w:t>MASOVNI NADZOR I PRAVNI OKVIR</w:t>
      </w:r>
    </w:p>
    <w:p w:rsidR="00BE0BDD" w:rsidRPr="00CE43D6" w:rsidRDefault="00BE0BDD" w:rsidP="00BE0BDD">
      <w:pPr>
        <w:pStyle w:val="NormalHanging12a"/>
        <w:ind w:hanging="566"/>
      </w:pPr>
      <w:r w:rsidRPr="00CE43D6">
        <w:lastRenderedPageBreak/>
        <w:t>14.</w:t>
      </w:r>
      <w:r w:rsidRPr="00CE43D6">
        <w:tab/>
        <w:t>potiče Komisiju da nastavi pratiti uporabu tehnologija masovnog nadzora u Ujedinjenoj Kraljevini;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15.</w:t>
      </w:r>
      <w:r w:rsidRPr="00CE43D6">
        <w:tab/>
        <w:t>ističe da ni kalifornijski Zakon o privatnosti potrošača (CCPA) u SAD-u ni savezni prijedlozi zasad ne ispunjavaju uvjete Opće uredbe o zaštiti podataka u pogledu odgovarajuće razine zaštite; potiče saveznog zakonodavca SAD-a da donese snažan i sveobuhvatan savezni zakon o zaštiti podataka i privatnosti na nacionalnoj razini koji ispunjava te zahtjeve;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16.</w:t>
      </w:r>
      <w:r w:rsidRPr="00CE43D6">
        <w:tab/>
        <w:t>naglašava da se takvim zakonodavstvom o zaštiti podataka i privatnosti potrošača neće riješiti temeljni problemi koje je Sud utvrdio u pogledu masovnog nadzora koji provode obavještajne službe SAD-a i nedovoljnog pristupa pravnim lijekovima; potiče saveznog zakonodavca SAD-a da ponovno razmotri izmjene članka 702. Zakona FISA, Izvršnog naloga br. 12333 i Predsjedničkog ukaza br. 28, posebno s obzirom na pružanje jednake razine zaštite građanima EU-a i SAD-a;</w:t>
      </w:r>
    </w:p>
    <w:p w:rsidR="00BE0BDD" w:rsidRPr="00CE43D6" w:rsidRDefault="00BE0BDD" w:rsidP="00BE0BDD">
      <w:pPr>
        <w:pStyle w:val="NormalHanging12a"/>
        <w:ind w:left="1" w:firstLine="0"/>
      </w:pPr>
      <w:r w:rsidRPr="00CE43D6">
        <w:rPr>
          <w:b/>
          <w:i/>
        </w:rPr>
        <w:t>ODLUKE O PRIMJERENOSTI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17.</w:t>
      </w:r>
      <w:r w:rsidRPr="00CE43D6">
        <w:tab/>
        <w:t>poziva Komisiju da poduzme sve potrebne mjere kako bi se osiguralo da su svi daljnji dogovori s SAD-om u potpunosti u skladu s Uredbom (EU) 2016/679, Poveljom EU-a i svim aspektima presude Suda;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18.</w:t>
      </w:r>
      <w:r w:rsidRPr="00CE43D6">
        <w:tab/>
        <w:t>podsjeća na obvezu Komisije da preispita sve odluke o primjerenosti donesene u skladu s Direktivom (EZ) 95/46 primjenjujući zaključke iz presuda u predmetima „Schrems I i II” kako bi ocijenila je li osigurana bitno ekvivalentna razina zaštite;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19.</w:t>
      </w:r>
      <w:r w:rsidRPr="00CE43D6">
        <w:tab/>
        <w:t>poziva Komisiju da ne donosi nikakve nove odluke o primjerenosti u odnosu na SAD osim ako se ne provedu značajne reforme zakona i praksi u području pristupa javnih tijela informacijama, naročito za potrebe nacionalne sigurnosti i obavještajnih službi;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20.</w:t>
      </w:r>
      <w:r w:rsidRPr="00CE43D6">
        <w:tab/>
        <w:t>poziva Komisiju da objavi ažurirani popis kriterija kojima se služi pri ocjenjivanju ispunjavaju li treće zemlje uvjete za donošenje odluke o primjerenosti;</w:t>
      </w:r>
    </w:p>
    <w:p w:rsidR="00BE0BDD" w:rsidRPr="00CE43D6" w:rsidRDefault="00BE0BDD" w:rsidP="00BE0BDD">
      <w:pPr>
        <w:pStyle w:val="NormalHanging12a"/>
        <w:ind w:hanging="566"/>
      </w:pPr>
      <w:r w:rsidRPr="00CE43D6">
        <w:t>21.</w:t>
      </w:r>
      <w:r w:rsidRPr="00CE43D6">
        <w:tab/>
        <w:t>nalaže svojem predsjedniku da ovu Rezoluciju proslijedi Komisiji, Europskom vijeću, Vijeću, Europskom odboru za zaštitu podataka te nacionalnim parlamentima.</w:t>
      </w:r>
    </w:p>
    <w:p w:rsidR="00866D70" w:rsidRPr="00CE43D6" w:rsidRDefault="00866D70" w:rsidP="00866D70"/>
    <w:sectPr w:rsidR="00866D70" w:rsidRPr="00CE43D6" w:rsidSect="0091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07" w:rsidRPr="00A92F07" w:rsidRDefault="00A92F07">
      <w:r w:rsidRPr="00A92F07">
        <w:separator/>
      </w:r>
    </w:p>
  </w:endnote>
  <w:endnote w:type="continuationSeparator" w:id="0">
    <w:p w:rsidR="00A92F07" w:rsidRPr="00A92F07" w:rsidRDefault="00A92F07">
      <w:r w:rsidRPr="00A92F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Times New Roman"/>
    <w:charset w:val="01"/>
    <w:family w:val="roman"/>
    <w:pitch w:val="variable"/>
  </w:font>
  <w:font w:name="DejaVu San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19" w:rsidRPr="00A92F07" w:rsidRDefault="00A90219" w:rsidP="00EC05E9">
    <w:pPr>
      <w:pStyle w:val="EPFooter"/>
    </w:pPr>
    <w:r w:rsidRPr="00A92F07">
      <w:t>PE</w:t>
    </w:r>
    <w:r w:rsidRPr="00A92F07">
      <w:rPr>
        <w:rStyle w:val="HideTWBExt"/>
        <w:noProof w:val="0"/>
      </w:rPr>
      <w:t>&lt;NoPE&gt;</w:t>
    </w:r>
    <w:r w:rsidR="00BE0BDD" w:rsidRPr="00BE0BDD">
      <w:t>663.216</w:t>
    </w:r>
    <w:r w:rsidRPr="00A92F07">
      <w:rPr>
        <w:rStyle w:val="HideTWBExt"/>
        <w:noProof w:val="0"/>
      </w:rPr>
      <w:t>&lt;/NoPE&gt;&lt;Version&gt;</w:t>
    </w:r>
    <w:r w:rsidR="00A92F07" w:rsidRPr="00A92F07">
      <w:t>v</w:t>
    </w:r>
    <w:r w:rsidR="00BE0BDD" w:rsidRPr="00BE0BDD">
      <w:t>01-00</w:t>
    </w:r>
    <w:r w:rsidRPr="00A92F07">
      <w:rPr>
        <w:rStyle w:val="HideTWBExt"/>
        <w:noProof w:val="0"/>
      </w:rPr>
      <w:t>&lt;/Version&gt;</w:t>
    </w:r>
    <w:r w:rsidRPr="00A92F07">
      <w:tab/>
    </w:r>
    <w:r w:rsidR="00866D70" w:rsidRPr="00A92F07">
      <w:fldChar w:fldCharType="begin"/>
    </w:r>
    <w:r w:rsidR="00866D70" w:rsidRPr="00A92F07">
      <w:instrText xml:space="preserve"> PAGE </w:instrText>
    </w:r>
    <w:r w:rsidR="00866D70" w:rsidRPr="00A92F07">
      <w:fldChar w:fldCharType="separate"/>
    </w:r>
    <w:r w:rsidR="00CE43D6">
      <w:rPr>
        <w:noProof/>
      </w:rPr>
      <w:t>2</w:t>
    </w:r>
    <w:r w:rsidR="00866D70" w:rsidRPr="00A92F07">
      <w:fldChar w:fldCharType="end"/>
    </w:r>
    <w:r w:rsidR="00866D70" w:rsidRPr="00A92F07">
      <w:t>/</w:t>
    </w:r>
    <w:r w:rsidR="00CE43D6">
      <w:fldChar w:fldCharType="begin"/>
    </w:r>
    <w:r w:rsidR="00CE43D6">
      <w:instrText xml:space="preserve"> NUMPAGES </w:instrText>
    </w:r>
    <w:r w:rsidR="00CE43D6">
      <w:fldChar w:fldCharType="separate"/>
    </w:r>
    <w:r w:rsidR="00CE43D6">
      <w:rPr>
        <w:noProof/>
      </w:rPr>
      <w:t>5</w:t>
    </w:r>
    <w:r w:rsidR="00CE43D6">
      <w:rPr>
        <w:noProof/>
      </w:rPr>
      <w:fldChar w:fldCharType="end"/>
    </w:r>
    <w:r w:rsidRPr="00A92F07">
      <w:tab/>
    </w:r>
    <w:r w:rsidRPr="00A92F07">
      <w:rPr>
        <w:rStyle w:val="HideTWBExt"/>
        <w:noProof w:val="0"/>
      </w:rPr>
      <w:t>&lt;PathFdR&gt;</w:t>
    </w:r>
    <w:r w:rsidR="00BE0BDD" w:rsidRPr="00BE0BDD">
      <w:t>RE\1222135HR.docx</w:t>
    </w:r>
    <w:r w:rsidRPr="00A92F07">
      <w:rPr>
        <w:rStyle w:val="HideTWBExt"/>
        <w:noProof w:val="0"/>
      </w:rPr>
      <w:t>&lt;/PathFdR&gt;</w:t>
    </w:r>
  </w:p>
  <w:p w:rsidR="00A90219" w:rsidRPr="00A92F07" w:rsidRDefault="00CE43D6">
    <w:pPr>
      <w:pStyle w:val="EPFooter2"/>
    </w:pPr>
    <w:r>
      <w:fldChar w:fldCharType="begin"/>
    </w:r>
    <w:r>
      <w:instrText xml:space="preserve"> DOCPROPERTY "&lt;Extension&gt;" </w:instrText>
    </w:r>
    <w:r>
      <w:fldChar w:fldCharType="separate"/>
    </w:r>
    <w:r>
      <w:t>HR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19" w:rsidRPr="00A92F07" w:rsidRDefault="00A90219" w:rsidP="00EC05E9">
    <w:pPr>
      <w:pStyle w:val="EPFooter"/>
    </w:pPr>
    <w:r w:rsidRPr="00A92F07">
      <w:rPr>
        <w:rStyle w:val="HideTWBExt"/>
        <w:noProof w:val="0"/>
      </w:rPr>
      <w:t>&lt;PathFdR&gt;</w:t>
    </w:r>
    <w:r w:rsidR="00BE0BDD" w:rsidRPr="00BE0BDD">
      <w:t>RE\1222135HR.docx</w:t>
    </w:r>
    <w:r w:rsidRPr="00A92F07">
      <w:rPr>
        <w:rStyle w:val="HideTWBExt"/>
        <w:noProof w:val="0"/>
      </w:rPr>
      <w:t>&lt;/PathFdR&gt;</w:t>
    </w:r>
    <w:r w:rsidRPr="00A92F07">
      <w:tab/>
    </w:r>
    <w:r w:rsidR="00866D70" w:rsidRPr="00A92F07">
      <w:fldChar w:fldCharType="begin"/>
    </w:r>
    <w:r w:rsidR="00866D70" w:rsidRPr="00A92F07">
      <w:instrText xml:space="preserve"> PAGE </w:instrText>
    </w:r>
    <w:r w:rsidR="00866D70" w:rsidRPr="00A92F07">
      <w:fldChar w:fldCharType="separate"/>
    </w:r>
    <w:r w:rsidR="00CE43D6">
      <w:rPr>
        <w:noProof/>
      </w:rPr>
      <w:t>3</w:t>
    </w:r>
    <w:r w:rsidR="00866D70" w:rsidRPr="00A92F07">
      <w:fldChar w:fldCharType="end"/>
    </w:r>
    <w:r w:rsidR="00866D70" w:rsidRPr="00A92F07">
      <w:t>/</w:t>
    </w:r>
    <w:r w:rsidR="00CE43D6">
      <w:fldChar w:fldCharType="begin"/>
    </w:r>
    <w:r w:rsidR="00CE43D6">
      <w:instrText xml:space="preserve"> NUMPAGES </w:instrText>
    </w:r>
    <w:r w:rsidR="00CE43D6">
      <w:fldChar w:fldCharType="separate"/>
    </w:r>
    <w:r w:rsidR="00CE43D6">
      <w:rPr>
        <w:noProof/>
      </w:rPr>
      <w:t>5</w:t>
    </w:r>
    <w:r w:rsidR="00CE43D6">
      <w:rPr>
        <w:noProof/>
      </w:rPr>
      <w:fldChar w:fldCharType="end"/>
    </w:r>
    <w:r w:rsidRPr="00A92F07">
      <w:tab/>
      <w:t>PE</w:t>
    </w:r>
    <w:r w:rsidRPr="00A92F07">
      <w:rPr>
        <w:rStyle w:val="HideTWBExt"/>
        <w:noProof w:val="0"/>
      </w:rPr>
      <w:t>&lt;NoPE&gt;</w:t>
    </w:r>
    <w:r w:rsidR="00BE0BDD" w:rsidRPr="00BE0BDD">
      <w:t>663.216</w:t>
    </w:r>
    <w:r w:rsidRPr="00A92F07">
      <w:rPr>
        <w:rStyle w:val="HideTWBExt"/>
        <w:noProof w:val="0"/>
      </w:rPr>
      <w:t>&lt;/NoPE&gt;&lt;Version&gt;</w:t>
    </w:r>
    <w:r w:rsidR="00A92F07" w:rsidRPr="00A92F07">
      <w:t>v</w:t>
    </w:r>
    <w:r w:rsidR="00BE0BDD" w:rsidRPr="00BE0BDD">
      <w:t>01-00</w:t>
    </w:r>
    <w:r w:rsidRPr="00A92F07">
      <w:rPr>
        <w:rStyle w:val="HideTWBExt"/>
        <w:noProof w:val="0"/>
      </w:rPr>
      <w:t>&lt;/Version&gt;</w:t>
    </w:r>
  </w:p>
  <w:p w:rsidR="00A90219" w:rsidRPr="00A92F07" w:rsidRDefault="00866D70">
    <w:pPr>
      <w:pStyle w:val="EPFooter2"/>
    </w:pPr>
    <w:r w:rsidRPr="00A92F07">
      <w:tab/>
    </w:r>
    <w:r w:rsidR="00A90219" w:rsidRPr="00A92F07">
      <w:tab/>
    </w:r>
    <w:r w:rsidR="00CE43D6">
      <w:fldChar w:fldCharType="begin"/>
    </w:r>
    <w:r w:rsidR="00CE43D6">
      <w:instrText xml:space="preserve"> DOCPROPERTY "&lt;Extension&gt;" </w:instrText>
    </w:r>
    <w:r w:rsidR="00CE43D6">
      <w:fldChar w:fldCharType="separate"/>
    </w:r>
    <w:r w:rsidR="00CE43D6">
      <w:t>HR</w:t>
    </w:r>
    <w:r w:rsidR="00CE43D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19" w:rsidRPr="00A92F07" w:rsidRDefault="00A90219" w:rsidP="00EC05E9">
    <w:pPr>
      <w:pStyle w:val="EPFooter"/>
    </w:pPr>
    <w:r w:rsidRPr="00A92F07">
      <w:rPr>
        <w:rStyle w:val="HideTWBExt"/>
        <w:noProof w:val="0"/>
      </w:rPr>
      <w:t>&lt;PathFdR&gt;</w:t>
    </w:r>
    <w:r w:rsidR="00BE0BDD" w:rsidRPr="00BE0BDD">
      <w:t>RE\1222135HR.docx</w:t>
    </w:r>
    <w:r w:rsidRPr="00A92F07">
      <w:rPr>
        <w:rStyle w:val="HideTWBExt"/>
        <w:noProof w:val="0"/>
      </w:rPr>
      <w:t>&lt;/PathFdR&gt;</w:t>
    </w:r>
    <w:r w:rsidRPr="00A92F07">
      <w:tab/>
    </w:r>
    <w:r w:rsidRPr="00A92F07">
      <w:tab/>
      <w:t>PE</w:t>
    </w:r>
    <w:r w:rsidRPr="00A92F07">
      <w:rPr>
        <w:rStyle w:val="HideTWBExt"/>
        <w:noProof w:val="0"/>
      </w:rPr>
      <w:t>&lt;NoPE&gt;</w:t>
    </w:r>
    <w:r w:rsidR="00BE0BDD" w:rsidRPr="00BE0BDD">
      <w:t>663.216</w:t>
    </w:r>
    <w:r w:rsidRPr="00A92F07">
      <w:rPr>
        <w:rStyle w:val="HideTWBExt"/>
        <w:noProof w:val="0"/>
      </w:rPr>
      <w:t>&lt;/NoPE&gt;&lt;Version&gt;</w:t>
    </w:r>
    <w:r w:rsidR="00A92F07" w:rsidRPr="00A92F07">
      <w:t>v</w:t>
    </w:r>
    <w:r w:rsidR="00BE0BDD" w:rsidRPr="00BE0BDD">
      <w:t>01-00</w:t>
    </w:r>
    <w:r w:rsidRPr="00A92F07">
      <w:rPr>
        <w:rStyle w:val="HideTWBExt"/>
        <w:noProof w:val="0"/>
      </w:rPr>
      <w:t>&lt;/Version&gt;</w:t>
    </w:r>
  </w:p>
  <w:p w:rsidR="00A90219" w:rsidRPr="00A92F07" w:rsidRDefault="00CE43D6" w:rsidP="00907285">
    <w:pPr>
      <w:pStyle w:val="EPFooter2"/>
      <w:tabs>
        <w:tab w:val="clear" w:pos="4535"/>
        <w:tab w:val="center" w:pos="4536"/>
      </w:tabs>
    </w:pPr>
    <w:r>
      <w:fldChar w:fldCharType="begin"/>
    </w:r>
    <w:r>
      <w:instrText xml:space="preserve"> DOCPROPERTY "&lt;Extension&gt;" </w:instrText>
    </w:r>
    <w:r>
      <w:fldChar w:fldCharType="separate"/>
    </w:r>
    <w:r>
      <w:t>HR</w:t>
    </w:r>
    <w:r>
      <w:fldChar w:fldCharType="end"/>
    </w:r>
    <w:r w:rsidR="00A90219" w:rsidRPr="00A92F07">
      <w:tab/>
    </w:r>
    <w:r w:rsidR="00BE0BDD">
      <w:rPr>
        <w:b w:val="0"/>
        <w:i/>
        <w:color w:val="C0C0C0"/>
        <w:sz w:val="22"/>
        <w:szCs w:val="22"/>
      </w:rPr>
      <w:t>Ujedinjena u raznolikosti</w:t>
    </w:r>
    <w:r w:rsidR="00A90219" w:rsidRPr="00A92F07">
      <w:tab/>
    </w:r>
    <w:r>
      <w:fldChar w:fldCharType="begin"/>
    </w:r>
    <w:r>
      <w:instrText xml:space="preserve"> DOCPROPERTY "&lt;Extension&gt;" </w:instrText>
    </w:r>
    <w:r>
      <w:fldChar w:fldCharType="separate"/>
    </w:r>
    <w:r>
      <w:t>HR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07" w:rsidRPr="00A92F07" w:rsidRDefault="00A92F07">
      <w:r w:rsidRPr="00A92F07">
        <w:separator/>
      </w:r>
    </w:p>
  </w:footnote>
  <w:footnote w:type="continuationSeparator" w:id="0">
    <w:p w:rsidR="00A92F07" w:rsidRPr="00A92F07" w:rsidRDefault="00A92F07">
      <w:r w:rsidRPr="00A92F07">
        <w:continuationSeparator/>
      </w:r>
    </w:p>
  </w:footnote>
  <w:footnote w:id="1">
    <w:p w:rsidR="00BE0BDD" w:rsidRDefault="00BE0BDD" w:rsidP="00BE0BDD">
      <w:pPr>
        <w:pStyle w:val="FootnoteText"/>
        <w:rPr>
          <w:rFonts w:ascii="Times New Roman" w:hAnsi="Times New Roman" w:cs="Times New Roman"/>
        </w:rPr>
      </w:pPr>
      <w:r>
        <w:rPr>
          <w:rStyle w:val="Funotenzeichen"/>
          <w:rFonts w:ascii="Times New Roman" w:hAnsi="Times New Roman" w:cs="Times New Roman"/>
        </w:rPr>
        <w:footnoteRef/>
      </w:r>
      <w:hyperlink r:id="rId1" w:history="1">
        <w:r>
          <w:rPr>
            <w:rStyle w:val="Hyperlink"/>
            <w:rFonts w:ascii="Times New Roman" w:hAnsi="Times New Roman"/>
          </w:rPr>
          <w:tab/>
        </w:r>
        <w:hyperlink r:id="rId2" w:history="1">
          <w:r>
            <w:rPr>
              <w:rStyle w:val="Hyperlink"/>
              <w:rFonts w:ascii="Times New Roman" w:hAnsi="Times New Roman"/>
            </w:rPr>
            <w:t>https://eur-lex.europa.eu/legal-content/HR/TXT/?uri=CELEX%3A62018CA0311&amp;qid=1610640279033</w:t>
          </w:r>
        </w:hyperlink>
      </w:hyperlink>
      <w:r>
        <w:rPr>
          <w:rFonts w:ascii="Times New Roman" w:hAnsi="Times New Roman"/>
        </w:rPr>
        <w:t xml:space="preserve"> </w:t>
      </w:r>
    </w:p>
  </w:footnote>
  <w:footnote w:id="2">
    <w:p w:rsidR="00BE0BDD" w:rsidRDefault="00BE0BDD" w:rsidP="00BE0B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3" w:history="1">
        <w:r>
          <w:rPr>
            <w:rStyle w:val="Hyperlink"/>
          </w:rPr>
          <w:t>https://eur-lex.europa.eu/legal-content/HR/TXT/?uri=CELEX%3A62014CJ0362</w:t>
        </w:r>
      </w:hyperlink>
      <w:r>
        <w:t xml:space="preserve"> </w:t>
      </w:r>
    </w:p>
  </w:footnote>
  <w:footnote w:id="3">
    <w:p w:rsidR="00BE0BDD" w:rsidRDefault="00BE0BDD" w:rsidP="00BE0B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4" w:history="1">
        <w:r>
          <w:rPr>
            <w:rStyle w:val="Hyperlink"/>
          </w:rPr>
          <w:t>https://eur-lex.europa.eu/legal-content/HR/TXT/?uri=CELEX:62017CJ0623</w:t>
        </w:r>
      </w:hyperlink>
      <w:r>
        <w:t xml:space="preserve"> </w:t>
      </w:r>
    </w:p>
  </w:footnote>
  <w:footnote w:id="4">
    <w:p w:rsidR="00BE0BDD" w:rsidRDefault="00BE0BDD" w:rsidP="00BE0BDD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ab/>
        <w:t xml:space="preserve">P8_TA(2018)0315, </w:t>
      </w:r>
      <w:hyperlink r:id="rId5" w:history="1">
        <w:r>
          <w:rPr>
            <w:rFonts w:ascii="Times New Roman" w:hAnsi="Times New Roman"/>
          </w:rPr>
          <w:t>https://www.europarl.europa.eu/doceo/document/TA-8-2018-0315_HR.html</w:t>
        </w:r>
      </w:hyperlink>
      <w:r>
        <w:rPr>
          <w:rFonts w:ascii="Times New Roman" w:hAnsi="Times New Roman"/>
        </w:rPr>
        <w:t xml:space="preserve"> </w:t>
      </w:r>
    </w:p>
  </w:footnote>
  <w:footnote w:id="5">
    <w:p w:rsidR="00BE0BDD" w:rsidRDefault="00BE0BDD" w:rsidP="00BE0BDD">
      <w:pPr>
        <w:rPr>
          <w:sz w:val="20"/>
        </w:rPr>
      </w:pPr>
      <w:r>
        <w:rPr>
          <w:sz w:val="20"/>
        </w:rPr>
        <w:footnoteRef/>
      </w:r>
      <w:r>
        <w:rPr>
          <w:sz w:val="20"/>
        </w:rPr>
        <w:t xml:space="preserve">   P8_TA(2018)0433, </w:t>
      </w:r>
      <w:hyperlink r:id="rId6" w:history="1">
        <w:r>
          <w:rPr>
            <w:sz w:val="20"/>
          </w:rPr>
          <w:t>https://www.europarl.europa.eu/doceo/document/TA-8-2018-0433_HR.html</w:t>
        </w:r>
      </w:hyperlink>
      <w:r>
        <w:rPr>
          <w:sz w:val="20"/>
        </w:rPr>
        <w:t xml:space="preserve"> </w:t>
      </w:r>
    </w:p>
  </w:footnote>
  <w:footnote w:id="6">
    <w:p w:rsidR="00BE0BDD" w:rsidRDefault="00BE0BDD" w:rsidP="00BE0BDD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P9_TA(2020)0337, https://www.europarl.europa.eu/doceo/document/TA-9-2020-0337_HR.html</w:t>
      </w:r>
    </w:p>
  </w:footnote>
  <w:footnote w:id="7">
    <w:p w:rsidR="00BE0BDD" w:rsidRDefault="00BE0BDD" w:rsidP="00BE0BDD">
      <w:pPr>
        <w:pStyle w:val="BodyText"/>
        <w:rPr>
          <w:sz w:val="20"/>
        </w:rPr>
      </w:pPr>
      <w:r w:rsidRPr="00CE43D6">
        <w:rPr>
          <w:sz w:val="20"/>
        </w:rPr>
        <w:footnoteRef/>
      </w:r>
      <w:r w:rsidRPr="00CE43D6">
        <w:rPr>
          <w:sz w:val="20"/>
        </w:rPr>
        <w:t xml:space="preserve">   Uredba (EU) 2016/679 Europskog parlamenta i Vijeća od 27. travnja 2016. o zaštiti pojedinaca u vezi s obradom osobnih podataka i o slobodnom kretanju takvih podataka te o stavljanju izvan snage Direktive 95/46/EZ (Opća uredba o zaštiti podataka) (SL L 119, 4.5.2016., str. 1. – 88.,</w:t>
      </w:r>
      <w:hyperlink r:id="rId7" w:history="1">
        <w:r w:rsidRPr="00CE43D6">
          <w:rPr>
            <w:color w:val="4472C4" w:themeColor="accent5"/>
            <w:sz w:val="20"/>
            <w:u w:val="single"/>
          </w:rPr>
          <w:t>https://eur-lex.europa.eu/eli/reg/2016/679/oj</w:t>
        </w:r>
      </w:hyperlink>
      <w:r>
        <w:t>).</w:t>
      </w:r>
      <w:r>
        <w:rPr>
          <w:sz w:val="20"/>
        </w:rPr>
        <w:t xml:space="preserve">    </w:t>
      </w:r>
    </w:p>
    <w:p w:rsidR="00BE0BDD" w:rsidRDefault="00BE0BDD" w:rsidP="00BE0BDD">
      <w:pPr>
        <w:pStyle w:val="FootnoteText"/>
        <w:rPr>
          <w:rFonts w:ascii="DejaVu Sans" w:hAnsi="DejaVu Sans"/>
        </w:rPr>
      </w:pPr>
    </w:p>
  </w:footnote>
  <w:footnote w:id="8">
    <w:p w:rsidR="00BE0BDD" w:rsidRDefault="00BE0BDD" w:rsidP="00BE0B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https://edpb.europa.eu/our-work-tools/public-consultations-art-704/2020/recommendations-012020-measures-supplement-transfer_hr</w:t>
        </w:r>
      </w:hyperlink>
    </w:p>
    <w:p w:rsidR="00BE0BDD" w:rsidRDefault="00BE0BDD" w:rsidP="00BE0BDD">
      <w:pPr>
        <w:pStyle w:val="FootnoteText"/>
      </w:pPr>
      <w:r>
        <w:tab/>
      </w:r>
      <w:hyperlink r:id="rId9" w:history="1">
        <w:r>
          <w:rPr>
            <w:rStyle w:val="Hyperlink"/>
          </w:rPr>
          <w:t>https://edpb.europa.eu/our-work-tools/our-documents/preporki/recommendations-022020-european-essential-guarantees_hr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DD" w:rsidRDefault="00BE0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DD" w:rsidRDefault="00BE0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DD" w:rsidRDefault="00BE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22"/>
    <w:docVar w:name="TXTLANGUE" w:val="HR"/>
    <w:docVar w:name="TXTLANGUEMIN" w:val="hr"/>
    <w:docVar w:name="TXTNRPE" w:val="663.216"/>
    <w:docVar w:name="TXTNRRSP" w:val="2020/2789"/>
    <w:docVar w:name="TXTPEorAP" w:val="PE"/>
    <w:docVar w:name="TXTROUTE" w:val="RE\1222135HR.docx"/>
    <w:docVar w:name="TXTTITLE" w:val="on the ruling of the ECJ of 16 July 2020 - Data Protection Commissioner v Facebook Ireland Limited, Maximillian Schrems (“Schrems II”) - Case C-311/18"/>
    <w:docVar w:name="TXTVERSION" w:val="01-00"/>
  </w:docVars>
  <w:rsids>
    <w:rsidRoot w:val="00A92F07"/>
    <w:rsid w:val="00037F46"/>
    <w:rsid w:val="00094DDA"/>
    <w:rsid w:val="00117781"/>
    <w:rsid w:val="001B49A3"/>
    <w:rsid w:val="001B7CFB"/>
    <w:rsid w:val="001C16A7"/>
    <w:rsid w:val="001C62C5"/>
    <w:rsid w:val="001E2450"/>
    <w:rsid w:val="00222BBB"/>
    <w:rsid w:val="002574AA"/>
    <w:rsid w:val="002C7767"/>
    <w:rsid w:val="00303413"/>
    <w:rsid w:val="003772FA"/>
    <w:rsid w:val="003A3852"/>
    <w:rsid w:val="00411D03"/>
    <w:rsid w:val="00412503"/>
    <w:rsid w:val="00471D62"/>
    <w:rsid w:val="004B5166"/>
    <w:rsid w:val="00516BD3"/>
    <w:rsid w:val="0058312A"/>
    <w:rsid w:val="005D6861"/>
    <w:rsid w:val="00654CBD"/>
    <w:rsid w:val="006726A1"/>
    <w:rsid w:val="006A27B7"/>
    <w:rsid w:val="006F48B8"/>
    <w:rsid w:val="00706BC0"/>
    <w:rsid w:val="00723A0B"/>
    <w:rsid w:val="00780A7D"/>
    <w:rsid w:val="007E1E11"/>
    <w:rsid w:val="00814BC6"/>
    <w:rsid w:val="008278C0"/>
    <w:rsid w:val="00866D70"/>
    <w:rsid w:val="008A4052"/>
    <w:rsid w:val="008D7B31"/>
    <w:rsid w:val="008F1BD0"/>
    <w:rsid w:val="008F5EFB"/>
    <w:rsid w:val="00907285"/>
    <w:rsid w:val="00910F7E"/>
    <w:rsid w:val="00981ED6"/>
    <w:rsid w:val="009D24DE"/>
    <w:rsid w:val="00A32337"/>
    <w:rsid w:val="00A4763A"/>
    <w:rsid w:val="00A516B8"/>
    <w:rsid w:val="00A90219"/>
    <w:rsid w:val="00A92F07"/>
    <w:rsid w:val="00B34A46"/>
    <w:rsid w:val="00B90331"/>
    <w:rsid w:val="00BB5793"/>
    <w:rsid w:val="00BC3002"/>
    <w:rsid w:val="00BE0BDD"/>
    <w:rsid w:val="00BF2C2D"/>
    <w:rsid w:val="00C23264"/>
    <w:rsid w:val="00CC09D8"/>
    <w:rsid w:val="00CE43D6"/>
    <w:rsid w:val="00D12F64"/>
    <w:rsid w:val="00D44718"/>
    <w:rsid w:val="00D90D37"/>
    <w:rsid w:val="00DF7943"/>
    <w:rsid w:val="00E53167"/>
    <w:rsid w:val="00EA43FB"/>
    <w:rsid w:val="00EC05E9"/>
    <w:rsid w:val="00ED22B8"/>
    <w:rsid w:val="00F02A2C"/>
    <w:rsid w:val="00F26DE8"/>
    <w:rsid w:val="00F4455A"/>
    <w:rsid w:val="00F7050A"/>
    <w:rsid w:val="00F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49A8-C39E-4F06-85D3-871CA3EC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character" w:styleId="Hyperlink">
    <w:name w:val="Hyperlink"/>
    <w:basedOn w:val="DefaultParagraphFont"/>
    <w:uiPriority w:val="99"/>
    <w:unhideWhenUsed/>
    <w:rsid w:val="00BE0BD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BE0BDD"/>
    <w:pPr>
      <w:widowControl/>
      <w:suppressLineNumbers/>
      <w:ind w:left="339" w:hanging="339"/>
    </w:pPr>
    <w:rPr>
      <w:rFonts w:ascii="DejaVu Serif" w:eastAsia="DejaVu Sans" w:hAnsi="DejaVu Serif" w:cs="Noto Sans Devanagari"/>
      <w:kern w:val="2"/>
      <w:sz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BE0BDD"/>
    <w:rPr>
      <w:rFonts w:ascii="DejaVu Serif" w:eastAsia="DejaVu Sans" w:hAnsi="DejaVu Serif" w:cs="Noto Sans Devanagari"/>
      <w:kern w:val="2"/>
      <w:lang w:val="hr-HR" w:eastAsia="zh-CN" w:bidi="hi-IN"/>
    </w:rPr>
  </w:style>
  <w:style w:type="character" w:customStyle="1" w:styleId="Funotenzeichen">
    <w:name w:val="Fußnotenzeichen"/>
    <w:qFormat/>
    <w:rsid w:val="00BE0BDD"/>
  </w:style>
  <w:style w:type="character" w:styleId="FootnoteReference">
    <w:name w:val="footnote reference"/>
    <w:basedOn w:val="DefaultParagraphFont"/>
    <w:uiPriority w:val="99"/>
    <w:unhideWhenUsed/>
    <w:rsid w:val="00BE0BDD"/>
    <w:rPr>
      <w:vertAlign w:val="superscript"/>
    </w:rPr>
  </w:style>
  <w:style w:type="paragraph" w:styleId="BodyText">
    <w:name w:val="Body Text"/>
    <w:basedOn w:val="Normal"/>
    <w:link w:val="BodyTextChar"/>
    <w:rsid w:val="00BE0B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0BDD"/>
    <w:rPr>
      <w:sz w:val="24"/>
    </w:rPr>
  </w:style>
  <w:style w:type="paragraph" w:styleId="Footer">
    <w:name w:val="footer"/>
    <w:basedOn w:val="Normal"/>
    <w:link w:val="FooterChar"/>
    <w:semiHidden/>
    <w:rsid w:val="00BE0B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BE0BDD"/>
    <w:rPr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our-work-tools/public-consultations-art-704/2020/recommendations-012020-measures-supplement-transfer_hr" TargetMode="External"/><Relationship Id="rId3" Type="http://schemas.openxmlformats.org/officeDocument/2006/relationships/hyperlink" Target="https://eur-lex.europa.eu/legal-content/HR/TXT/?uri=CELEX:62014CJ0362" TargetMode="External"/><Relationship Id="rId7" Type="http://schemas.openxmlformats.org/officeDocument/2006/relationships/hyperlink" Target="https://eur-lex.europa.eu/eli/reg/2016/679/oj" TargetMode="External"/><Relationship Id="rId2" Type="http://schemas.openxmlformats.org/officeDocument/2006/relationships/hyperlink" Target="https://eur-lex.europa.eu/legal-content/HR/TXT/?uri=CELEX:62018CA0311&amp;qid=1610640279033" TargetMode="External"/><Relationship Id="rId1" Type="http://schemas.openxmlformats.org/officeDocument/2006/relationships/hyperlink" Target="file:///C:\Users\cbull\AppData\Local\Microsoft\Windows\INetCache\Content.Outlook\9A0NKB2P\%09https://eur-lex.europa.eu/legal-content/HR/TXT/?uri=CELEX:62018CJ0311" TargetMode="External"/><Relationship Id="rId6" Type="http://schemas.openxmlformats.org/officeDocument/2006/relationships/hyperlink" Target="https://www.europarl.europa.eu/doceo/document/TA-8-2018-0433_HR.html" TargetMode="External"/><Relationship Id="rId5" Type="http://schemas.openxmlformats.org/officeDocument/2006/relationships/hyperlink" Target="https://www.europarl.europa.eu/doceo/document/TA-8-2018-0315_HR.html" TargetMode="External"/><Relationship Id="rId4" Type="http://schemas.openxmlformats.org/officeDocument/2006/relationships/hyperlink" Target="https://eur-lex.europa.eu/legal-content/HR/TXT/?uri=CELEX:62017CJ0623" TargetMode="External"/><Relationship Id="rId9" Type="http://schemas.openxmlformats.org/officeDocument/2006/relationships/hyperlink" Target="https://edpb.europa.eu/our-work-tools/our-documents/preporki/recommendations-022020-european-essential-guarantees_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8257</Characters>
  <Application>Microsoft Office Word</Application>
  <DocSecurity>0</DocSecurity>
  <Lines>152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SAJE  Maja</dc:creator>
  <cp:keywords/>
  <dc:description/>
  <cp:lastModifiedBy>BLAZI Sanja</cp:lastModifiedBy>
  <cp:revision>2</cp:revision>
  <cp:lastPrinted>2004-11-19T15:55:00Z</cp:lastPrinted>
  <dcterms:created xsi:type="dcterms:W3CDTF">2021-01-29T08:00:00Z</dcterms:created>
  <dcterms:modified xsi:type="dcterms:W3CDTF">2021-01-29T08:00:00Z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1222135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\\eiciBRUpr1\pdocep$\DocEP\TRANSFIL\HR\RE_Statements.HR(27/06/2019 15:50:01)</vt:lpwstr>
  </property>
  <property fmtid="{D5CDD505-2E9C-101B-9397-08002B2CF9AE}" pid="8" name="&lt;Model&gt;">
    <vt:lpwstr>RE_Statements</vt:lpwstr>
  </property>
  <property fmtid="{D5CDD505-2E9C-101B-9397-08002B2CF9AE}" pid="9" name="FooterPath">
    <vt:lpwstr>RE\1222135HR.docx</vt:lpwstr>
  </property>
  <property fmtid="{D5CDD505-2E9C-101B-9397-08002B2CF9AE}" pid="10" name="PE number">
    <vt:lpwstr>663.216</vt:lpwstr>
  </property>
  <property fmtid="{D5CDD505-2E9C-101B-9397-08002B2CF9AE}" pid="11" name="Bookout">
    <vt:lpwstr>OK - 2021/01/29 09:00</vt:lpwstr>
  </property>
  <property fmtid="{D5CDD505-2E9C-101B-9397-08002B2CF9AE}" pid="12" name="SDLStudio">
    <vt:lpwstr/>
  </property>
  <property fmtid="{D5CDD505-2E9C-101B-9397-08002B2CF9AE}" pid="13" name="&lt;Extension&gt;">
    <vt:lpwstr>HR</vt:lpwstr>
  </property>
</Properties>
</file>