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5F3F1F" w14:paraId="5A95D407" w14:textId="77777777" w:rsidTr="00C85D0F">
        <w:trPr>
          <w:trHeight w:hRule="exact" w:val="1418"/>
        </w:trPr>
        <w:tc>
          <w:tcPr>
            <w:tcW w:w="6804" w:type="dxa"/>
            <w:shd w:val="clear" w:color="auto" w:fill="auto"/>
            <w:vAlign w:val="center"/>
          </w:tcPr>
          <w:p w14:paraId="702AD9E4" w14:textId="77777777" w:rsidR="008F5EFB" w:rsidRPr="005F3F1F" w:rsidRDefault="00F510C8" w:rsidP="00C85D0F">
            <w:pPr>
              <w:pStyle w:val="EPName"/>
            </w:pPr>
            <w:r w:rsidRPr="005F3F1F">
              <w:t>Ευρωπαϊκό Κοινοβούλιο</w:t>
            </w:r>
          </w:p>
          <w:p w14:paraId="36F604D4" w14:textId="77777777" w:rsidR="008F5EFB" w:rsidRPr="005F3F1F" w:rsidRDefault="003A76FC" w:rsidP="003A76FC">
            <w:pPr>
              <w:pStyle w:val="EPTerm"/>
            </w:pPr>
            <w:r w:rsidRPr="005F3F1F">
              <w:t>2019-2024</w:t>
            </w:r>
          </w:p>
        </w:tc>
        <w:tc>
          <w:tcPr>
            <w:tcW w:w="2268" w:type="dxa"/>
            <w:shd w:val="clear" w:color="auto" w:fill="auto"/>
          </w:tcPr>
          <w:p w14:paraId="1723FC61" w14:textId="77777777" w:rsidR="008F5EFB" w:rsidRPr="005F3F1F" w:rsidRDefault="008F5EFB" w:rsidP="00C85D0F">
            <w:pPr>
              <w:pStyle w:val="EPLogo"/>
            </w:pPr>
            <w:r w:rsidRPr="005F3F1F">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5F3F1F" w:rsidRDefault="00E53167" w:rsidP="00E53167">
      <w:pPr>
        <w:pStyle w:val="LineTop"/>
      </w:pPr>
    </w:p>
    <w:p w14:paraId="69AFB50C" w14:textId="77777777" w:rsidR="00E53167" w:rsidRPr="005F3F1F" w:rsidRDefault="003A76FC" w:rsidP="00E53167">
      <w:pPr>
        <w:pStyle w:val="EPBody"/>
      </w:pPr>
      <w:r w:rsidRPr="005F3F1F">
        <w:rPr>
          <w:rStyle w:val="HideTWBInt"/>
        </w:rPr>
        <w:t>{LIBE}</w:t>
      </w:r>
      <w:r w:rsidRPr="005F3F1F">
        <w:t>Επιτροπή Πολιτικών Ελευθεριών, Δικαιοσύνης και Εσωτερικών Υποθέσεων</w:t>
      </w:r>
    </w:p>
    <w:p w14:paraId="14C16DCC" w14:textId="77777777" w:rsidR="00094DDA" w:rsidRPr="005F3F1F" w:rsidRDefault="00094DDA" w:rsidP="00094DDA">
      <w:pPr>
        <w:pStyle w:val="LineBottom"/>
      </w:pPr>
    </w:p>
    <w:p w14:paraId="5B9DD5D1" w14:textId="77777777" w:rsidR="00094DDA" w:rsidRPr="005F3F1F" w:rsidRDefault="00094DDA" w:rsidP="00094DDA">
      <w:pPr>
        <w:pStyle w:val="CoverReference"/>
      </w:pPr>
      <w:r w:rsidRPr="005F3F1F">
        <w:rPr>
          <w:rStyle w:val="HideTWBExt"/>
          <w:b w:val="0"/>
          <w:noProof w:val="0"/>
        </w:rPr>
        <w:t>&lt;NoDocSe&gt;</w:t>
      </w:r>
      <w:r w:rsidRPr="005F3F1F">
        <w:t>2020/2789(RSP)</w:t>
      </w:r>
      <w:r w:rsidRPr="005F3F1F">
        <w:rPr>
          <w:rStyle w:val="HideTWBExt"/>
          <w:b w:val="0"/>
          <w:noProof w:val="0"/>
        </w:rPr>
        <w:t>&lt;/NoDocSe&gt;</w:t>
      </w:r>
    </w:p>
    <w:p w14:paraId="5120A14B" w14:textId="77777777" w:rsidR="00094DDA" w:rsidRPr="005F3F1F" w:rsidRDefault="00094DDA" w:rsidP="00094DDA">
      <w:pPr>
        <w:pStyle w:val="CoverDate"/>
      </w:pPr>
      <w:r w:rsidRPr="005F3F1F">
        <w:rPr>
          <w:rStyle w:val="HideTWBExt"/>
          <w:noProof w:val="0"/>
        </w:rPr>
        <w:t>&lt;Date&gt;</w:t>
      </w:r>
      <w:r w:rsidRPr="005F3F1F">
        <w:rPr>
          <w:rStyle w:val="HideTWBInt"/>
        </w:rPr>
        <w:t>{13/01/2021}</w:t>
      </w:r>
      <w:r w:rsidRPr="005F3F1F">
        <w:t>13.1.2021</w:t>
      </w:r>
      <w:r w:rsidRPr="005F3F1F">
        <w:rPr>
          <w:rStyle w:val="HideTWBExt"/>
          <w:noProof w:val="0"/>
        </w:rPr>
        <w:t>&lt;/Date&gt;</w:t>
      </w:r>
    </w:p>
    <w:p w14:paraId="6BD8A970" w14:textId="77777777" w:rsidR="00814BC6" w:rsidRPr="005F3F1F" w:rsidRDefault="00814BC6">
      <w:pPr>
        <w:pStyle w:val="CoverDocType24a"/>
      </w:pPr>
      <w:r w:rsidRPr="005F3F1F">
        <w:rPr>
          <w:rStyle w:val="HideTWBExt"/>
          <w:b w:val="0"/>
          <w:noProof w:val="0"/>
        </w:rPr>
        <w:t>&lt;TitreType&gt;</w:t>
      </w:r>
      <w:r w:rsidRPr="005F3F1F">
        <w:t>ΣΧΕΔΙΟ ΠΡΟΤΑΣΗΣ ΨΗΦΙΣΜΑΤΟΣ</w:t>
      </w:r>
      <w:r w:rsidRPr="005F3F1F">
        <w:rPr>
          <w:rStyle w:val="HideTWBExt"/>
          <w:b w:val="0"/>
          <w:noProof w:val="0"/>
        </w:rPr>
        <w:t>&lt;/TitreType&gt;</w:t>
      </w:r>
    </w:p>
    <w:p w14:paraId="71E91CCE" w14:textId="77777777" w:rsidR="00814BC6" w:rsidRPr="005F3F1F" w:rsidRDefault="00814BC6">
      <w:pPr>
        <w:pStyle w:val="CoverNormal12a"/>
      </w:pPr>
      <w:r w:rsidRPr="005F3F1F">
        <w:rPr>
          <w:rStyle w:val="HideTWBExt"/>
          <w:noProof w:val="0"/>
        </w:rPr>
        <w:t>&lt;TitreSuite&gt;</w:t>
      </w:r>
      <w:r w:rsidRPr="005F3F1F">
        <w:t>εν συνεχεία δήλωσης της Επιτροπής</w:t>
      </w:r>
      <w:r w:rsidRPr="005F3F1F">
        <w:rPr>
          <w:rStyle w:val="HideTWBExt"/>
          <w:noProof w:val="0"/>
        </w:rPr>
        <w:t>&lt;/TitreSuite&gt;</w:t>
      </w:r>
    </w:p>
    <w:p w14:paraId="1702F310" w14:textId="77777777" w:rsidR="00814BC6" w:rsidRPr="005F3F1F" w:rsidRDefault="00814BC6">
      <w:pPr>
        <w:pStyle w:val="CoverNormal12a"/>
      </w:pPr>
      <w:r w:rsidRPr="005F3F1F">
        <w:rPr>
          <w:rStyle w:val="HideTWBExt"/>
          <w:noProof w:val="0"/>
        </w:rPr>
        <w:t>&lt;TitreRecueil&gt;</w:t>
      </w:r>
      <w:r w:rsidRPr="005F3F1F">
        <w:t>σύμφωνα με το άρθρο 132 παράγραφος 2 του Κανονισμού</w:t>
      </w:r>
      <w:r w:rsidRPr="005F3F1F">
        <w:rPr>
          <w:rStyle w:val="HideTWBExt"/>
          <w:noProof w:val="0"/>
        </w:rPr>
        <w:t>&lt;/TitreRecueil&gt;</w:t>
      </w:r>
    </w:p>
    <w:p w14:paraId="673379C3" w14:textId="453B0284" w:rsidR="00C23264" w:rsidRPr="005F3F1F" w:rsidRDefault="00C23264" w:rsidP="00C23264">
      <w:pPr>
        <w:pStyle w:val="CoverNormal"/>
      </w:pPr>
      <w:r w:rsidRPr="005F3F1F">
        <w:rPr>
          <w:rStyle w:val="HideTWBExt"/>
          <w:noProof w:val="0"/>
        </w:rPr>
        <w:t>&lt;Titre&gt;</w:t>
      </w:r>
      <w:r w:rsidRPr="005F3F1F">
        <w:t>σχετικά με την απόφαση του ΔΕE της 16ης Ιουλίου 2020 – Data Protection Commissioner κατά Facebook Ireland Limited και Maximillian Schrems («Schrems II») – υπόθεση C-311/18</w:t>
      </w:r>
      <w:r w:rsidRPr="005F3F1F">
        <w:rPr>
          <w:rStyle w:val="HideTWBExt"/>
          <w:noProof w:val="0"/>
        </w:rPr>
        <w:t>&lt;/Titre&gt;</w:t>
      </w:r>
    </w:p>
    <w:p w14:paraId="3CD31C96" w14:textId="77777777" w:rsidR="00C23264" w:rsidRPr="005F3F1F" w:rsidRDefault="00C23264" w:rsidP="00C23264">
      <w:pPr>
        <w:pStyle w:val="CoverNormal24a"/>
      </w:pPr>
      <w:r w:rsidRPr="005F3F1F">
        <w:rPr>
          <w:rStyle w:val="HideTWBExt"/>
          <w:noProof w:val="0"/>
        </w:rPr>
        <w:t>&lt;DocRef&gt;</w:t>
      </w:r>
      <w:r w:rsidRPr="005F3F1F">
        <w:t>(2020/2789(RSP))</w:t>
      </w:r>
      <w:r w:rsidRPr="005F3F1F">
        <w:rPr>
          <w:rStyle w:val="HideTWBExt"/>
          <w:noProof w:val="0"/>
        </w:rPr>
        <w:t>&lt;/DocRef&gt;</w:t>
      </w:r>
    </w:p>
    <w:p w14:paraId="09FC6BCE" w14:textId="77777777" w:rsidR="002574AA" w:rsidRPr="005F3F1F" w:rsidRDefault="002574AA" w:rsidP="002574AA">
      <w:pPr>
        <w:pStyle w:val="CoverBold"/>
      </w:pPr>
      <w:r w:rsidRPr="005F3F1F">
        <w:rPr>
          <w:rStyle w:val="HideTWBExt"/>
          <w:b w:val="0"/>
          <w:noProof w:val="0"/>
        </w:rPr>
        <w:t>&lt;RepeatBlock-By&gt;&lt;Depute&gt;</w:t>
      </w:r>
      <w:r w:rsidRPr="005F3F1F">
        <w:t>Juan Fernando López Aguilar</w:t>
      </w:r>
      <w:r w:rsidRPr="005F3F1F">
        <w:rPr>
          <w:rStyle w:val="HideTWBExt"/>
          <w:b w:val="0"/>
          <w:noProof w:val="0"/>
          <w:color w:val="auto"/>
        </w:rPr>
        <w:t>&lt;/Depute&gt;</w:t>
      </w:r>
    </w:p>
    <w:p w14:paraId="33C071FD" w14:textId="5B0044C3" w:rsidR="002574AA" w:rsidRPr="005F3F1F" w:rsidRDefault="002574AA" w:rsidP="002574AA">
      <w:pPr>
        <w:pStyle w:val="CoverNormal"/>
      </w:pPr>
      <w:r w:rsidRPr="005F3F1F">
        <w:rPr>
          <w:rStyle w:val="HideTWBExt"/>
          <w:noProof w:val="0"/>
        </w:rPr>
        <w:t>&lt;Commission&gt;</w:t>
      </w:r>
      <w:r w:rsidRPr="005F3F1F">
        <w:rPr>
          <w:rStyle w:val="HideTWBInt"/>
        </w:rPr>
        <w:t>{LIBE}</w:t>
      </w:r>
      <w:r w:rsidRPr="005F3F1F">
        <w:t>εξ ονόματος της Επιτροπής Πολιτικών Ελευθεριών, Δικαιοσύνης και Εσωτερικών Υποθέσεων</w:t>
      </w:r>
      <w:r w:rsidRPr="005F3F1F">
        <w:rPr>
          <w:rStyle w:val="HideTWBExt"/>
          <w:noProof w:val="0"/>
        </w:rPr>
        <w:t>&lt;/Commission&gt;</w:t>
      </w:r>
    </w:p>
    <w:p w14:paraId="78E1BA91" w14:textId="77777777" w:rsidR="002574AA" w:rsidRPr="005F3F1F" w:rsidRDefault="002574AA" w:rsidP="002574AA">
      <w:pPr>
        <w:pStyle w:val="CoverNormal"/>
      </w:pPr>
      <w:r w:rsidRPr="005F3F1F">
        <w:rPr>
          <w:rStyle w:val="HideTWBExt"/>
          <w:noProof w:val="0"/>
        </w:rPr>
        <w:t>&lt;/RepeatBlock-By&gt;</w:t>
      </w:r>
    </w:p>
    <w:p w14:paraId="06BF4DB5" w14:textId="77777777" w:rsidR="00814BC6" w:rsidRPr="005F3F1F" w:rsidRDefault="00814BC6">
      <w:pPr>
        <w:pStyle w:val="NormalBold12a"/>
      </w:pPr>
      <w:r w:rsidRPr="005F3F1F">
        <w:br w:type="page"/>
      </w:r>
      <w:r w:rsidRPr="005F3F1F">
        <w:lastRenderedPageBreak/>
        <w:t>B9</w:t>
      </w:r>
      <w:r w:rsidRPr="005F3F1F">
        <w:noBreakHyphen/>
        <w:t>0000/2021</w:t>
      </w:r>
    </w:p>
    <w:p w14:paraId="7414C422" w14:textId="5E355FC9" w:rsidR="00C23264" w:rsidRPr="005F3F1F" w:rsidRDefault="001E1556" w:rsidP="00C23264">
      <w:pPr>
        <w:pStyle w:val="NormalBold"/>
      </w:pPr>
      <w:r w:rsidRPr="005F3F1F">
        <w:t>Ψήφισμα του Ευρωπαϊκού Κοινοβουλίου σχετικά με την απόφαση του ΔΕE της 16ης Ιουλίου 2020 – Data Protection Commissioner κατά Facebook Ireland Limited και Maximillian Schrems («Schrems II») – υπόθεση C-311/18</w:t>
      </w:r>
    </w:p>
    <w:p w14:paraId="5BB55312" w14:textId="77777777" w:rsidR="00C23264" w:rsidRPr="005F3F1F" w:rsidRDefault="00F510C8" w:rsidP="00DF7943">
      <w:pPr>
        <w:pStyle w:val="NormalBold"/>
      </w:pPr>
      <w:r w:rsidRPr="005F3F1F">
        <w:t>(2020/2789(RSP))</w:t>
      </w:r>
    </w:p>
    <w:p w14:paraId="5640CA28" w14:textId="77777777" w:rsidR="00814BC6" w:rsidRPr="005F3F1F" w:rsidRDefault="00F510C8">
      <w:pPr>
        <w:pStyle w:val="EPComma"/>
      </w:pPr>
      <w:r w:rsidRPr="005F3F1F">
        <w:rPr>
          <w:i/>
        </w:rPr>
        <w:t>Το Ευρωπαϊκό Κοινοβούλιο</w:t>
      </w:r>
      <w:r w:rsidRPr="005F3F1F">
        <w:t>,</w:t>
      </w:r>
    </w:p>
    <w:p w14:paraId="0E983A99" w14:textId="5F7AD561" w:rsidR="00814BC6" w:rsidRPr="005F3F1F" w:rsidRDefault="00814BC6">
      <w:pPr>
        <w:pStyle w:val="NormalHanging12a"/>
      </w:pPr>
      <w:r w:rsidRPr="005F3F1F">
        <w:t>–</w:t>
      </w:r>
      <w:r w:rsidRPr="005F3F1F">
        <w:tab/>
        <w:t>έχοντας υπόψη τον Χάρτη</w:t>
      </w:r>
      <w:r w:rsidR="005F3F1F" w:rsidRPr="005F3F1F">
        <w:rPr>
          <w:lang w:val="en-GB"/>
        </w:rPr>
        <w:t xml:space="preserve"> </w:t>
      </w:r>
      <w:r w:rsidRPr="005F3F1F">
        <w:t>των Θεμελιωδών Δικαιωμάτων της Ευρωπαϊκής Ένωσης, και ιδίως τα άρθρα 7, 8, 47 και 52,</w:t>
      </w:r>
    </w:p>
    <w:p w14:paraId="74E75821" w14:textId="54FD552F" w:rsidR="001E1556" w:rsidRPr="005F3F1F" w:rsidRDefault="001E1556" w:rsidP="003A76FC">
      <w:pPr>
        <w:widowControl/>
        <w:spacing w:after="240"/>
        <w:ind w:left="567" w:hanging="567"/>
      </w:pPr>
      <w:r w:rsidRPr="005F3F1F">
        <w:t>–</w:t>
      </w:r>
      <w:r w:rsidRPr="005F3F1F">
        <w:tab/>
        <w:t>έχοντας υπόψη την απόφαση του Δικαστηρίου της 16ης Ιουλίου 2020 στην υπόθεση C-311/18, Data Protection Commissioner κατά Facebook Ireland Limited και Maximillian Schrems</w:t>
      </w:r>
      <w:r w:rsidR="005F3F1F" w:rsidRPr="005F3F1F">
        <w:rPr>
          <w:rStyle w:val="FootnoteReference"/>
        </w:rPr>
        <w:footnoteReference w:id="1"/>
      </w:r>
      <w:r w:rsidRPr="005F3F1F">
        <w:t xml:space="preserve"> (Schrems II),</w:t>
      </w:r>
    </w:p>
    <w:p w14:paraId="6126C222" w14:textId="77777777" w:rsidR="003A76FC" w:rsidRPr="005F3F1F" w:rsidRDefault="003A76FC" w:rsidP="003A76FC">
      <w:pPr>
        <w:pStyle w:val="NormalHanging12a"/>
      </w:pPr>
      <w:r w:rsidRPr="005F3F1F">
        <w:t>–</w:t>
      </w:r>
      <w:r w:rsidRPr="005F3F1F">
        <w:tab/>
        <w:t>έχοντας υπόψη την απόφαση του Δικαστηρίου της 6ης Οκτωβρίου 2015 στην υπόθεση C-362/14 Maximillian Schrems κατά Data Protection Commissioner</w:t>
      </w:r>
      <w:r w:rsidRPr="005F3F1F">
        <w:rPr>
          <w:vertAlign w:val="superscript"/>
        </w:rPr>
        <w:footnoteReference w:id="2"/>
      </w:r>
      <w:r w:rsidRPr="005F3F1F">
        <w:t xml:space="preserve"> (Schrems I),</w:t>
      </w:r>
    </w:p>
    <w:p w14:paraId="26F28811" w14:textId="77777777" w:rsidR="003A76FC" w:rsidRPr="005F3F1F" w:rsidRDefault="003A76FC" w:rsidP="003A76FC">
      <w:pPr>
        <w:pStyle w:val="NormalHanging12a"/>
      </w:pPr>
      <w:r w:rsidRPr="005F3F1F">
        <w:t>–</w:t>
      </w:r>
      <w:r w:rsidRPr="005F3F1F">
        <w:tab/>
        <w:t xml:space="preserve">έχοντας υπόψη την απόφαση του Δικαστηρίου της 6ης Οκτωβρίου 2020 στην υπόθεση </w:t>
      </w:r>
      <w:bookmarkStart w:id="0" w:name="pagePrincipale"/>
      <w:bookmarkEnd w:id="0"/>
      <w:r w:rsidRPr="005F3F1F">
        <w:t>C</w:t>
      </w:r>
      <w:r w:rsidRPr="005F3F1F">
        <w:noBreakHyphen/>
        <w:t>623/17 Privacy International κατά Secretary of State of Foreign and Commonwealth affairs</w:t>
      </w:r>
      <w:r w:rsidRPr="005F3F1F">
        <w:rPr>
          <w:vertAlign w:val="superscript"/>
        </w:rPr>
        <w:footnoteReference w:id="3"/>
      </w:r>
      <w:r w:rsidRPr="005F3F1F">
        <w:t>,</w:t>
      </w:r>
    </w:p>
    <w:p w14:paraId="415AC0D4" w14:textId="2AAA49FA" w:rsidR="003A76FC" w:rsidRPr="005F3F1F" w:rsidRDefault="003A76FC" w:rsidP="003A76FC">
      <w:pPr>
        <w:pStyle w:val="NormalHanging12a"/>
      </w:pPr>
      <w:r w:rsidRPr="005F3F1F">
        <w:t>–</w:t>
      </w:r>
      <w:r w:rsidRPr="005F3F1F">
        <w:tab/>
        <w:t>έχοντας υπόψη το ψήφισμά του της 5ης Ιουλίου 2018 σχετικά με την επάρκεια της προστασίας που παρέχεται από την Ασπίδα Προστασίας της Ιδιωτικής Ζωής ΕΕ-ΗΠΑ</w:t>
      </w:r>
      <w:r w:rsidR="005F3F1F" w:rsidRPr="005F3F1F">
        <w:rPr>
          <w:rStyle w:val="FootnoteReference"/>
        </w:rPr>
        <w:footnoteReference w:id="4"/>
      </w:r>
      <w:r w:rsidRPr="005F3F1F">
        <w:t xml:space="preserve">, </w:t>
      </w:r>
    </w:p>
    <w:p w14:paraId="51A457E3" w14:textId="0FB4975E" w:rsidR="003A76FC" w:rsidRPr="005F3F1F" w:rsidRDefault="003A76FC" w:rsidP="003A76FC">
      <w:pPr>
        <w:pStyle w:val="NormalHanging12a"/>
      </w:pPr>
      <w:r w:rsidRPr="005F3F1F">
        <w:t>–</w:t>
      </w:r>
      <w:r w:rsidRPr="005F3F1F">
        <w:tab/>
        <w:t>έχοντας υπόψη το ψήφισμά του της 25ης Οκτωβρίου 2018 σχετικά με τη χρήση των δεδομένων των χρηστών του Facebook από την Cambridge Analytica και τον αντίκτυπο στην προστασία των δεδομένων</w:t>
      </w:r>
      <w:r w:rsidR="005F3F1F" w:rsidRPr="005F3F1F">
        <w:rPr>
          <w:rStyle w:val="FootnoteReference"/>
        </w:rPr>
        <w:footnoteReference w:id="5"/>
      </w:r>
      <w:r w:rsidRPr="005F3F1F">
        <w:t xml:space="preserve">, </w:t>
      </w:r>
    </w:p>
    <w:p w14:paraId="28CC7542" w14:textId="77777777" w:rsidR="003A76FC" w:rsidRPr="005F3F1F" w:rsidRDefault="003A76FC" w:rsidP="003A76FC">
      <w:pPr>
        <w:pStyle w:val="NormalHanging12a"/>
      </w:pPr>
      <w:r w:rsidRPr="005F3F1F">
        <w:t>–</w:t>
      </w:r>
      <w:r w:rsidRPr="005F3F1F">
        <w:tab/>
        <w:t>έχοντας υπόψη το ψήφισμά του της 23ης Νοεμβρίου 2020 σχετικά με την επανεξέταση της εμπορικής πολιτικής της ΕΕ</w:t>
      </w:r>
      <w:r w:rsidRPr="005F3F1F">
        <w:rPr>
          <w:vertAlign w:val="superscript"/>
        </w:rPr>
        <w:footnoteReference w:id="6"/>
      </w:r>
      <w:r w:rsidRPr="005F3F1F">
        <w:t xml:space="preserve">, </w:t>
      </w:r>
    </w:p>
    <w:p w14:paraId="46BB3DFE" w14:textId="5E6F109B" w:rsidR="003A76FC" w:rsidRPr="005F3F1F" w:rsidRDefault="003A76FC" w:rsidP="003A76FC">
      <w:pPr>
        <w:pStyle w:val="NormalHanging12a"/>
      </w:pPr>
      <w:r w:rsidRPr="005F3F1F">
        <w:t>–</w:t>
      </w:r>
      <w:r w:rsidRPr="005F3F1F">
        <w:tab/>
        <w:t>έχοντας υπόψη τον κανονισμό (ΕΕ) 2016/769, δηλαδή τον γενικό κανονισμό για την προστασία δεδομένων (ΓΚΠΔ)</w:t>
      </w:r>
      <w:r w:rsidR="005F3F1F" w:rsidRPr="005F3F1F">
        <w:rPr>
          <w:rStyle w:val="FootnoteReference"/>
        </w:rPr>
        <w:footnoteReference w:id="7"/>
      </w:r>
      <w:r w:rsidRPr="005F3F1F">
        <w:t>,</w:t>
      </w:r>
    </w:p>
    <w:p w14:paraId="18460B06" w14:textId="77777777" w:rsidR="003A76FC" w:rsidRPr="005F3F1F" w:rsidRDefault="003A76FC" w:rsidP="003A76FC">
      <w:pPr>
        <w:pStyle w:val="NormalHanging12a"/>
      </w:pPr>
      <w:r w:rsidRPr="005F3F1F">
        <w:lastRenderedPageBreak/>
        <w:t>–</w:t>
      </w:r>
      <w:r w:rsidRPr="005F3F1F">
        <w:tab/>
        <w:t>έχοντας υπόψη τις συστάσεις 01/2020 του Ευρωπαϊκού Συμβουλίου Προστασίας Δεδομένων σχετικά με τα μέτρα που συμπληρώνουν τα εργαλεία διαβίβασης για τη διασφάλιση της συμμόρφωσης με το επίπεδο προστασίας δεδομένων προσωπικού χαρακτήρα στην ΕΕ και 02/2020 σχετικά με τις Ευρωπαϊκές Βασικές Εγγυήσεις για μέτρα παρακολούθησης</w:t>
      </w:r>
      <w:r w:rsidRPr="005F3F1F">
        <w:rPr>
          <w:vertAlign w:val="superscript"/>
        </w:rPr>
        <w:footnoteReference w:id="8"/>
      </w:r>
      <w:r w:rsidRPr="005F3F1F">
        <w:t>,</w:t>
      </w:r>
    </w:p>
    <w:p w14:paraId="52219F2C" w14:textId="77777777" w:rsidR="00ED22B8" w:rsidRPr="005F3F1F" w:rsidRDefault="00ED22B8" w:rsidP="00ED22B8">
      <w:pPr>
        <w:pStyle w:val="NormalHanging12a"/>
      </w:pPr>
      <w:r w:rsidRPr="005F3F1F">
        <w:t>–</w:t>
      </w:r>
      <w:r w:rsidRPr="005F3F1F">
        <w:tab/>
        <w:t>έχοντας υπόψη το άρθρο 132 παράγραφος 2 του Κανονισμού του,</w:t>
      </w:r>
    </w:p>
    <w:p w14:paraId="6EE44B73" w14:textId="14A89C72" w:rsidR="00814BC6" w:rsidRPr="005F3F1F" w:rsidRDefault="001C31D8" w:rsidP="001C31D8">
      <w:pPr>
        <w:pStyle w:val="NormalHanging12a"/>
        <w:ind w:hanging="566"/>
      </w:pPr>
      <w:r w:rsidRPr="005F3F1F">
        <w:t>Α.</w:t>
      </w:r>
      <w:r w:rsidRPr="005F3F1F">
        <w:tab/>
        <w:t>λαμβάνοντας υπόψη ότι το Δικαστήριο της ΕΕ (ΔΕΕ) στην απόφαση «Schrems I» επεσήμανε ότι η άνευ διακρίσεων πρόσβαση των υπηρεσιών πληροφοριών στο περιεχόμενο των ηλεκτρονικών επικοινωνιών παραβιάζει την ουσία του δικαιώματος στο απόρρητο των επικοινωνιών, όπως προβλέπεται στο άρθρο 7 του Χάρτη·</w:t>
      </w:r>
    </w:p>
    <w:p w14:paraId="472F6D45" w14:textId="54928942" w:rsidR="00250718" w:rsidRPr="005F3F1F" w:rsidRDefault="001C31D8" w:rsidP="001C31D8">
      <w:pPr>
        <w:pStyle w:val="NormalHanging12a"/>
        <w:ind w:hanging="566"/>
      </w:pPr>
      <w:r w:rsidRPr="005F3F1F">
        <w:t>Β.</w:t>
      </w:r>
      <w:r w:rsidRPr="005F3F1F">
        <w:tab/>
        <w:t>λαμβάνοντας υπόψη ότι το Δικαστήριο στην απόφαση «Schrems II» επεσήμανε ότι οι Ηνωμένες Πολιτείες (ΗΠΑ) δεν προβλέπουν επαρκή μέσα έννομης προστασίας για πρόσωπα που δεν είναι υπήκοοι των ΗΠΑ κατά της μαζικής παρακολούθησης και ότι τούτο παραβιάζει την ουσία του δικαιώματος προσφυγής, όπως προβλέπεται στο άρθρο 47 του Χάρτη·</w:t>
      </w:r>
    </w:p>
    <w:p w14:paraId="017FB887" w14:textId="464EB56A" w:rsidR="00250718" w:rsidRPr="005F3F1F" w:rsidRDefault="001C31D8" w:rsidP="001C31D8">
      <w:pPr>
        <w:pStyle w:val="NormalHanging12a"/>
        <w:ind w:hanging="566"/>
      </w:pPr>
      <w:r w:rsidRPr="005F3F1F">
        <w:t>Γ.</w:t>
      </w:r>
      <w:r w:rsidRPr="005F3F1F">
        <w:tab/>
        <w:t>λαμβάνοντας υπόψη ότι, στο ψήφισμά του της 25ης Οκτωβρίου 2018, το Ευρωπαϊκό Κοινοβούλιο είχε ήδη καλέσει την Επιτροπή να αναστείλει την Ασπίδα Προστασίας της Ιδιωτικής Ζωής·</w:t>
      </w:r>
    </w:p>
    <w:p w14:paraId="1BD6B8F6" w14:textId="77777777" w:rsidR="00250718" w:rsidRPr="005F3F1F" w:rsidRDefault="00250718" w:rsidP="00250718">
      <w:pPr>
        <w:pStyle w:val="NormalHanging12a"/>
        <w:ind w:left="1" w:firstLine="0"/>
      </w:pPr>
      <w:r w:rsidRPr="005F3F1F">
        <w:rPr>
          <w:b/>
          <w:bCs/>
          <w:i/>
          <w:iCs/>
        </w:rPr>
        <w:t>ΓΕΝΙΚΕΣ ΠΑΡΑΤΗΡΗΣΕΙΣ</w:t>
      </w:r>
    </w:p>
    <w:p w14:paraId="17826566" w14:textId="7E560143" w:rsidR="00814BC6" w:rsidRPr="005F3F1F" w:rsidRDefault="001C31D8" w:rsidP="001C31D8">
      <w:pPr>
        <w:pStyle w:val="NormalHanging12a"/>
        <w:ind w:hanging="566"/>
      </w:pPr>
      <w:r w:rsidRPr="005F3F1F">
        <w:t>1.</w:t>
      </w:r>
      <w:r w:rsidRPr="005F3F1F">
        <w:tab/>
        <w:t>λαμβάνει υπό σημείωση την απόφαση του ΔΕΕ της 16ης Ιουλίου 2020, με την οποία το Δικαστήριο επιβεβαίωσε την εγκυρότητα της απόφασης 2010/87 σχετικά με τις τυποποιημένες συμβατικές ρήτρες (ΤΣΡ), αποφαινόμενο πως συνιστούν αποτελεσματικό μηχανισμό για τη διασφάλιση της συμμόρφωσης με το επίπεδο προστασίας που προβλέπεται στο δίκαιο της ΕΕ· σημειώνει, περαιτέρω, ότι το Δικαστήριο ακύρωσε την απόφαση 2016/1250 της Επιτροπής σχετικά με την επάρκεια της προστασίας που παρέχεται από την Ασπίδα Προστασίας της Ιδιωτικής Ζωής ΕΕ-ΗΠΑ·</w:t>
      </w:r>
    </w:p>
    <w:p w14:paraId="0078C998" w14:textId="153BE441" w:rsidR="00A462B1" w:rsidRPr="005F3F1F" w:rsidRDefault="001C31D8" w:rsidP="001C31D8">
      <w:pPr>
        <w:pStyle w:val="NormalHanging12a"/>
        <w:ind w:hanging="566"/>
      </w:pPr>
      <w:r w:rsidRPr="005F3F1F">
        <w:t>2.</w:t>
      </w:r>
      <w:r w:rsidRPr="005F3F1F">
        <w:tab/>
        <w:t>πιστεύει ότι η απόφαση του ΔΕΕ έχει σημαντικές επιπτώσεις στις αποφάσεις περί επάρκειας που αφορούν τρίτες χώρες· επαναβεβαιώνει την ανάγκη για νομική σαφήνεια και ασφάλεια δικαίου·</w:t>
      </w:r>
    </w:p>
    <w:p w14:paraId="34DA8BA6" w14:textId="4BA85E71" w:rsidR="00A462B1" w:rsidRPr="005F3F1F" w:rsidRDefault="001C31D8" w:rsidP="001C31D8">
      <w:pPr>
        <w:pStyle w:val="NormalHanging12a"/>
        <w:ind w:hanging="566"/>
      </w:pPr>
      <w:r w:rsidRPr="005F3F1F">
        <w:t>3.</w:t>
      </w:r>
      <w:r w:rsidRPr="005F3F1F">
        <w:tab/>
        <w:t>εκφράζει την ανησυχία του για το γεγονός ότι ο Επίτροπος Προστασίας Δεδομένων της Ιρλανδίας, αντί να λάβει απόφαση στο πλαίσιο των αρμοδιοτήτων του σύμφωνα με το άρθρο 58 του ΓΚΠΔ, στράφηκε στο Δικαστήριο με την υπόθεση «Schrems II» · εκφράζει βαθιά ανησυχία για το γεγονός ότι για αρκετές καταγγελίες για παραβιάσεις του ΓΚΠΔ που υποβλήθηκαν στις 25 Μαΐου 2018 δεν έχει ακόμη ληφθεί απόφαση από τον Επίτροπο Προστασίας Δεδομένων της Ιρλανδίας, ο οποίος είναι η κύρια αρμόδια αρχή για τις υποθέσεις αυτές· καταδικάζει απερίφραστα την προσπάθεια της ιρλανδικής αρχής προστασίας δεδομένων να μετατοπίσει το κόστος της δικαστικής διαδικασίας στον Maximilian Schrems, γεγονός που θα μπορούσε να προκαλέσει τεράστιο αποτρεπτικό αποτέλεσμα· καλεί την Επιτροπή να κινήσει διαδικασίες επί παραβάσει κατά της Ιρλανδίας για πλημμελή εφαρμογή του ΓΚΠΔ·</w:t>
      </w:r>
    </w:p>
    <w:p w14:paraId="1689259E" w14:textId="3740CA94" w:rsidR="00BF6571" w:rsidRPr="005F3F1F" w:rsidRDefault="001C31D8" w:rsidP="001C31D8">
      <w:pPr>
        <w:pStyle w:val="NormalHanging12a"/>
        <w:ind w:hanging="566"/>
      </w:pPr>
      <w:r w:rsidRPr="005F3F1F">
        <w:t>4.</w:t>
      </w:r>
      <w:r w:rsidRPr="005F3F1F">
        <w:tab/>
        <w:t>παροτρύνει την Επιτροπή να δημοσιεύσει περαιτέρω κατευθυντήριες γραμμές σχετικά με τις διεθνείς διαβιβάσεις δεδομένων για εταιρείες, ιδίως για ΜΜΕ, μεταξύ άλλων σχετικά με τις πρόσθετες εγγυήσεις που απαιτούνται για διαβιβάσεις με τη χρήση ΤΣΡ·</w:t>
      </w:r>
    </w:p>
    <w:p w14:paraId="24D1A15F" w14:textId="202FFCBA" w:rsidR="00BF6571" w:rsidRPr="005F3F1F" w:rsidRDefault="00BF6571" w:rsidP="00BF6571">
      <w:pPr>
        <w:pStyle w:val="NormalHanging12a"/>
        <w:ind w:left="1" w:firstLine="0"/>
      </w:pPr>
      <w:r w:rsidRPr="005F3F1F">
        <w:rPr>
          <w:b/>
          <w:i/>
        </w:rPr>
        <w:t>ΤΥΠΟΠΟΙΗΜΕΝΕΣ ΣΥΜΒΑΤΙΚΕΣ ΡΗΤΡΕΣ</w:t>
      </w:r>
    </w:p>
    <w:p w14:paraId="50727A17" w14:textId="3317E88A" w:rsidR="00BF6571" w:rsidRPr="005F3F1F" w:rsidRDefault="001C31D8" w:rsidP="001C31D8">
      <w:pPr>
        <w:pStyle w:val="NormalHanging12a"/>
        <w:ind w:hanging="566"/>
      </w:pPr>
      <w:r w:rsidRPr="005F3F1F">
        <w:t>5.</w:t>
      </w:r>
      <w:r w:rsidRPr="005F3F1F">
        <w:tab/>
        <w:t>λαμβάνει υπό σημείωση το σχέδιο εκτελεστικής απόφασης της Επιτροπής και τα σχέδια ΤΣΡ· εκφράζει την ικανοποίησή του για το γεγονός ότι η Επιτροπή ζητεί επί του παρόντος ανατροφοδότηση από τα ενδιαφερόμενα μέρη σχετικά με το εν λόγω σχέδιο·</w:t>
      </w:r>
    </w:p>
    <w:p w14:paraId="51C87763" w14:textId="747E79E9" w:rsidR="00BF6571" w:rsidRPr="005F3F1F" w:rsidRDefault="001C31D8" w:rsidP="001C31D8">
      <w:pPr>
        <w:pStyle w:val="NormalHanging12a"/>
        <w:ind w:hanging="566"/>
      </w:pPr>
      <w:r w:rsidRPr="005F3F1F">
        <w:t>6.</w:t>
      </w:r>
      <w:r w:rsidRPr="005F3F1F">
        <w:tab/>
        <w:t xml:space="preserve">λαμβάνει υπό σημείωση τις συστάσεις 01/2020 του Ευρωπαϊκού Συμβουλίου Προστασίας Δεδομένων (ΕΣΠΔ) σχετικά με τα μέτρα που συμπληρώνουν τα εργαλεία διαβίβασης για τη διασφάλιση της συμμόρφωσης με το επίπεδο προστασίας δεδομένων προσωπικού χαρακτήρα στην ΕΕ· εκφράζει την ανησυχία του για πιθανές συγκρούσεις των συστάσεων αυτών με την πρόταση της Επιτροπής για τις ΤΣΡ· θεωρεί ότι απαιτούνται λεπτομερέστερες κατευθυντήριες γραμμές από το ΕΣΠΔ· </w:t>
      </w:r>
    </w:p>
    <w:p w14:paraId="396927EB" w14:textId="23D07BC0" w:rsidR="00BF6571" w:rsidRPr="005F3F1F" w:rsidRDefault="001C31D8" w:rsidP="001C31D8">
      <w:pPr>
        <w:pStyle w:val="NormalHanging12a"/>
        <w:ind w:hanging="566"/>
      </w:pPr>
      <w:r w:rsidRPr="005F3F1F">
        <w:t>7.</w:t>
      </w:r>
      <w:r w:rsidRPr="005F3F1F">
        <w:tab/>
        <w:t>πιστεύει ότι είναι ζωτικής σημασίας οι εταιρείες της ΕΕ να βασίζονται σε ισχυρούς μηχανισμούς που συμμορφώνονται με την απόφαση του ΔΕΕ· θεωρεί, εν προκειμένω, ότι η τρέχουσα πρόταση της Επιτροπής για υπόδειγμα ΤΣΡ θα πρέπει να λάβει δεόντως υπόψη όλες τις σχετικές συστάσεις· υποστηρίζει μια εργαλειοθήκη συμπληρωματικών μέτρων αποδεκτών από τις ρυθμιστικές αρχές, όπως η πιστοποίηση της ασφάλειας και οι διασφαλίσεις κρυπτογράφησης·</w:t>
      </w:r>
    </w:p>
    <w:p w14:paraId="4334779F" w14:textId="32F02EF4" w:rsidR="00BF6571" w:rsidRPr="005F3F1F" w:rsidRDefault="001C31D8" w:rsidP="001C31D8">
      <w:pPr>
        <w:pStyle w:val="NormalHanging12a"/>
        <w:ind w:hanging="566"/>
      </w:pPr>
      <w:r w:rsidRPr="005F3F1F">
        <w:t>8.</w:t>
      </w:r>
      <w:r w:rsidRPr="005F3F1F">
        <w:tab/>
        <w:t>επισημαίνει ότι, για τους υπεύθυνους επεξεργασίας δεδομένων που εμπίπτουν στο πεδίο εφαρμογής του νόμου των ΗΠΑ περί παρακολούθησης των επικοινωνιών των αλλοδαπών υπηρεσιών πληροφοριών, δεν είναι δυνατή η διαβίβαση δεδομένων προσωπικού χαρακτήρα από την Ένωση στο πλαίσιο των εν λόγω ΤΣΡ, λόγω του υψηλού κινδύνου μαζικής παρακολούθησης· μόνο μια συνολική μεταρρύθμιση των πρακτικών παρακολούθησης στις ΗΠΑ μπορεί να αντιμετωπίσει με βιώσιμο τρόπο αυτό το πρόβλημα και να παράσχει ασφάλεια δικαίου στις επιχειρήσεις και τα υποκείμενα των δεδομένων·</w:t>
      </w:r>
    </w:p>
    <w:p w14:paraId="39276751" w14:textId="70DCCAE0" w:rsidR="00BF6571" w:rsidRPr="005F3F1F" w:rsidRDefault="001C31D8" w:rsidP="001C31D8">
      <w:pPr>
        <w:pStyle w:val="NormalHanging12a"/>
        <w:ind w:hanging="566"/>
      </w:pPr>
      <w:r w:rsidRPr="005F3F1F">
        <w:t>9.</w:t>
      </w:r>
      <w:r w:rsidRPr="005F3F1F">
        <w:tab/>
        <w:t>υπενθυμίζει ότι πολλές ΜΜΕ χρησιμοποιούν ΤΣΡ· τονίζει ότι εταιρείες και ΜΜΕ χρειάζονται επειγόντως σαφείς κατευθυντήριες γραμμές και βοήθεια για την εφαρμογή και την ερμηνεία της απόφασης του Δικαστηρίου·</w:t>
      </w:r>
    </w:p>
    <w:p w14:paraId="73B6FF38" w14:textId="3F7C1FC2" w:rsidR="00BF6571" w:rsidRPr="005F3F1F" w:rsidRDefault="001C31D8" w:rsidP="001C31D8">
      <w:pPr>
        <w:pStyle w:val="NormalHanging12a"/>
        <w:ind w:hanging="566"/>
      </w:pPr>
      <w:r w:rsidRPr="005F3F1F">
        <w:t>10.</w:t>
      </w:r>
      <w:r w:rsidRPr="005F3F1F">
        <w:tab/>
        <w:t>επισημαίνει ότι οι ευρωπαϊκές ΜΜΕ έχουν περιορισμένη διαπραγματευτική ισχύ και νομική ικανότητα, και τους έχει ανατεθεί να αξιολογήσουν οι ίδιες την επάρκεια τρίτων χωρών, δηλαδή αναμένεται από αυτές να αξιολογήσουν τα πολύπλοκα νομικά πλαίσια διαφόρων τρίτων χωρών· παροτρύνει την Επιτροπή και το ΕΣΠΔ να εξετάσουν ενδελεχώς την αναγκαιότητα και τη σκοπιμότητα τυχόν απαιτούμενων συμπληρωματικών μέτρων, ιδίως για τις ΜΜΕ·</w:t>
      </w:r>
    </w:p>
    <w:p w14:paraId="7E0D5CA8" w14:textId="231D8B77" w:rsidR="00BF6571" w:rsidRPr="005F3F1F" w:rsidRDefault="001C31D8" w:rsidP="001C31D8">
      <w:pPr>
        <w:pStyle w:val="NormalHanging12a"/>
        <w:ind w:hanging="566"/>
      </w:pPr>
      <w:r w:rsidRPr="005F3F1F">
        <w:t>11.</w:t>
      </w:r>
      <w:r w:rsidRPr="005F3F1F">
        <w:tab/>
        <w:t>παροτρύνει τις εθνικές εποπτικές αρχές να χρησιμοποιούν σε τέτοιες περιπτώσεις τις αντίστοιχες εξουσίες τους που αναφέρονται στο άρθρο 3 του σχεδίου εκτελεστικής απόφασης και στο άρθρο 58 του ΓΚΠΔ·</w:t>
      </w:r>
    </w:p>
    <w:p w14:paraId="09D6268F" w14:textId="528C5193" w:rsidR="00BF6571" w:rsidRPr="005F3F1F" w:rsidRDefault="00BF6571" w:rsidP="00BF6571">
      <w:pPr>
        <w:pStyle w:val="NormalHanging12a"/>
        <w:ind w:left="1" w:firstLine="0"/>
      </w:pPr>
      <w:r w:rsidRPr="005F3F1F">
        <w:rPr>
          <w:b/>
          <w:i/>
        </w:rPr>
        <w:t>ΑΣΠΙΔΑ ΠΡΟΣΤΑΣΙΑΣ ΤΗΣ ΙΔΙΩΤΙΚΗΣ ΖΩΗΣ</w:t>
      </w:r>
    </w:p>
    <w:p w14:paraId="038B72A1" w14:textId="36CA07D9" w:rsidR="00BF6571" w:rsidRPr="005F3F1F" w:rsidRDefault="001C31D8" w:rsidP="001C31D8">
      <w:pPr>
        <w:pStyle w:val="NormalHanging12a"/>
        <w:ind w:hanging="566"/>
      </w:pPr>
      <w:r w:rsidRPr="005F3F1F">
        <w:t>12.</w:t>
      </w:r>
      <w:r w:rsidRPr="005F3F1F">
        <w:tab/>
        <w:t>σημειώνει ότι, παρά τις βελτιώσεις της Ασπίδας Προστασίας της Ιδιωτικής Ζωής σε σύγκριση με τις ρυθμίσεις ασφαλούς λιμένα, το ΔΕΕ έκρινε ότι η Ασπίδα Προστασίας της Ιδιωτικής Ζωής ΕΕ-ΗΠΑ δεν εγγυάται ουσιαστικά ισοδύναμο και, ως εκ τούτου, επαρκές επίπεδο προστασίας σε σχέση με εκείνο που παρέχεται από τον ΓΚΠΔ και τον Χάρτη της ΕΕ, ιδίως λόγω των προϋποθέσεων που έχουν τεθεί όσον αφορά την πρόσβαση των δημόσιων αρχών των ΗΠΑ σε δεδομένα προσωπικού χαρακτήρα που διαβιβάζονται στο πλαίσιο της Ασπίδας Προστασίας και λόγω της απουσίας εκτελεστών δικαιωμάτων για τα υποκείμενα δεδομένων της ΕΕ που να μπορούν να προβληθούν ενώπιον των δικαστηρίων των ΗΠΑ κατά των αρχών των ΗΠΑ·</w:t>
      </w:r>
    </w:p>
    <w:p w14:paraId="26CF2723" w14:textId="7D5FB3CE" w:rsidR="00BF6571" w:rsidRPr="005F3F1F" w:rsidRDefault="001C31D8" w:rsidP="001C31D8">
      <w:pPr>
        <w:pStyle w:val="NormalHanging12a"/>
        <w:ind w:hanging="566"/>
      </w:pPr>
      <w:r w:rsidRPr="005F3F1F">
        <w:t>13.</w:t>
      </w:r>
      <w:r w:rsidRPr="005F3F1F">
        <w:tab/>
        <w:t>υπενθυμίζει το ψήφισμα του Κοινοβουλίου του 2018 σχετικά με την Ασπίδα Προστασίας της Ιδιωτικής Ζωής, στο οποίο υπογραμμίζεται ο κίνδυνος ακύρωσης της Ασπίδας Προστασίας από το ΔΕΕ·</w:t>
      </w:r>
    </w:p>
    <w:p w14:paraId="7FF8DF33" w14:textId="0C61E4F7" w:rsidR="00BF6571" w:rsidRPr="005F3F1F" w:rsidRDefault="00BF6571" w:rsidP="00BF6571">
      <w:pPr>
        <w:pStyle w:val="NormalHanging12a"/>
        <w:spacing w:before="240"/>
        <w:ind w:left="1" w:firstLine="0"/>
      </w:pPr>
      <w:r w:rsidRPr="005F3F1F">
        <w:rPr>
          <w:b/>
          <w:i/>
        </w:rPr>
        <w:t>ΜΑΖΙΚΗ ΠΑΡΑΚΟΛΟΥΘΗΣΗ ΚΑΙ ΝΟΜΙΚΟ ΠΛΑΙΣΙΟ</w:t>
      </w:r>
    </w:p>
    <w:p w14:paraId="5CEDF62D" w14:textId="3A8437DC" w:rsidR="00BF6571" w:rsidRPr="005F3F1F" w:rsidRDefault="001C31D8" w:rsidP="001C31D8">
      <w:pPr>
        <w:pStyle w:val="NormalHanging12a"/>
        <w:ind w:hanging="566"/>
      </w:pPr>
      <w:r w:rsidRPr="005F3F1F">
        <w:t>14.</w:t>
      </w:r>
      <w:r w:rsidRPr="005F3F1F">
        <w:tab/>
        <w:t>ενθαρρύνει την Επιτροπή να συνεχίσει να παρακολουθεί τη χρήση τεχνολογιών μαζικής παρακολούθησης στο Ηνωμένο Βασίλειο·</w:t>
      </w:r>
    </w:p>
    <w:p w14:paraId="5DCAA0DA" w14:textId="26197AAE" w:rsidR="00BF6571" w:rsidRPr="005F3F1F" w:rsidRDefault="001C31D8" w:rsidP="001C31D8">
      <w:pPr>
        <w:pStyle w:val="NormalHanging12a"/>
        <w:ind w:hanging="566"/>
      </w:pPr>
      <w:r w:rsidRPr="005F3F1F">
        <w:t>15.</w:t>
      </w:r>
      <w:r w:rsidRPr="005F3F1F">
        <w:tab/>
        <w:t>επισημαίνει ότι ούτε ο «California Consumer Privacy Act» (νόμος της Καλιφόρνια για την προστασία της ιδιωτικής ζωής των καταναλωτών - CCPA) στις ΗΠΑ ούτε κάποια από τις ομοσπονδιακές προτάσεις που έχουν υποβληθεί μέχρι στιγμής πληρούν τις απαιτήσεις του ΓΚΠΔ για επαρκές επίπεδο προστασίας· ενθαρρύνει τον ομοσπονδιακό νομοθέτη των ΗΠΑ να εγκρίνει έναν εθνικής κλίμακας ισχυρό και ολοκληρωμένο ομοσπονδιακό νόμο για την προστασία των δεδομένων και της ιδιωτικής ζωής, ο οποίος να πληροί τις εν λόγω απαιτήσεις·</w:t>
      </w:r>
    </w:p>
    <w:p w14:paraId="60391FF9" w14:textId="5507C4E5" w:rsidR="00BF6571" w:rsidRPr="005F3F1F" w:rsidRDefault="001C31D8" w:rsidP="001C31D8">
      <w:pPr>
        <w:pStyle w:val="NormalHanging12a"/>
        <w:ind w:hanging="566"/>
      </w:pPr>
      <w:r w:rsidRPr="005F3F1F">
        <w:t>16.</w:t>
      </w:r>
      <w:r w:rsidRPr="005F3F1F">
        <w:tab/>
        <w:t>επισημαίνει ότι μια τέτοιου είδους νομοθετική ρύθμιση για την προστασία των δεδομένων και της ιδιωτικής ζωής των καταναλωτών δεν θα επιλύσει αφ’ εαυτής τα θεμελιώδη ζητήματα που εντόπισε το Δικαστήριο σχετικά με τη μαζική παρακολούθηση από τις υπηρεσίες πληροφοριών των ΗΠΑ και την ανεπαρκή πρόσβαση σε μέσα έννομης προστασίας· ενθαρρύνει τον ομοσπονδιακό νομοθέτη των ΗΠΑ να επανεξετάσει το ενδεχόμενο τροποποιήσεων του άρθρου 702 του νόμου FISA, του εκτελεστικού διατάγματος 12333 και της προεδρικής οδηγίας πολιτικής 28, ιδίως όσον αφορά τη χορήγηση ίδιου επιπέδου προστασίας μεταξύ πολιτών της ΕΕ και των ΗΠΑ·</w:t>
      </w:r>
    </w:p>
    <w:p w14:paraId="39D79FD9" w14:textId="4D78380C" w:rsidR="00BF6571" w:rsidRPr="005F3F1F" w:rsidRDefault="00BF6571" w:rsidP="00BF6571">
      <w:pPr>
        <w:pStyle w:val="NormalHanging12a"/>
        <w:ind w:left="1" w:firstLine="0"/>
      </w:pPr>
      <w:bookmarkStart w:id="1" w:name="_GoBack"/>
      <w:r w:rsidRPr="005F3F1F">
        <w:rPr>
          <w:b/>
          <w:i/>
        </w:rPr>
        <w:t>ΑΠΟΦΑΣΕΙΣ ΠΕΡΙ ΕΠΑΡΚΕΙΑΣ</w:t>
      </w:r>
    </w:p>
    <w:bookmarkEnd w:id="1"/>
    <w:p w14:paraId="00A43691" w14:textId="4893C986" w:rsidR="00BF6571" w:rsidRPr="005F3F1F" w:rsidRDefault="001C31D8" w:rsidP="001C31D8">
      <w:pPr>
        <w:pStyle w:val="NormalHanging12a"/>
        <w:ind w:hanging="566"/>
      </w:pPr>
      <w:r w:rsidRPr="005F3F1F">
        <w:t>17.</w:t>
      </w:r>
      <w:r w:rsidRPr="005F3F1F">
        <w:tab/>
        <w:t>καλεί την Επιτροπή να λάβει όλα τα αναγκαία μέτρα για να διασφαλίσει ότι οποιαδήποτε περαιτέρω συμφωνία με τις ΗΠΑ θα συμμορφώνεται πλήρως με τον κανονισμό (ΕΕ) 2016/679, τον Χάρτη της ΕΕ και με όλες τις πτυχές της απόφασης του ΔΕΕ·</w:t>
      </w:r>
    </w:p>
    <w:p w14:paraId="5121FE11" w14:textId="5621A460" w:rsidR="00BF6571" w:rsidRPr="005F3F1F" w:rsidRDefault="001C31D8" w:rsidP="001C31D8">
      <w:pPr>
        <w:pStyle w:val="NormalHanging12a"/>
        <w:ind w:hanging="566"/>
      </w:pPr>
      <w:r w:rsidRPr="005F3F1F">
        <w:t>18.</w:t>
      </w:r>
      <w:r w:rsidRPr="005F3F1F">
        <w:tab/>
        <w:t>υπενθυμίζει την υποχρέωση της Επιτροπής να επανεξετάζει όλες τις αποφάσεις περί επάρκειας που εκδίδονται δυνάμει της οδηγίας ΕΚ 95/46 εφαρμόζοντας τα συμπεράσματα των αποφάσεων «Schrems I και II», προκειμένου να εκτιμήσει κατά πόσον παρέχεται ουσιαστικά ισοδύναμο επίπεδο προστασίας·</w:t>
      </w:r>
    </w:p>
    <w:p w14:paraId="3ABA9745" w14:textId="3C48E7D7" w:rsidR="00BF6571" w:rsidRPr="005F3F1F" w:rsidRDefault="001C31D8" w:rsidP="001C31D8">
      <w:pPr>
        <w:pStyle w:val="NormalHanging12a"/>
        <w:ind w:hanging="566"/>
      </w:pPr>
      <w:r w:rsidRPr="005F3F1F">
        <w:t>19.</w:t>
      </w:r>
      <w:r w:rsidRPr="005F3F1F">
        <w:tab/>
        <w:t>καλεί την Επιτροπή να μην εκδώσει καμία νέα απόφαση περί επάρκειας σε σχέση με τις ΗΠΑ, εκτός εάν θεσπιστούν ουσιαστικές μεταρρυθμίσεις των νόμων και των πρακτικών στον τομέα της πρόσβασης των δημόσιων αρχών σε πληροφορίες, ιδίως για σκοπούς εθνικής ασφάλειας και συλλογής πληροφοριών·</w:t>
      </w:r>
    </w:p>
    <w:p w14:paraId="4D5DE174" w14:textId="416E086C" w:rsidR="00BF6571" w:rsidRPr="005F3F1F" w:rsidRDefault="001C31D8" w:rsidP="001C31D8">
      <w:pPr>
        <w:pStyle w:val="NormalHanging12a"/>
        <w:ind w:hanging="566"/>
      </w:pPr>
      <w:r w:rsidRPr="005F3F1F">
        <w:t>20.</w:t>
      </w:r>
      <w:r w:rsidRPr="005F3F1F">
        <w:tab/>
        <w:t>καλεί την Επιτροπή να δημοσιεύει επικαιροποιημένο κατάλογο των κριτηρίων που λαμβάνει υπόψη όταν αξιολογεί κατά πόσον μια τρίτη χώρα πληροί τις προϋποθέσεις για απόφαση περί επάρκειας·</w:t>
      </w:r>
    </w:p>
    <w:p w14:paraId="332C3C2E" w14:textId="3FD09EEF" w:rsidR="00BF6571" w:rsidRPr="005F3F1F" w:rsidRDefault="001C31D8" w:rsidP="001C31D8">
      <w:pPr>
        <w:pStyle w:val="NormalHanging12a"/>
        <w:ind w:hanging="566"/>
      </w:pPr>
      <w:r w:rsidRPr="005F3F1F">
        <w:t>21.</w:t>
      </w:r>
      <w:r w:rsidRPr="005F3F1F">
        <w:tab/>
        <w:t>αναθέτει στον Πρόεδρό του να διαβιβάσει το παρόν ψήφισμα στην Επιτροπή, στο Ευρωπαϊκό Συμβούλιο, στο Συμβούλιο, στο ΕΣΠΔ και στα εθνικά κοινοβούλια.</w:t>
      </w:r>
    </w:p>
    <w:sectPr w:rsidR="00BF6571" w:rsidRPr="005F3F1F" w:rsidSect="0013654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136546" w:rsidRDefault="00F510C8">
      <w:r w:rsidRPr="00136546">
        <w:separator/>
      </w:r>
    </w:p>
  </w:endnote>
  <w:endnote w:type="continuationSeparator" w:id="0">
    <w:p w14:paraId="0DE703E5" w14:textId="77777777" w:rsidR="00F510C8" w:rsidRPr="00136546" w:rsidRDefault="00F510C8">
      <w:r w:rsidRPr="001365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DECD" w14:textId="0F8B6641" w:rsidR="00136546" w:rsidRPr="00136546" w:rsidRDefault="00136546" w:rsidP="00136546">
    <w:pPr>
      <w:pStyle w:val="EPFooter"/>
    </w:pPr>
    <w:r w:rsidRPr="00136546">
      <w:t>PE</w:t>
    </w:r>
    <w:r w:rsidRPr="00136546">
      <w:rPr>
        <w:rStyle w:val="HideTWBExt"/>
        <w:noProof w:val="0"/>
      </w:rPr>
      <w:t>&lt;NoPE&gt;</w:t>
    </w:r>
    <w:r w:rsidRPr="00136546">
      <w:t>663.216</w:t>
    </w:r>
    <w:r w:rsidRPr="00136546">
      <w:rPr>
        <w:rStyle w:val="HideTWBExt"/>
        <w:noProof w:val="0"/>
      </w:rPr>
      <w:t>&lt;/NoPE&gt;&lt;Version&gt;</w:t>
    </w:r>
    <w:r w:rsidRPr="00136546">
      <w:t>v01-00</w:t>
    </w:r>
    <w:r w:rsidRPr="00136546">
      <w:rPr>
        <w:rStyle w:val="HideTWBExt"/>
        <w:noProof w:val="0"/>
      </w:rPr>
      <w:t>&lt;/Version&gt;</w:t>
    </w:r>
    <w:r w:rsidRPr="00136546">
      <w:tab/>
    </w:r>
    <w:r w:rsidRPr="00136546">
      <w:fldChar w:fldCharType="begin"/>
    </w:r>
    <w:r w:rsidRPr="00136546">
      <w:instrText xml:space="preserve"> PAGE  \* MERGEFORMAT </w:instrText>
    </w:r>
    <w:r w:rsidRPr="00136546">
      <w:fldChar w:fldCharType="separate"/>
    </w:r>
    <w:r w:rsidR="005F3F1F">
      <w:rPr>
        <w:noProof/>
      </w:rPr>
      <w:t>6</w:t>
    </w:r>
    <w:r w:rsidRPr="00136546">
      <w:fldChar w:fldCharType="end"/>
    </w:r>
    <w:r w:rsidRPr="00136546">
      <w:t>/</w:t>
    </w:r>
    <w:fldSimple w:instr=" NUMPAGES  \* MERGEFORMAT ">
      <w:r w:rsidR="005F3F1F">
        <w:rPr>
          <w:noProof/>
        </w:rPr>
        <w:t>6</w:t>
      </w:r>
    </w:fldSimple>
    <w:r w:rsidRPr="00136546">
      <w:tab/>
    </w:r>
    <w:r w:rsidRPr="00136546">
      <w:rPr>
        <w:rStyle w:val="HideTWBExt"/>
        <w:noProof w:val="0"/>
      </w:rPr>
      <w:t>&lt;PathFdR&gt;</w:t>
    </w:r>
    <w:r w:rsidRPr="00136546">
      <w:t>RE\1222135EL.docx</w:t>
    </w:r>
    <w:r w:rsidRPr="00136546">
      <w:rPr>
        <w:rStyle w:val="HideTWBExt"/>
        <w:noProof w:val="0"/>
      </w:rPr>
      <w:t>&lt;/PathFdR&gt;</w:t>
    </w:r>
  </w:p>
  <w:p w14:paraId="012744B5" w14:textId="1613D2BC" w:rsidR="00A90219" w:rsidRPr="00136546" w:rsidRDefault="00136546" w:rsidP="00136546">
    <w:pPr>
      <w:pStyle w:val="EPFooter2"/>
    </w:pPr>
    <w:r w:rsidRPr="00136546">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4189" w14:textId="08454D27" w:rsidR="00136546" w:rsidRPr="00136546" w:rsidRDefault="00136546" w:rsidP="00136546">
    <w:pPr>
      <w:pStyle w:val="EPFooter"/>
    </w:pPr>
    <w:r w:rsidRPr="00136546">
      <w:rPr>
        <w:rStyle w:val="HideTWBExt"/>
        <w:noProof w:val="0"/>
      </w:rPr>
      <w:t>&lt;PathFdR&gt;</w:t>
    </w:r>
    <w:r w:rsidRPr="00136546">
      <w:t>RE\1222135EL.docx</w:t>
    </w:r>
    <w:r w:rsidRPr="00136546">
      <w:rPr>
        <w:rStyle w:val="HideTWBExt"/>
        <w:noProof w:val="0"/>
      </w:rPr>
      <w:t>&lt;/PathFdR&gt;</w:t>
    </w:r>
    <w:r w:rsidRPr="00136546">
      <w:tab/>
    </w:r>
    <w:r w:rsidRPr="00136546">
      <w:fldChar w:fldCharType="begin"/>
    </w:r>
    <w:r w:rsidRPr="00136546">
      <w:instrText xml:space="preserve"> PAGE  \* MERGEFORMAT </w:instrText>
    </w:r>
    <w:r w:rsidRPr="00136546">
      <w:fldChar w:fldCharType="separate"/>
    </w:r>
    <w:r w:rsidR="005F3F1F">
      <w:rPr>
        <w:noProof/>
      </w:rPr>
      <w:t>5</w:t>
    </w:r>
    <w:r w:rsidRPr="00136546">
      <w:fldChar w:fldCharType="end"/>
    </w:r>
    <w:r w:rsidRPr="00136546">
      <w:t>/</w:t>
    </w:r>
    <w:fldSimple w:instr=" NUMPAGES  \* MERGEFORMAT ">
      <w:r w:rsidR="005F3F1F">
        <w:rPr>
          <w:noProof/>
        </w:rPr>
        <w:t>6</w:t>
      </w:r>
    </w:fldSimple>
    <w:r w:rsidRPr="00136546">
      <w:tab/>
      <w:t>PE</w:t>
    </w:r>
    <w:r w:rsidRPr="00136546">
      <w:rPr>
        <w:rStyle w:val="HideTWBExt"/>
        <w:noProof w:val="0"/>
      </w:rPr>
      <w:t>&lt;NoPE&gt;</w:t>
    </w:r>
    <w:r w:rsidRPr="00136546">
      <w:t>663.216</w:t>
    </w:r>
    <w:r w:rsidRPr="00136546">
      <w:rPr>
        <w:rStyle w:val="HideTWBExt"/>
        <w:noProof w:val="0"/>
      </w:rPr>
      <w:t>&lt;/NoPE&gt;&lt;Version&gt;</w:t>
    </w:r>
    <w:r w:rsidRPr="00136546">
      <w:t>v01-00</w:t>
    </w:r>
    <w:r w:rsidRPr="00136546">
      <w:rPr>
        <w:rStyle w:val="HideTWBExt"/>
        <w:noProof w:val="0"/>
      </w:rPr>
      <w:t>&lt;/Version&gt;</w:t>
    </w:r>
  </w:p>
  <w:p w14:paraId="200C4218" w14:textId="67C8203C" w:rsidR="00A90219" w:rsidRPr="00136546" w:rsidRDefault="00136546" w:rsidP="00136546">
    <w:pPr>
      <w:pStyle w:val="EPFooter2"/>
    </w:pPr>
    <w:r w:rsidRPr="00136546">
      <w:tab/>
    </w:r>
    <w:r w:rsidRPr="00136546">
      <w:tab/>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FA50" w14:textId="77777777" w:rsidR="00136546" w:rsidRPr="00136546" w:rsidRDefault="00136546" w:rsidP="00136546">
    <w:pPr>
      <w:pStyle w:val="EPFooter"/>
    </w:pPr>
    <w:r w:rsidRPr="00136546">
      <w:rPr>
        <w:rStyle w:val="HideTWBExt"/>
        <w:noProof w:val="0"/>
      </w:rPr>
      <w:t>&lt;PathFdR&gt;</w:t>
    </w:r>
    <w:r w:rsidRPr="00136546">
      <w:t>RE\1222135EL.docx</w:t>
    </w:r>
    <w:r w:rsidRPr="00136546">
      <w:rPr>
        <w:rStyle w:val="HideTWBExt"/>
        <w:noProof w:val="0"/>
      </w:rPr>
      <w:t>&lt;/PathFdR&gt;</w:t>
    </w:r>
    <w:r w:rsidRPr="00136546">
      <w:tab/>
    </w:r>
    <w:r w:rsidRPr="00136546">
      <w:tab/>
      <w:t>PE</w:t>
    </w:r>
    <w:r w:rsidRPr="00136546">
      <w:rPr>
        <w:rStyle w:val="HideTWBExt"/>
        <w:noProof w:val="0"/>
      </w:rPr>
      <w:t>&lt;NoPE&gt;</w:t>
    </w:r>
    <w:r w:rsidRPr="00136546">
      <w:t>663.216</w:t>
    </w:r>
    <w:r w:rsidRPr="00136546">
      <w:rPr>
        <w:rStyle w:val="HideTWBExt"/>
        <w:noProof w:val="0"/>
      </w:rPr>
      <w:t>&lt;/NoPE&gt;&lt;Version&gt;</w:t>
    </w:r>
    <w:r w:rsidRPr="00136546">
      <w:t>v01-00</w:t>
    </w:r>
    <w:r w:rsidRPr="00136546">
      <w:rPr>
        <w:rStyle w:val="HideTWBExt"/>
        <w:noProof w:val="0"/>
      </w:rPr>
      <w:t>&lt;/Version&gt;</w:t>
    </w:r>
  </w:p>
  <w:p w14:paraId="7556990F" w14:textId="1BB47023" w:rsidR="00A90219" w:rsidRPr="00136546" w:rsidRDefault="00136546" w:rsidP="00136546">
    <w:pPr>
      <w:pStyle w:val="EPFooter2"/>
    </w:pPr>
    <w:r w:rsidRPr="00136546">
      <w:t>EL</w:t>
    </w:r>
    <w:r w:rsidRPr="00136546">
      <w:tab/>
    </w:r>
    <w:r w:rsidRPr="00136546">
      <w:rPr>
        <w:b w:val="0"/>
        <w:i/>
        <w:color w:val="C0C0C0"/>
        <w:sz w:val="22"/>
      </w:rPr>
      <w:t>Ενωμένη στην πολυμορφία</w:t>
    </w:r>
    <w:r w:rsidRPr="00136546">
      <w:tab/>
      <w:t>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136546" w:rsidRDefault="00F510C8">
      <w:r w:rsidRPr="00136546">
        <w:separator/>
      </w:r>
    </w:p>
  </w:footnote>
  <w:footnote w:type="continuationSeparator" w:id="0">
    <w:p w14:paraId="739DD931" w14:textId="77777777" w:rsidR="00F510C8" w:rsidRPr="00136546" w:rsidRDefault="00F510C8">
      <w:r w:rsidRPr="00136546">
        <w:continuationSeparator/>
      </w:r>
    </w:p>
  </w:footnote>
  <w:footnote w:id="1">
    <w:p w14:paraId="46826221" w14:textId="385D20A1" w:rsidR="005F3F1F" w:rsidRPr="005F3F1F" w:rsidRDefault="005F3F1F">
      <w:pPr>
        <w:pStyle w:val="FootnoteText"/>
        <w:rPr>
          <w:lang w:val="en-GB"/>
        </w:rPr>
      </w:pPr>
      <w:r>
        <w:rPr>
          <w:rStyle w:val="FootnoteReference"/>
        </w:rPr>
        <w:footnoteRef/>
      </w:r>
      <w:r>
        <w:t xml:space="preserve"> </w:t>
      </w:r>
      <w:hyperlink r:id="rId1" w:history="1">
        <w:r w:rsidRPr="005F3F1F">
          <w:rPr>
            <w:rFonts w:ascii="Times New Roman" w:hAnsi="Times New Roman" w:cs="Times New Roman"/>
          </w:rPr>
          <w:t>https://eur-lex.europa.eu/legal-content/EL/TXT/?uri=CELEX:62018CA0311</w:t>
        </w:r>
      </w:hyperlink>
    </w:p>
  </w:footnote>
  <w:footnote w:id="2">
    <w:p w14:paraId="547F0DAC" w14:textId="67B98259" w:rsidR="003A76FC" w:rsidRPr="005F3F1F" w:rsidRDefault="003A76FC" w:rsidP="003A76FC">
      <w:pPr>
        <w:pStyle w:val="FootnoteText"/>
        <w:rPr>
          <w:rFonts w:ascii="Times New Roman" w:hAnsi="Times New Roman" w:cs="Times New Roman"/>
          <w:lang w:val="en-GB"/>
        </w:rPr>
      </w:pPr>
      <w:r w:rsidRPr="005F3F1F">
        <w:rPr>
          <w:rStyle w:val="FootnoteReference"/>
          <w:rFonts w:ascii="Times New Roman" w:hAnsi="Times New Roman" w:cs="Times New Roman"/>
        </w:rPr>
        <w:footnoteRef/>
      </w:r>
      <w:r w:rsidRPr="005F3F1F">
        <w:rPr>
          <w:rFonts w:ascii="Times New Roman" w:hAnsi="Times New Roman" w:cs="Times New Roman"/>
          <w:lang w:val="en-GB"/>
        </w:rPr>
        <w:t xml:space="preserve"> </w:t>
      </w:r>
      <w:hyperlink r:id="rId2" w:history="1">
        <w:r w:rsidRPr="005F3F1F">
          <w:rPr>
            <w:rStyle w:val="Hyperlink"/>
            <w:rFonts w:ascii="Times New Roman" w:hAnsi="Times New Roman" w:cs="Times New Roman"/>
            <w:lang w:val="en-GB"/>
          </w:rPr>
          <w:t>https://eur-lex.europa.eu/legal-content/EL/TXT/?uri=CELEX:62014CJ0362</w:t>
        </w:r>
      </w:hyperlink>
      <w:r w:rsidRPr="005F3F1F">
        <w:rPr>
          <w:rFonts w:ascii="Times New Roman" w:hAnsi="Times New Roman" w:cs="Times New Roman"/>
          <w:lang w:val="en-GB"/>
        </w:rPr>
        <w:t xml:space="preserve"> </w:t>
      </w:r>
    </w:p>
  </w:footnote>
  <w:footnote w:id="3">
    <w:p w14:paraId="293C707A" w14:textId="52CA8392" w:rsidR="003A76FC" w:rsidRPr="005F3F1F" w:rsidRDefault="003A76FC" w:rsidP="003A76FC">
      <w:pPr>
        <w:pStyle w:val="FootnoteText"/>
        <w:rPr>
          <w:rFonts w:ascii="Times New Roman" w:hAnsi="Times New Roman" w:cs="Times New Roman"/>
          <w:lang w:val="en-GB"/>
        </w:rPr>
      </w:pPr>
      <w:r w:rsidRPr="005F3F1F">
        <w:rPr>
          <w:rStyle w:val="FootnoteReference"/>
          <w:rFonts w:ascii="Times New Roman" w:hAnsi="Times New Roman" w:cs="Times New Roman"/>
        </w:rPr>
        <w:footnoteRef/>
      </w:r>
      <w:r w:rsidRPr="005F3F1F">
        <w:rPr>
          <w:rFonts w:ascii="Times New Roman" w:hAnsi="Times New Roman" w:cs="Times New Roman"/>
          <w:lang w:val="en-GB"/>
        </w:rPr>
        <w:t xml:space="preserve"> </w:t>
      </w:r>
      <w:hyperlink r:id="rId3" w:history="1">
        <w:r w:rsidRPr="005F3F1F">
          <w:rPr>
            <w:rStyle w:val="Hyperlink"/>
            <w:rFonts w:ascii="Times New Roman" w:hAnsi="Times New Roman" w:cs="Times New Roman"/>
            <w:lang w:val="en-GB"/>
          </w:rPr>
          <w:t>https://eur-lex.europa.eu/legal-content/EL/TXT/?uri=CELEX:62017CJ0623</w:t>
        </w:r>
      </w:hyperlink>
      <w:r w:rsidRPr="005F3F1F">
        <w:rPr>
          <w:rFonts w:ascii="Times New Roman" w:hAnsi="Times New Roman" w:cs="Times New Roman"/>
          <w:lang w:val="en-GB"/>
        </w:rPr>
        <w:t xml:space="preserve"> </w:t>
      </w:r>
    </w:p>
  </w:footnote>
  <w:footnote w:id="4">
    <w:p w14:paraId="61E4D50F" w14:textId="3E265FD1" w:rsidR="005F3F1F" w:rsidRPr="005F3F1F" w:rsidRDefault="005F3F1F">
      <w:pPr>
        <w:pStyle w:val="FootnoteText"/>
        <w:rPr>
          <w:lang w:val="sv-SE"/>
        </w:rPr>
      </w:pPr>
      <w:r>
        <w:rPr>
          <w:rStyle w:val="FootnoteReference"/>
        </w:rPr>
        <w:footnoteRef/>
      </w:r>
      <w:r w:rsidRPr="005F3F1F">
        <w:rPr>
          <w:lang w:val="sv-SE"/>
        </w:rPr>
        <w:t xml:space="preserve"> </w:t>
      </w:r>
      <w:r w:rsidRPr="005F3F1F">
        <w:rPr>
          <w:rFonts w:ascii="Times New Roman" w:hAnsi="Times New Roman" w:cs="Times New Roman"/>
          <w:lang w:val="sv-SE"/>
        </w:rPr>
        <w:t xml:space="preserve">P8_TA(2018)0315, </w:t>
      </w:r>
      <w:hyperlink r:id="rId4" w:history="1">
        <w:r w:rsidRPr="005F3F1F">
          <w:rPr>
            <w:rFonts w:ascii="Times New Roman" w:hAnsi="Times New Roman" w:cs="Times New Roman"/>
            <w:lang w:val="sv-SE"/>
          </w:rPr>
          <w:t>https://www.europarl.europa.eu/doceo/document/TA-8-2018-0315_EL.html</w:t>
        </w:r>
      </w:hyperlink>
    </w:p>
  </w:footnote>
  <w:footnote w:id="5">
    <w:p w14:paraId="1E1FAB25" w14:textId="61369E5B" w:rsidR="005F3F1F" w:rsidRPr="005F3F1F" w:rsidRDefault="005F3F1F">
      <w:pPr>
        <w:pStyle w:val="FootnoteText"/>
        <w:rPr>
          <w:lang w:val="sv-SE"/>
        </w:rPr>
      </w:pPr>
      <w:r>
        <w:rPr>
          <w:rStyle w:val="FootnoteReference"/>
        </w:rPr>
        <w:footnoteRef/>
      </w:r>
      <w:r w:rsidRPr="005F3F1F">
        <w:rPr>
          <w:lang w:val="sv-SE"/>
        </w:rPr>
        <w:t xml:space="preserve"> </w:t>
      </w:r>
      <w:r w:rsidRPr="005F3F1F">
        <w:rPr>
          <w:rFonts w:ascii="Times New Roman" w:hAnsi="Times New Roman" w:cs="Times New Roman"/>
          <w:lang w:val="sv-SE"/>
        </w:rPr>
        <w:t xml:space="preserve">P8_TA(2018)0433, </w:t>
      </w:r>
      <w:hyperlink r:id="rId5" w:history="1">
        <w:r w:rsidRPr="005F3F1F">
          <w:rPr>
            <w:rFonts w:ascii="Times New Roman" w:hAnsi="Times New Roman" w:cs="Times New Roman"/>
            <w:lang w:val="sv-SE"/>
          </w:rPr>
          <w:t>https://www.europarl.europa.eu/doceo/document/TA-8-2018-0433_EL.html</w:t>
        </w:r>
      </w:hyperlink>
    </w:p>
  </w:footnote>
  <w:footnote w:id="6">
    <w:p w14:paraId="48A9A0E0" w14:textId="38B360C8" w:rsidR="003A76FC" w:rsidRPr="005F3F1F" w:rsidRDefault="003A76FC" w:rsidP="003A76FC">
      <w:pPr>
        <w:pStyle w:val="FootnoteText"/>
        <w:rPr>
          <w:rFonts w:ascii="Times New Roman" w:hAnsi="Times New Roman" w:cs="Times New Roman"/>
          <w:lang w:val="sv-SE"/>
        </w:rPr>
      </w:pPr>
      <w:r w:rsidRPr="005F3F1F">
        <w:rPr>
          <w:rStyle w:val="FootnoteReference"/>
          <w:rFonts w:ascii="Times New Roman" w:hAnsi="Times New Roman" w:cs="Times New Roman"/>
        </w:rPr>
        <w:footnoteRef/>
      </w:r>
      <w:r w:rsidRPr="005F3F1F">
        <w:rPr>
          <w:rFonts w:ascii="Times New Roman" w:hAnsi="Times New Roman" w:cs="Times New Roman"/>
          <w:lang w:val="sv-SE"/>
        </w:rPr>
        <w:t xml:space="preserve"> P9_TA(2020)0337, https://www.europarl.europa.eu/doceo/document/TA-9-2020-0337_EL.html</w:t>
      </w:r>
    </w:p>
  </w:footnote>
  <w:footnote w:id="7">
    <w:p w14:paraId="65DCEBDD" w14:textId="0765E333" w:rsidR="005F3F1F" w:rsidRPr="005F3F1F" w:rsidRDefault="005F3F1F" w:rsidP="005F3F1F">
      <w:pPr>
        <w:pStyle w:val="FootnoteText"/>
        <w:ind w:left="0" w:firstLine="0"/>
      </w:pPr>
      <w:r>
        <w:rPr>
          <w:rStyle w:val="FootnoteReference"/>
        </w:rPr>
        <w:footnoteRef/>
      </w:r>
      <w:r w:rsidRPr="005F3F1F">
        <w:t xml:space="preserve"> </w:t>
      </w:r>
      <w:r w:rsidRPr="005F3F1F">
        <w:rPr>
          <w:rFonts w:ascii="Times New Roman" w:hAnsi="Times New Roman" w:cs="Times New Roman"/>
        </w:rPr>
        <w:t xml:space="preserve">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1-88, </w:t>
      </w:r>
      <w:hyperlink r:id="rId6" w:history="1">
        <w:r w:rsidRPr="005F3F1F">
          <w:rPr>
            <w:rFonts w:ascii="Times New Roman" w:hAnsi="Times New Roman" w:cs="Times New Roman"/>
            <w:color w:val="4472C4" w:themeColor="accent5"/>
            <w:u w:val="single"/>
          </w:rPr>
          <w:t>https://eur-lex.europa.eu/legal-content/EL/TXT/?uri=CELEX:32016R0679</w:t>
        </w:r>
      </w:hyperlink>
    </w:p>
  </w:footnote>
  <w:footnote w:id="8">
    <w:p w14:paraId="57762114" w14:textId="6AC9E2B5" w:rsidR="003A76FC" w:rsidRPr="005F3F1F" w:rsidRDefault="003A76FC" w:rsidP="005F3F1F">
      <w:pPr>
        <w:pStyle w:val="FootnoteText"/>
        <w:ind w:left="0" w:firstLine="0"/>
      </w:pPr>
      <w:r w:rsidRPr="00136546">
        <w:rPr>
          <w:rStyle w:val="FootnoteReference"/>
        </w:rPr>
        <w:footnoteRef/>
      </w:r>
      <w:r w:rsidRPr="005F3F1F">
        <w:t xml:space="preserve"> </w:t>
      </w:r>
      <w:hyperlink r:id="rId7" w:history="1">
        <w:r w:rsidRPr="005F3F1F">
          <w:rPr>
            <w:rStyle w:val="Hyperlink"/>
            <w:lang w:val="sv-SE"/>
          </w:rPr>
          <w:t>https</w:t>
        </w:r>
        <w:r w:rsidRPr="005F3F1F">
          <w:rPr>
            <w:rStyle w:val="Hyperlink"/>
          </w:rPr>
          <w:t>://</w:t>
        </w:r>
        <w:r w:rsidRPr="005F3F1F">
          <w:rPr>
            <w:rStyle w:val="Hyperlink"/>
            <w:lang w:val="sv-SE"/>
          </w:rPr>
          <w:t>edpb</w:t>
        </w:r>
        <w:r w:rsidRPr="005F3F1F">
          <w:rPr>
            <w:rStyle w:val="Hyperlink"/>
          </w:rPr>
          <w:t>.</w:t>
        </w:r>
        <w:r w:rsidRPr="005F3F1F">
          <w:rPr>
            <w:rStyle w:val="Hyperlink"/>
            <w:lang w:val="sv-SE"/>
          </w:rPr>
          <w:t>europa</w:t>
        </w:r>
        <w:r w:rsidRPr="005F3F1F">
          <w:rPr>
            <w:rStyle w:val="Hyperlink"/>
          </w:rPr>
          <w:t>.</w:t>
        </w:r>
        <w:r w:rsidRPr="005F3F1F">
          <w:rPr>
            <w:rStyle w:val="Hyperlink"/>
            <w:lang w:val="sv-SE"/>
          </w:rPr>
          <w:t>eu</w:t>
        </w:r>
        <w:r w:rsidRPr="005F3F1F">
          <w:rPr>
            <w:rStyle w:val="Hyperlink"/>
          </w:rPr>
          <w:t>/</w:t>
        </w:r>
        <w:r w:rsidRPr="005F3F1F">
          <w:rPr>
            <w:rStyle w:val="Hyperlink"/>
            <w:lang w:val="sv-SE"/>
          </w:rPr>
          <w:t>our</w:t>
        </w:r>
        <w:r w:rsidRPr="005F3F1F">
          <w:rPr>
            <w:rStyle w:val="Hyperlink"/>
          </w:rPr>
          <w:t>-</w:t>
        </w:r>
        <w:r w:rsidRPr="005F3F1F">
          <w:rPr>
            <w:rStyle w:val="Hyperlink"/>
            <w:lang w:val="sv-SE"/>
          </w:rPr>
          <w:t>work</w:t>
        </w:r>
        <w:r w:rsidRPr="005F3F1F">
          <w:rPr>
            <w:rStyle w:val="Hyperlink"/>
          </w:rPr>
          <w:t>-</w:t>
        </w:r>
        <w:r w:rsidRPr="005F3F1F">
          <w:rPr>
            <w:rStyle w:val="Hyperlink"/>
            <w:lang w:val="sv-SE"/>
          </w:rPr>
          <w:t>tools</w:t>
        </w:r>
        <w:r w:rsidRPr="005F3F1F">
          <w:rPr>
            <w:rStyle w:val="Hyperlink"/>
          </w:rPr>
          <w:t>/</w:t>
        </w:r>
        <w:r w:rsidRPr="005F3F1F">
          <w:rPr>
            <w:rStyle w:val="Hyperlink"/>
            <w:lang w:val="sv-SE"/>
          </w:rPr>
          <w:t>public</w:t>
        </w:r>
        <w:r w:rsidRPr="005F3F1F">
          <w:rPr>
            <w:rStyle w:val="Hyperlink"/>
          </w:rPr>
          <w:t>-</w:t>
        </w:r>
        <w:r w:rsidRPr="005F3F1F">
          <w:rPr>
            <w:rStyle w:val="Hyperlink"/>
            <w:lang w:val="sv-SE"/>
          </w:rPr>
          <w:t>consultations</w:t>
        </w:r>
        <w:r w:rsidRPr="005F3F1F">
          <w:rPr>
            <w:rStyle w:val="Hyperlink"/>
          </w:rPr>
          <w:t>-</w:t>
        </w:r>
        <w:r w:rsidRPr="005F3F1F">
          <w:rPr>
            <w:rStyle w:val="Hyperlink"/>
            <w:lang w:val="sv-SE"/>
          </w:rPr>
          <w:t>art</w:t>
        </w:r>
        <w:r w:rsidRPr="005F3F1F">
          <w:rPr>
            <w:rStyle w:val="Hyperlink"/>
          </w:rPr>
          <w:t>-704/2020/</w:t>
        </w:r>
        <w:r w:rsidRPr="005F3F1F">
          <w:rPr>
            <w:rStyle w:val="Hyperlink"/>
            <w:lang w:val="sv-SE"/>
          </w:rPr>
          <w:t>recommendations</w:t>
        </w:r>
        <w:r w:rsidRPr="005F3F1F">
          <w:rPr>
            <w:rStyle w:val="Hyperlink"/>
          </w:rPr>
          <w:t>-012020-</w:t>
        </w:r>
        <w:r w:rsidRPr="005F3F1F">
          <w:rPr>
            <w:rStyle w:val="Hyperlink"/>
            <w:lang w:val="sv-SE"/>
          </w:rPr>
          <w:t>measures</w:t>
        </w:r>
        <w:r w:rsidRPr="005F3F1F">
          <w:rPr>
            <w:rStyle w:val="Hyperlink"/>
          </w:rPr>
          <w:t>-</w:t>
        </w:r>
        <w:r w:rsidRPr="005F3F1F">
          <w:rPr>
            <w:rStyle w:val="Hyperlink"/>
            <w:lang w:val="sv-SE"/>
          </w:rPr>
          <w:t>supplement</w:t>
        </w:r>
        <w:r w:rsidRPr="005F3F1F">
          <w:rPr>
            <w:rStyle w:val="Hyperlink"/>
          </w:rPr>
          <w:t>-</w:t>
        </w:r>
        <w:r w:rsidRPr="005F3F1F">
          <w:rPr>
            <w:rStyle w:val="Hyperlink"/>
            <w:lang w:val="sv-SE"/>
          </w:rPr>
          <w:t>transfer</w:t>
        </w:r>
        <w:r w:rsidRPr="005F3F1F">
          <w:rPr>
            <w:rStyle w:val="Hyperlink"/>
          </w:rPr>
          <w:t>_</w:t>
        </w:r>
        <w:r w:rsidRPr="005F3F1F">
          <w:rPr>
            <w:rStyle w:val="Hyperlink"/>
            <w:lang w:val="sv-SE"/>
          </w:rPr>
          <w:t>el</w:t>
        </w:r>
      </w:hyperlink>
    </w:p>
    <w:p w14:paraId="69DFD773" w14:textId="5E0B2905" w:rsidR="003A76FC" w:rsidRPr="00136546" w:rsidRDefault="005F3F1F" w:rsidP="005F3F1F">
      <w:pPr>
        <w:pStyle w:val="FootnoteText"/>
        <w:ind w:left="0" w:firstLine="0"/>
      </w:pPr>
      <w:hyperlink r:id="rId8" w:history="1">
        <w:r w:rsidR="003A76FC" w:rsidRPr="00136546">
          <w:rPr>
            <w:rStyle w:val="Hyperlink"/>
          </w:rPr>
          <w:t>https://edpb.europa.eu/our-work-tools/our-documents/preporki/recommendations-022020-european-essential-guarantees_el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17A2" w14:textId="77777777" w:rsidR="005F3F1F" w:rsidRDefault="005F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0C34" w14:textId="77777777" w:rsidR="005F3F1F" w:rsidRDefault="005F3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C809" w14:textId="77777777" w:rsidR="005F3F1F" w:rsidRDefault="005F3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EL"/>
    <w:docVar w:name="TXTLANGUEMIN" w:val="el"/>
    <w:docVar w:name="TXTNRPE" w:val="663.216"/>
    <w:docVar w:name="TXTNRRSP" w:val="2020/2789"/>
    <w:docVar w:name="TXTPEorAP" w:val="PE"/>
    <w:docVar w:name="TXTROUTE" w:val="RE\1222135EL.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36546"/>
    <w:rsid w:val="001B49A3"/>
    <w:rsid w:val="001B7CFB"/>
    <w:rsid w:val="001C16A7"/>
    <w:rsid w:val="001C31D8"/>
    <w:rsid w:val="001C62C5"/>
    <w:rsid w:val="001E1556"/>
    <w:rsid w:val="001E2450"/>
    <w:rsid w:val="00222BBB"/>
    <w:rsid w:val="00250718"/>
    <w:rsid w:val="002574AA"/>
    <w:rsid w:val="002C7767"/>
    <w:rsid w:val="00303413"/>
    <w:rsid w:val="003772FA"/>
    <w:rsid w:val="003A76FC"/>
    <w:rsid w:val="00411D03"/>
    <w:rsid w:val="00412503"/>
    <w:rsid w:val="00471D62"/>
    <w:rsid w:val="004B5166"/>
    <w:rsid w:val="00516BD3"/>
    <w:rsid w:val="0053700E"/>
    <w:rsid w:val="0058312A"/>
    <w:rsid w:val="005D6861"/>
    <w:rsid w:val="005F3F1F"/>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929B1"/>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el-GR"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preporki/recommendations-022020-european-essential-guarantees_el" TargetMode="External"/><Relationship Id="rId3" Type="http://schemas.openxmlformats.org/officeDocument/2006/relationships/hyperlink" Target="https://eur-lex.europa.eu/legal-content/EL/TXT/?uri=CELEX:62017CJ0623" TargetMode="External"/><Relationship Id="rId7" Type="http://schemas.openxmlformats.org/officeDocument/2006/relationships/hyperlink" Target="https://edpb.europa.eu/our-work-tools/public-consultations-art-704/2020/recommendations-012020-measures-supplement-transfer_el" TargetMode="External"/><Relationship Id="rId2" Type="http://schemas.openxmlformats.org/officeDocument/2006/relationships/hyperlink" Target="https://eur-lex.europa.eu/legal-content/EL/TXT/?uri=CELEX:62014CJ0362" TargetMode="External"/><Relationship Id="rId1" Type="http://schemas.openxmlformats.org/officeDocument/2006/relationships/hyperlink" Target="https://eur-lex.europa.eu/legal-content/EL/TXT/?uri=CELEX:62018CA0311" TargetMode="External"/><Relationship Id="rId6" Type="http://schemas.openxmlformats.org/officeDocument/2006/relationships/hyperlink" Target="https://eur-lex.europa.eu/legal-content/EL/TXT/?uri=CELEX:32016R0679" TargetMode="External"/><Relationship Id="rId5" Type="http://schemas.openxmlformats.org/officeDocument/2006/relationships/hyperlink" Target="https://www.europarl.europa.eu/doceo/document/TA-8-2018-0433_EL.html" TargetMode="External"/><Relationship Id="rId4" Type="http://schemas.openxmlformats.org/officeDocument/2006/relationships/hyperlink" Target="https://www.europarl.europa.eu/doceo/document/TA-8-2018-0315_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B371-104D-483E-847B-BA6242B1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9583</Characters>
  <Application>Microsoft Office Word</Application>
  <DocSecurity>0</DocSecurity>
  <Lines>180</Lines>
  <Paragraphs>65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KOUTI Maria</cp:lastModifiedBy>
  <cp:revision>2</cp:revision>
  <cp:lastPrinted>2004-11-19T15:55:00Z</cp:lastPrinted>
  <dcterms:created xsi:type="dcterms:W3CDTF">2021-01-29T10:32:00Z</dcterms:created>
  <dcterms:modified xsi:type="dcterms:W3CDTF">2021-01-29T10:32:00Z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RE\1222135EL.docx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EL</vt:lpwstr>
  </property>
  <property fmtid="{D5CDD505-2E9C-101B-9397-08002B2CF9AE}" pid="14" name="Bookout">
    <vt:lpwstr>OK - 2021/01/29 12:32</vt:lpwstr>
  </property>
</Properties>
</file>