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DC47BD" w14:paraId="5A95D407" w14:textId="77777777" w:rsidTr="00C85D0F">
        <w:trPr>
          <w:trHeight w:hRule="exact" w:val="1418"/>
        </w:trPr>
        <w:tc>
          <w:tcPr>
            <w:tcW w:w="6804" w:type="dxa"/>
            <w:shd w:val="clear" w:color="auto" w:fill="auto"/>
            <w:vAlign w:val="center"/>
          </w:tcPr>
          <w:p w14:paraId="702AD9E4" w14:textId="77777777" w:rsidR="008F5EFB" w:rsidRPr="00DC47BD" w:rsidRDefault="00F510C8" w:rsidP="00C85D0F">
            <w:pPr>
              <w:pStyle w:val="EPName"/>
            </w:pPr>
            <w:r w:rsidRPr="00DC47BD">
              <w:t>Europa-Parlamentet</w:t>
            </w:r>
          </w:p>
          <w:p w14:paraId="36F604D4" w14:textId="77777777" w:rsidR="008F5EFB" w:rsidRPr="00DC47BD" w:rsidRDefault="003A76FC" w:rsidP="003A76FC">
            <w:pPr>
              <w:pStyle w:val="EPTerm"/>
            </w:pPr>
            <w:r w:rsidRPr="00DC47BD">
              <w:t>2019-2024</w:t>
            </w:r>
          </w:p>
        </w:tc>
        <w:tc>
          <w:tcPr>
            <w:tcW w:w="2268" w:type="dxa"/>
            <w:shd w:val="clear" w:color="auto" w:fill="auto"/>
          </w:tcPr>
          <w:p w14:paraId="1723FC61" w14:textId="77777777" w:rsidR="008F5EFB" w:rsidRPr="00DC47BD" w:rsidRDefault="008F5EFB" w:rsidP="00C85D0F">
            <w:pPr>
              <w:pStyle w:val="EPLogo"/>
            </w:pPr>
            <w:r w:rsidRPr="00DC47BD">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DC47BD" w:rsidRDefault="00E53167" w:rsidP="00E53167">
      <w:pPr>
        <w:pStyle w:val="LineTop"/>
      </w:pPr>
    </w:p>
    <w:p w14:paraId="69AFB50C" w14:textId="77777777" w:rsidR="00E53167" w:rsidRPr="00DC47BD" w:rsidRDefault="003A76FC" w:rsidP="00E53167">
      <w:pPr>
        <w:pStyle w:val="EPBody"/>
      </w:pPr>
      <w:r w:rsidRPr="00DC47BD">
        <w:rPr>
          <w:rStyle w:val="HideTWBInt"/>
        </w:rPr>
        <w:t>{LIBE}</w:t>
      </w:r>
      <w:r w:rsidRPr="00DC47BD">
        <w:t>Udvalget om Borgernes Rettigheder og Retlige og Indre Anliggender</w:t>
      </w:r>
    </w:p>
    <w:p w14:paraId="14C16DCC" w14:textId="77777777" w:rsidR="00094DDA" w:rsidRPr="00DC47BD" w:rsidRDefault="00094DDA" w:rsidP="00094DDA">
      <w:pPr>
        <w:pStyle w:val="LineBottom"/>
      </w:pPr>
    </w:p>
    <w:p w14:paraId="5B9DD5D1" w14:textId="77777777" w:rsidR="00094DDA" w:rsidRPr="00DC47BD" w:rsidRDefault="00094DDA" w:rsidP="00094DDA">
      <w:pPr>
        <w:pStyle w:val="CoverReference"/>
      </w:pPr>
      <w:r w:rsidRPr="00DC47BD">
        <w:rPr>
          <w:rStyle w:val="HideTWBExt"/>
          <w:b w:val="0"/>
          <w:noProof w:val="0"/>
        </w:rPr>
        <w:t>&lt;NoDocSe&gt;</w:t>
      </w:r>
      <w:r w:rsidRPr="00DC47BD">
        <w:t>2020/2789(RSP)</w:t>
      </w:r>
      <w:r w:rsidRPr="00DC47BD">
        <w:rPr>
          <w:rStyle w:val="HideTWBExt"/>
          <w:b w:val="0"/>
          <w:noProof w:val="0"/>
        </w:rPr>
        <w:t>&lt;/NoDocSe&gt;</w:t>
      </w:r>
    </w:p>
    <w:p w14:paraId="5120A14B" w14:textId="77777777" w:rsidR="00094DDA" w:rsidRPr="00DC47BD" w:rsidRDefault="00094DDA" w:rsidP="00094DDA">
      <w:pPr>
        <w:pStyle w:val="CoverDate"/>
      </w:pPr>
      <w:r w:rsidRPr="00DC47BD">
        <w:rPr>
          <w:rStyle w:val="HideTWBExt"/>
          <w:noProof w:val="0"/>
        </w:rPr>
        <w:t>&lt;Date&gt;</w:t>
      </w:r>
      <w:r w:rsidRPr="00DC47BD">
        <w:rPr>
          <w:rStyle w:val="HideTWBInt"/>
        </w:rPr>
        <w:t>{13/01/2021}</w:t>
      </w:r>
      <w:r w:rsidRPr="00DC47BD">
        <w:t>13.1.2021</w:t>
      </w:r>
      <w:r w:rsidRPr="00DC47BD">
        <w:rPr>
          <w:rStyle w:val="HideTWBExt"/>
          <w:noProof w:val="0"/>
        </w:rPr>
        <w:t>&lt;/Date&gt;</w:t>
      </w:r>
    </w:p>
    <w:p w14:paraId="6BD8A970" w14:textId="77777777" w:rsidR="00814BC6" w:rsidRPr="00DC47BD" w:rsidRDefault="00814BC6">
      <w:pPr>
        <w:pStyle w:val="CoverDocType24a"/>
      </w:pPr>
      <w:r w:rsidRPr="00DC47BD">
        <w:rPr>
          <w:rStyle w:val="HideTWBExt"/>
          <w:b w:val="0"/>
          <w:noProof w:val="0"/>
        </w:rPr>
        <w:t>&lt;TitreType&gt;</w:t>
      </w:r>
      <w:r w:rsidRPr="00DC47BD">
        <w:t>UDKAST TIL FORSLAG TIL BESLUTNING</w:t>
      </w:r>
      <w:r w:rsidRPr="00DC47BD">
        <w:rPr>
          <w:rStyle w:val="HideTWBExt"/>
          <w:b w:val="0"/>
          <w:noProof w:val="0"/>
        </w:rPr>
        <w:t>&lt;/TitreType&gt;</w:t>
      </w:r>
    </w:p>
    <w:p w14:paraId="71E91CCE" w14:textId="77777777" w:rsidR="00814BC6" w:rsidRPr="00DC47BD" w:rsidRDefault="00814BC6">
      <w:pPr>
        <w:pStyle w:val="CoverNormal12a"/>
      </w:pPr>
      <w:r w:rsidRPr="00DC47BD">
        <w:rPr>
          <w:rStyle w:val="HideTWBExt"/>
          <w:noProof w:val="0"/>
        </w:rPr>
        <w:t>&lt;TitreSuite&gt;</w:t>
      </w:r>
      <w:r w:rsidRPr="00DC47BD">
        <w:t>på baggrund af Kommissionens redegørelse</w:t>
      </w:r>
      <w:r w:rsidRPr="00DC47BD">
        <w:rPr>
          <w:rStyle w:val="HideTWBExt"/>
          <w:noProof w:val="0"/>
        </w:rPr>
        <w:t>&lt;/TitreSuite&gt;</w:t>
      </w:r>
    </w:p>
    <w:p w14:paraId="1702F310" w14:textId="77777777" w:rsidR="00814BC6" w:rsidRPr="00DC47BD" w:rsidRDefault="00814BC6">
      <w:pPr>
        <w:pStyle w:val="CoverNormal12a"/>
      </w:pPr>
      <w:r w:rsidRPr="00DC47BD">
        <w:rPr>
          <w:rStyle w:val="HideTWBExt"/>
          <w:noProof w:val="0"/>
        </w:rPr>
        <w:t>&lt;TitreRecueil&gt;</w:t>
      </w:r>
      <w:r w:rsidRPr="00DC47BD">
        <w:t>jf. forretningsordenens artikel 132, stk. 2</w:t>
      </w:r>
      <w:r w:rsidRPr="00DC47BD">
        <w:rPr>
          <w:rStyle w:val="HideTWBExt"/>
          <w:noProof w:val="0"/>
        </w:rPr>
        <w:t>&lt;/TitreRecueil&gt;</w:t>
      </w:r>
    </w:p>
    <w:p w14:paraId="673379C3" w14:textId="453B0284" w:rsidR="00C23264" w:rsidRPr="00DC47BD" w:rsidRDefault="00C23264" w:rsidP="00C23264">
      <w:pPr>
        <w:pStyle w:val="CoverNormal"/>
      </w:pPr>
      <w:r w:rsidRPr="00DC47BD">
        <w:rPr>
          <w:rStyle w:val="HideTWBExt"/>
          <w:noProof w:val="0"/>
        </w:rPr>
        <w:t>&lt;Titre&gt;</w:t>
      </w:r>
      <w:r w:rsidRPr="00DC47BD">
        <w:t>om Domstolens dom af 16. juli 2020 – Data Protection Commissioner mod Facebook Ireland Limited, Maximillian Schrems ("Schrems II") – sag C-311/18</w:t>
      </w:r>
      <w:r w:rsidRPr="00DC47BD">
        <w:rPr>
          <w:rStyle w:val="HideTWBExt"/>
          <w:noProof w:val="0"/>
        </w:rPr>
        <w:t>&lt;/Titre&gt;</w:t>
      </w:r>
    </w:p>
    <w:p w14:paraId="3CD31C96" w14:textId="77777777" w:rsidR="00C23264" w:rsidRPr="00DC47BD" w:rsidRDefault="00C23264" w:rsidP="00C23264">
      <w:pPr>
        <w:pStyle w:val="CoverNormal24a"/>
      </w:pPr>
      <w:r w:rsidRPr="00DC47BD">
        <w:rPr>
          <w:rStyle w:val="HideTWBExt"/>
          <w:noProof w:val="0"/>
        </w:rPr>
        <w:t>&lt;DocRef&gt;</w:t>
      </w:r>
      <w:r w:rsidRPr="00DC47BD">
        <w:t>(2020/2789(RSP))</w:t>
      </w:r>
      <w:r w:rsidRPr="00DC47BD">
        <w:rPr>
          <w:rStyle w:val="HideTWBExt"/>
          <w:noProof w:val="0"/>
        </w:rPr>
        <w:t>&lt;/DocRef&gt;</w:t>
      </w:r>
    </w:p>
    <w:p w14:paraId="09FC6BCE" w14:textId="77777777" w:rsidR="002574AA" w:rsidRPr="00DC47BD" w:rsidRDefault="002574AA" w:rsidP="002574AA">
      <w:pPr>
        <w:pStyle w:val="CoverBold"/>
      </w:pPr>
      <w:r w:rsidRPr="00DC47BD">
        <w:rPr>
          <w:rStyle w:val="HideTWBExt"/>
          <w:b w:val="0"/>
          <w:noProof w:val="0"/>
        </w:rPr>
        <w:t>&lt;RepeatBlock-By&gt;&lt;Depute&gt;</w:t>
      </w:r>
      <w:r w:rsidRPr="00DC47BD">
        <w:t>Juan Fernando López Aguilar</w:t>
      </w:r>
      <w:r w:rsidRPr="00DC47BD">
        <w:rPr>
          <w:rStyle w:val="HideTWBExt"/>
          <w:b w:val="0"/>
          <w:noProof w:val="0"/>
          <w:color w:val="auto"/>
        </w:rPr>
        <w:t>&lt;/Depute&gt;</w:t>
      </w:r>
    </w:p>
    <w:p w14:paraId="33C071FD" w14:textId="5B0044C3" w:rsidR="002574AA" w:rsidRPr="00DC47BD" w:rsidRDefault="002574AA" w:rsidP="002574AA">
      <w:pPr>
        <w:pStyle w:val="CoverNormal"/>
      </w:pPr>
      <w:r w:rsidRPr="00DC47BD">
        <w:rPr>
          <w:rStyle w:val="HideTWBExt"/>
          <w:noProof w:val="0"/>
        </w:rPr>
        <w:t>&lt;Commission&gt;</w:t>
      </w:r>
      <w:r w:rsidRPr="00DC47BD">
        <w:rPr>
          <w:rStyle w:val="HideTWBInt"/>
        </w:rPr>
        <w:t>{LIBE}</w:t>
      </w:r>
      <w:r w:rsidRPr="00DC47BD">
        <w:t>for Udvalget om Borgernes Rettigheder og Retlige og Indre Anliggender</w:t>
      </w:r>
      <w:r w:rsidRPr="00DC47BD">
        <w:rPr>
          <w:rStyle w:val="HideTWBExt"/>
          <w:noProof w:val="0"/>
        </w:rPr>
        <w:t>&lt;/Commission&gt;</w:t>
      </w:r>
    </w:p>
    <w:p w14:paraId="78E1BA91" w14:textId="77777777" w:rsidR="002574AA" w:rsidRPr="00DC47BD" w:rsidRDefault="002574AA" w:rsidP="002574AA">
      <w:pPr>
        <w:pStyle w:val="CoverNormal"/>
      </w:pPr>
      <w:r w:rsidRPr="00DC47BD">
        <w:rPr>
          <w:rStyle w:val="HideTWBExt"/>
          <w:noProof w:val="0"/>
        </w:rPr>
        <w:t>&lt;/RepeatBlock-By&gt;</w:t>
      </w:r>
    </w:p>
    <w:p w14:paraId="06BF4DB5" w14:textId="77777777" w:rsidR="00814BC6" w:rsidRPr="00DC47BD" w:rsidRDefault="00814BC6">
      <w:pPr>
        <w:pStyle w:val="NormalBold12a"/>
      </w:pPr>
      <w:r w:rsidRPr="00DC47BD">
        <w:br w:type="page"/>
      </w:r>
      <w:r w:rsidRPr="00DC47BD">
        <w:lastRenderedPageBreak/>
        <w:t>B9</w:t>
      </w:r>
      <w:r w:rsidRPr="00DC47BD">
        <w:noBreakHyphen/>
        <w:t>0000/2021</w:t>
      </w:r>
    </w:p>
    <w:p w14:paraId="7414C422" w14:textId="5E355FC9" w:rsidR="00C23264" w:rsidRPr="00DC47BD" w:rsidRDefault="001E1556" w:rsidP="00C23264">
      <w:pPr>
        <w:pStyle w:val="NormalBold"/>
      </w:pPr>
      <w:r w:rsidRPr="00DC47BD">
        <w:t>Europa-Parlamentets beslutning om Domstolens dom af 16. juli 2020 – Data Protection Commissioner mod Facebook Ireland Limited, Maximillian Schrems ("Schrems II") – sag C-311/18</w:t>
      </w:r>
    </w:p>
    <w:p w14:paraId="5BB55312" w14:textId="77777777" w:rsidR="00C23264" w:rsidRPr="00DC47BD" w:rsidRDefault="00F510C8" w:rsidP="00DF7943">
      <w:pPr>
        <w:pStyle w:val="NormalBold"/>
      </w:pPr>
      <w:r w:rsidRPr="00DC47BD">
        <w:t>(2020/2789(RSP))</w:t>
      </w:r>
    </w:p>
    <w:p w14:paraId="5640CA28" w14:textId="77777777" w:rsidR="00814BC6" w:rsidRPr="00DC47BD" w:rsidRDefault="00F510C8">
      <w:pPr>
        <w:pStyle w:val="EPComma"/>
      </w:pPr>
      <w:r w:rsidRPr="00DC47BD">
        <w:rPr>
          <w:i/>
        </w:rPr>
        <w:t>Europa-Parlamentet</w:t>
      </w:r>
      <w:r w:rsidRPr="00DC47BD">
        <w:t>,</w:t>
      </w:r>
    </w:p>
    <w:p w14:paraId="0E983A99" w14:textId="345AD13F" w:rsidR="00814BC6" w:rsidRPr="00DC47BD" w:rsidRDefault="00814BC6" w:rsidP="00DC47BD">
      <w:pPr>
        <w:pStyle w:val="NormalHanging12a"/>
      </w:pPr>
      <w:r w:rsidRPr="00DC47BD">
        <w:t>–</w:t>
      </w:r>
      <w:r w:rsidRPr="00DC47BD">
        <w:tab/>
        <w:t>der henviser til Den Europæiske Unions charter om grundlæggende rettigheder, særlig artikel 7, 8, 47 og 52,</w:t>
      </w:r>
    </w:p>
    <w:p w14:paraId="74E75821" w14:textId="2D5694F1" w:rsidR="001E1556" w:rsidRPr="00DC47BD" w:rsidRDefault="001E1556" w:rsidP="00DC47BD">
      <w:pPr>
        <w:widowControl/>
        <w:spacing w:after="240"/>
        <w:ind w:left="567" w:hanging="567"/>
      </w:pPr>
      <w:r w:rsidRPr="00DC47BD">
        <w:t>–</w:t>
      </w:r>
      <w:r w:rsidRPr="00DC47BD">
        <w:tab/>
        <w:t>der henviser til Domstolens dom af 16. juli 2020 i sag C-311/18, Data Protection Commissioner mod Facebook Ireland Limited og Maximillian Schrems</w:t>
      </w:r>
      <w:r w:rsidRPr="00DC47BD">
        <w:rPr>
          <w:vertAlign w:val="superscript"/>
        </w:rPr>
        <w:footnoteReference w:id="1"/>
      </w:r>
      <w:r w:rsidRPr="00DC47BD">
        <w:t xml:space="preserve"> ("Schrems II"),</w:t>
      </w:r>
    </w:p>
    <w:p w14:paraId="6126C222" w14:textId="77777777" w:rsidR="003A76FC" w:rsidRPr="00DC47BD" w:rsidRDefault="003A76FC" w:rsidP="00DC47BD">
      <w:pPr>
        <w:pStyle w:val="NormalHanging12a"/>
      </w:pPr>
      <w:r w:rsidRPr="00DC47BD">
        <w:t>–</w:t>
      </w:r>
      <w:r w:rsidRPr="00DC47BD">
        <w:tab/>
        <w:t>der henviser til Domstolens dom af 6. oktober 2015 i sag C-362/14, Maximillian Schrems mod Data Protection Commissioner</w:t>
      </w:r>
      <w:r w:rsidRPr="00DC47BD">
        <w:rPr>
          <w:vertAlign w:val="superscript"/>
        </w:rPr>
        <w:footnoteReference w:id="2"/>
      </w:r>
      <w:r w:rsidRPr="00DC47BD">
        <w:t xml:space="preserve"> ("Schrems I"),</w:t>
      </w:r>
    </w:p>
    <w:p w14:paraId="26F28811" w14:textId="77777777" w:rsidR="003A76FC" w:rsidRPr="00DC47BD" w:rsidRDefault="003A76FC" w:rsidP="00DC47BD">
      <w:pPr>
        <w:pStyle w:val="NormalHanging12a"/>
      </w:pPr>
      <w:r w:rsidRPr="00DC47BD">
        <w:t>–</w:t>
      </w:r>
      <w:r w:rsidRPr="00DC47BD">
        <w:tab/>
        <w:t xml:space="preserve">der henviser til Domstolens dom af 6. oktober 2020 i sag </w:t>
      </w:r>
      <w:bookmarkStart w:id="0" w:name="pagePrincipale"/>
      <w:bookmarkEnd w:id="0"/>
      <w:r w:rsidRPr="00DC47BD">
        <w:t>C</w:t>
      </w:r>
      <w:r w:rsidRPr="00DC47BD">
        <w:noBreakHyphen/>
        <w:t>623/17, Privacy International mod Secretary of State for Foreign and Commonwealth Affairs</w:t>
      </w:r>
      <w:r w:rsidRPr="00DC47BD">
        <w:rPr>
          <w:vertAlign w:val="superscript"/>
        </w:rPr>
        <w:footnoteReference w:id="3"/>
      </w:r>
      <w:r w:rsidRPr="00DC47BD">
        <w:t>,</w:t>
      </w:r>
    </w:p>
    <w:p w14:paraId="415AC0D4" w14:textId="77777777" w:rsidR="003A76FC" w:rsidRPr="00DC47BD" w:rsidRDefault="003A76FC" w:rsidP="00DC47BD">
      <w:pPr>
        <w:pStyle w:val="NormalHanging12a"/>
      </w:pPr>
      <w:r w:rsidRPr="00DC47BD">
        <w:t>–</w:t>
      </w:r>
      <w:r w:rsidRPr="00DC47BD">
        <w:tab/>
        <w:t>der henviser til sin beslutning af 5. juli 2018 om tilstrækkeligheden af den beskyttelse, der opnås ved hjælp af EU's og USA's værn om privatlivets fred</w:t>
      </w:r>
      <w:r w:rsidRPr="00DC47BD">
        <w:rPr>
          <w:vertAlign w:val="superscript"/>
        </w:rPr>
        <w:footnoteReference w:id="4"/>
      </w:r>
      <w:r w:rsidRPr="00DC47BD">
        <w:t xml:space="preserve">, </w:t>
      </w:r>
    </w:p>
    <w:p w14:paraId="51A457E3" w14:textId="77777777" w:rsidR="003A76FC" w:rsidRPr="00DC47BD" w:rsidRDefault="003A76FC" w:rsidP="00DC47BD">
      <w:pPr>
        <w:pStyle w:val="NormalHanging12a"/>
      </w:pPr>
      <w:r w:rsidRPr="00DC47BD">
        <w:t>–</w:t>
      </w:r>
      <w:r w:rsidRPr="00DC47BD">
        <w:tab/>
        <w:t>der henviser til sin beslutning af 25. oktober 2018 om Cambridge Analyticas anvendelse af Facebook-brugeres personlige oplysninger og indvirkningen på databeskyttelse</w:t>
      </w:r>
      <w:r w:rsidRPr="00DC47BD">
        <w:rPr>
          <w:vertAlign w:val="superscript"/>
        </w:rPr>
        <w:footnoteReference w:id="5"/>
      </w:r>
      <w:r w:rsidRPr="00DC47BD">
        <w:t xml:space="preserve">, </w:t>
      </w:r>
    </w:p>
    <w:p w14:paraId="28CC7542" w14:textId="77777777" w:rsidR="003A76FC" w:rsidRPr="00DC47BD" w:rsidRDefault="003A76FC" w:rsidP="00DC47BD">
      <w:pPr>
        <w:pStyle w:val="NormalHanging12a"/>
      </w:pPr>
      <w:r w:rsidRPr="00DC47BD">
        <w:t>–</w:t>
      </w:r>
      <w:r w:rsidRPr="00DC47BD">
        <w:tab/>
        <w:t>der henviser til sin beslutning af 23. november 2020 om revision af EU's handelspolitik</w:t>
      </w:r>
      <w:r w:rsidRPr="00DC47BD">
        <w:rPr>
          <w:vertAlign w:val="superscript"/>
        </w:rPr>
        <w:footnoteReference w:id="6"/>
      </w:r>
      <w:r w:rsidRPr="00DC47BD">
        <w:t xml:space="preserve">, </w:t>
      </w:r>
    </w:p>
    <w:p w14:paraId="46BB3DFE" w14:textId="77777777" w:rsidR="003A76FC" w:rsidRPr="00DC47BD" w:rsidRDefault="003A76FC" w:rsidP="00DC47BD">
      <w:pPr>
        <w:pStyle w:val="NormalHanging12a"/>
      </w:pPr>
      <w:r w:rsidRPr="00DC47BD">
        <w:t>–</w:t>
      </w:r>
      <w:r w:rsidRPr="00DC47BD">
        <w:tab/>
        <w:t>der henviser til forordning (EU) 2016/679, den generelle forordning om databeskyttelse (GDPR)</w:t>
      </w:r>
      <w:r w:rsidRPr="00DC47BD">
        <w:rPr>
          <w:vertAlign w:val="superscript"/>
        </w:rPr>
        <w:footnoteReference w:id="7"/>
      </w:r>
      <w:r w:rsidRPr="00DC47BD">
        <w:t xml:space="preserve">, </w:t>
      </w:r>
    </w:p>
    <w:p w14:paraId="18460B06" w14:textId="77777777" w:rsidR="003A76FC" w:rsidRPr="00DC47BD" w:rsidRDefault="003A76FC" w:rsidP="00DC47BD">
      <w:pPr>
        <w:pStyle w:val="NormalHanging12a"/>
      </w:pPr>
      <w:r w:rsidRPr="00DC47BD">
        <w:t>–</w:t>
      </w:r>
      <w:r w:rsidRPr="00DC47BD">
        <w:tab/>
        <w:t>der henviser til Det Europæiske Databeskyttelsesråds henstilling 01/2020 om foranstaltninger, der supplerer overførselsværktøjer for at sikre overholdelse af EU-niveauet for beskyttelse af personoplysninger, og 02/2020 om de europæiske væsentlige garantier for overvågningsforanstaltninger</w:t>
      </w:r>
      <w:r w:rsidRPr="00DC47BD">
        <w:rPr>
          <w:vertAlign w:val="superscript"/>
        </w:rPr>
        <w:footnoteReference w:id="8"/>
      </w:r>
      <w:r w:rsidRPr="00DC47BD">
        <w:t>,</w:t>
      </w:r>
    </w:p>
    <w:p w14:paraId="52219F2C" w14:textId="77777777" w:rsidR="00ED22B8" w:rsidRPr="00DC47BD" w:rsidRDefault="00ED22B8" w:rsidP="00DC47BD">
      <w:pPr>
        <w:pStyle w:val="NormalHanging12a"/>
      </w:pPr>
      <w:r w:rsidRPr="00DC47BD">
        <w:lastRenderedPageBreak/>
        <w:t>–</w:t>
      </w:r>
      <w:r w:rsidRPr="00DC47BD">
        <w:tab/>
        <w:t>der henviser til forretningsordenens artikel 132, stk. 2,</w:t>
      </w:r>
    </w:p>
    <w:p w14:paraId="6EE44B73" w14:textId="14A89C72" w:rsidR="00814BC6" w:rsidRPr="00DC47BD" w:rsidRDefault="001C31D8" w:rsidP="00DC47BD">
      <w:pPr>
        <w:pStyle w:val="NormalHanging12a"/>
        <w:ind w:hanging="566"/>
      </w:pPr>
      <w:r w:rsidRPr="00DC47BD">
        <w:t>A.</w:t>
      </w:r>
      <w:r w:rsidRPr="00DC47BD">
        <w:tab/>
        <w:t>der henviser til, at EU-Domstolen i "Schrems I"-dommen påpegede, at vilkårlig adgang for efterretningsmyndigheder til indholdet af elektronisk kommunikation er i strid med kernen i retten til kommunikationshemmelighed som fastsat i chartrets artikel 7;</w:t>
      </w:r>
    </w:p>
    <w:p w14:paraId="472F6D45" w14:textId="54928942" w:rsidR="00250718" w:rsidRPr="00DC47BD" w:rsidRDefault="001C31D8" w:rsidP="00DC47BD">
      <w:pPr>
        <w:pStyle w:val="NormalHanging12a"/>
        <w:ind w:hanging="566"/>
      </w:pPr>
      <w:r w:rsidRPr="00DC47BD">
        <w:t>B.</w:t>
      </w:r>
      <w:r w:rsidRPr="00DC47BD">
        <w:tab/>
        <w:t>der henviser til, at Domstolen i "Schrems II"-dommen påpegede, at USA ikke giver ikke-amerikanske personer tilstrækkelige retsmidler mod masseovervågningen, og at dette er i strid med kernen i retten til retsmidler som fastsat i chartrets artikel 47;</w:t>
      </w:r>
    </w:p>
    <w:p w14:paraId="017FB887" w14:textId="464EB56A" w:rsidR="00250718" w:rsidRPr="00DC47BD" w:rsidRDefault="001C31D8" w:rsidP="00DC47BD">
      <w:pPr>
        <w:pStyle w:val="NormalHanging12a"/>
        <w:ind w:hanging="566"/>
      </w:pPr>
      <w:r w:rsidRPr="00DC47BD">
        <w:t>C.</w:t>
      </w:r>
      <w:r w:rsidRPr="00DC47BD">
        <w:tab/>
        <w:t>der henviser til, at Europa-Parlamentet allerede i sin beslutning af 25. oktober 2018 havde opfordret Kommissionen til at suspendere værnet om privatlivets fred;</w:t>
      </w:r>
    </w:p>
    <w:p w14:paraId="1BD6B8F6" w14:textId="77777777" w:rsidR="00250718" w:rsidRPr="00DC47BD" w:rsidRDefault="00250718" w:rsidP="00DC47BD">
      <w:pPr>
        <w:pStyle w:val="NormalHanging12a"/>
        <w:ind w:left="1" w:firstLine="0"/>
      </w:pPr>
      <w:r w:rsidRPr="00DC47BD">
        <w:rPr>
          <w:b/>
          <w:bCs/>
          <w:i/>
          <w:iCs/>
        </w:rPr>
        <w:t>GENERELLE BEMÆRKNINGER</w:t>
      </w:r>
    </w:p>
    <w:p w14:paraId="17826566" w14:textId="7E560143" w:rsidR="00814BC6" w:rsidRPr="00DC47BD" w:rsidRDefault="001C31D8" w:rsidP="00DC47BD">
      <w:pPr>
        <w:pStyle w:val="NormalHanging12a"/>
        <w:ind w:hanging="566"/>
      </w:pPr>
      <w:r w:rsidRPr="00DC47BD">
        <w:t>1.</w:t>
      </w:r>
      <w:r w:rsidRPr="00DC47BD">
        <w:tab/>
        <w:t>noterer sig Domstolens dom af 16. juli 2020, hvori Domstolen stadfæstede gyldigheden af afgørelse 2010/87 om standardkontraktbestemmelser, idet den anså dem for at være en effektiv mekanisme til at sikre overholdelse af det beskyttelsesniveau, der er fastsat i EU-retten; bemærker endvidere, at Domstolen fastslog, at Kommissionens afgørelse 2016/1250 om tilstrækkeligheden af den beskyttelse, der opnås ved hjælp af EU’s og USA’s værn om privatlivets fred, er ugyldig;</w:t>
      </w:r>
    </w:p>
    <w:p w14:paraId="0078C998" w14:textId="153BE441" w:rsidR="00A462B1" w:rsidRPr="00DC47BD" w:rsidRDefault="001C31D8" w:rsidP="00DC47BD">
      <w:pPr>
        <w:pStyle w:val="NormalHanging12a"/>
        <w:ind w:hanging="566"/>
      </w:pPr>
      <w:r w:rsidRPr="00DC47BD">
        <w:t>2.</w:t>
      </w:r>
      <w:r w:rsidRPr="00DC47BD">
        <w:tab/>
        <w:t>mener, at Domstolens dom har betydelige konsekvenser for afgørelser om tilstrækkeligheden af beskyttelsesniveauet vedrørende tredjelande; bekræfter på ny behovet for juridisk klarhed og retssikkerhed;</w:t>
      </w:r>
    </w:p>
    <w:p w14:paraId="34DA8BA6" w14:textId="4BA85E71" w:rsidR="00A462B1" w:rsidRPr="00DC47BD" w:rsidRDefault="001C31D8" w:rsidP="00DC47BD">
      <w:pPr>
        <w:pStyle w:val="NormalHanging12a"/>
        <w:ind w:hanging="566"/>
      </w:pPr>
      <w:r w:rsidRPr="00DC47BD">
        <w:t>3.</w:t>
      </w:r>
      <w:r w:rsidRPr="00DC47BD">
        <w:tab/>
        <w:t>er bekymret over, at den irske databeskyttelseskommissær indledte hele "Schrems II"-sagen i stedet for at træffe en afgørelse inden for rammerne af sine beføjelser i henhold til artikel 58 i GDPR; er dybt bekymret over, at flere sager om brud på GDPR indledt ved klager indgivet den 25. maj 2018 endnu ikke er blevet afgjort af den irske databeskyttelseskommissær, som er den ledende myndighed for disse sager; fordømmer på det kraftigste den irske databeskyttelsesmyndigheds forsøg på at vælte omkostningerne ved retssagen over på Maximilian Schrems, hvilket ville have skabt en massiv afskrækkende virkning; opfordrer Kommissionen til at indlede traktatbrudsprocedurer mod Irland for ikke at håndhæve GDPR ordentligt;</w:t>
      </w:r>
    </w:p>
    <w:p w14:paraId="1689259E" w14:textId="3740CA94" w:rsidR="00BF6571" w:rsidRPr="00DC47BD" w:rsidRDefault="001C31D8" w:rsidP="00DC47BD">
      <w:pPr>
        <w:pStyle w:val="NormalHanging12a"/>
        <w:ind w:hanging="566"/>
      </w:pPr>
      <w:r w:rsidRPr="00DC47BD">
        <w:t>4.</w:t>
      </w:r>
      <w:r w:rsidRPr="00DC47BD">
        <w:tab/>
        <w:t>opfordrer indtrængende Kommissionen til at offentliggøre yderligere vejledning om internationale dataoverførsler for virksomheder, navnlig for SMV'er, herunder om de yderligere garantier, der kræves for overførsler ved hjælp af standardkontraktbestemmelser;</w:t>
      </w:r>
    </w:p>
    <w:p w14:paraId="24D1A15F" w14:textId="202FFCBA" w:rsidR="00BF6571" w:rsidRPr="00DC47BD" w:rsidRDefault="00BF6571" w:rsidP="00DC47BD">
      <w:pPr>
        <w:pStyle w:val="NormalHanging12a"/>
        <w:ind w:left="1" w:firstLine="0"/>
      </w:pPr>
      <w:r w:rsidRPr="00DC47BD">
        <w:rPr>
          <w:b/>
          <w:i/>
        </w:rPr>
        <w:t>STANDARDKONTRAKTBESTEMMELSER</w:t>
      </w:r>
    </w:p>
    <w:p w14:paraId="50727A17" w14:textId="3317E88A" w:rsidR="00BF6571" w:rsidRPr="00DC47BD" w:rsidRDefault="001C31D8" w:rsidP="00DC47BD">
      <w:pPr>
        <w:pStyle w:val="NormalHanging12a"/>
        <w:ind w:hanging="566"/>
      </w:pPr>
      <w:r w:rsidRPr="00DC47BD">
        <w:t>5.</w:t>
      </w:r>
      <w:r w:rsidRPr="00DC47BD">
        <w:tab/>
        <w:t>noterer sig Kommissionens udkast til gennemførelsesafgørelse og udkast til standardkontraktbestemmelser; glæder sig over, at Kommissionen er ved at indhente feedback fra interessenter om dette udkast;</w:t>
      </w:r>
    </w:p>
    <w:p w14:paraId="51C87763" w14:textId="747E79E9" w:rsidR="00BF6571" w:rsidRPr="00DC47BD" w:rsidRDefault="001C31D8" w:rsidP="00DC47BD">
      <w:pPr>
        <w:pStyle w:val="NormalHanging12a"/>
        <w:ind w:hanging="566"/>
      </w:pPr>
      <w:r w:rsidRPr="00DC47BD">
        <w:lastRenderedPageBreak/>
        <w:t>6.</w:t>
      </w:r>
      <w:r w:rsidRPr="00DC47BD">
        <w:tab/>
        <w:t xml:space="preserve">noterer sig Det Europæiske Databeskyttelsesråds henstilling 01/2020 om foranstaltninger, der supplerer overførselsværktøjer for at sikre overholdelse af EU-niveauet for beskyttelse af personoplysninger; er bekymret over potentielle konflikter mellem denne henstilling og Kommissionens forslag til standardkontraktbestemmelser; er af den opfattelse, at der er behov for mere detaljerede retningslinjer fra Databeskyttelsesrådet; </w:t>
      </w:r>
    </w:p>
    <w:p w14:paraId="396927EB" w14:textId="23D07BC0" w:rsidR="00BF6571" w:rsidRPr="00DC47BD" w:rsidRDefault="001C31D8" w:rsidP="00DC47BD">
      <w:pPr>
        <w:pStyle w:val="NormalHanging12a"/>
        <w:ind w:hanging="566"/>
      </w:pPr>
      <w:r w:rsidRPr="00DC47BD">
        <w:t>7.</w:t>
      </w:r>
      <w:r w:rsidRPr="00DC47BD">
        <w:tab/>
        <w:t>mener, at det er afgørende, at EU-virksomheder anvender nogle solide mekanismer, der overholder Domstolens dom; mener i denne forbindelse, at Kommissionens nuværende forslag til en model for standardkontraktbestemmelser bør tage behørigt hensyn til alle relevante henstillinger; støtter en værktøjskasse med supplerende foranstaltninger, f.eks. sikkerhedscertificering og krypteringsgarantier, der accepteres af reguleringsmyndighederne;</w:t>
      </w:r>
    </w:p>
    <w:p w14:paraId="4334779F" w14:textId="32F02EF4" w:rsidR="00BF6571" w:rsidRPr="00DC47BD" w:rsidRDefault="001C31D8" w:rsidP="00DC47BD">
      <w:pPr>
        <w:pStyle w:val="NormalHanging12a"/>
        <w:ind w:hanging="566"/>
      </w:pPr>
      <w:r w:rsidRPr="00DC47BD">
        <w:t>8.</w:t>
      </w:r>
      <w:r w:rsidRPr="00DC47BD">
        <w:tab/>
        <w:t>påpeger, at det for dataansvarlige, der er omfattet af den amerikanske Foreign Intelligence Surveillance Act, ikke er muligt at overføre personoplysninger fra EU i henhold til disse standardkontraktbestemmelser på grund af den høje risiko for masseovervågning; kun en omfattende reform af overvågningspraksis i USA kan løse dette problem på en holdbar måde og skabe retssikkerhed for virksomhederne og de registrerede;</w:t>
      </w:r>
    </w:p>
    <w:p w14:paraId="39276751" w14:textId="70DCCAE0" w:rsidR="00BF6571" w:rsidRPr="00DC47BD" w:rsidRDefault="001C31D8" w:rsidP="00DC47BD">
      <w:pPr>
        <w:pStyle w:val="NormalHanging12a"/>
        <w:ind w:hanging="566"/>
      </w:pPr>
      <w:r w:rsidRPr="00DC47BD">
        <w:t>9.</w:t>
      </w:r>
      <w:r w:rsidRPr="00DC47BD">
        <w:tab/>
        <w:t>minder om, at et stort antal SMV'er gør brug af standardkontraktbestemmelser; understreger, at virksomheder og SMV'er har et presserende behov for klare retningslinjer og bistand i forbindelse med anvendelsen og fortolkningen af Domstolens dom;</w:t>
      </w:r>
    </w:p>
    <w:p w14:paraId="73B6FF38" w14:textId="3F7C1FC2" w:rsidR="00BF6571" w:rsidRPr="00DC47BD" w:rsidRDefault="001C31D8" w:rsidP="00DC47BD">
      <w:pPr>
        <w:pStyle w:val="NormalHanging12a"/>
        <w:ind w:hanging="566"/>
      </w:pPr>
      <w:r w:rsidRPr="00DC47BD">
        <w:t>10.</w:t>
      </w:r>
      <w:r w:rsidRPr="00DC47BD">
        <w:tab/>
        <w:t>fremhæver, at de europæiske SMV'er har en begrænset forhandlingsstyrke og rets- og handleevne og gennem bemyndigelsen til selv at foretage vurderinger af tilstrækkeligheden af beskyttelsesniveauet i tredjelande forventes at fastlægge de komplekse retlige rammer i forskellige tredjelande; opfordrer indtrængende Kommissionen og Databeskyttelsesrådet til grundigt at undersøge nødvendigheden og gennemførligheden af alle krævede supplerende foranstaltninger, navnlig for SMV'er;</w:t>
      </w:r>
    </w:p>
    <w:p w14:paraId="7E0D5CA8" w14:textId="231D8B77" w:rsidR="00BF6571" w:rsidRPr="00DC47BD" w:rsidRDefault="001C31D8" w:rsidP="00DC47BD">
      <w:pPr>
        <w:pStyle w:val="NormalHanging12a"/>
        <w:ind w:hanging="566"/>
      </w:pPr>
      <w:r w:rsidRPr="00DC47BD">
        <w:t>11.</w:t>
      </w:r>
      <w:r w:rsidRPr="00DC47BD">
        <w:tab/>
        <w:t>opfordrer indtrængende de nationale tilsynsmyndigheder til at gøre brug af deres respektive beføjelser som omhandlet i artikel 3 i udkastet til gennemførelsesafgørelse og i henhold til artikel 58 i GDPR i sådanne tilfælde;</w:t>
      </w:r>
    </w:p>
    <w:p w14:paraId="09D6268F" w14:textId="528C5193" w:rsidR="00BF6571" w:rsidRPr="00DC47BD" w:rsidRDefault="00BF6571" w:rsidP="00DC47BD">
      <w:pPr>
        <w:pStyle w:val="NormalHanging12a"/>
        <w:ind w:left="1" w:firstLine="0"/>
      </w:pPr>
      <w:r w:rsidRPr="00DC47BD">
        <w:rPr>
          <w:b/>
          <w:i/>
        </w:rPr>
        <w:t>VÆRN OM PRIVATLIVETS FRED</w:t>
      </w:r>
    </w:p>
    <w:p w14:paraId="038B72A1" w14:textId="36CA07D9" w:rsidR="00BF6571" w:rsidRPr="00DC47BD" w:rsidRDefault="001C31D8" w:rsidP="00DC47BD">
      <w:pPr>
        <w:pStyle w:val="NormalHanging12a"/>
        <w:ind w:hanging="566"/>
      </w:pPr>
      <w:r w:rsidRPr="00DC47BD">
        <w:t>12.</w:t>
      </w:r>
      <w:r w:rsidRPr="00DC47BD">
        <w:tab/>
        <w:t>bemærker, at Domstolen på trods af forbedringer af værnet om privatlivets fred i forhold til safe harbour-ordningen fandt, at EU's og USA's værn om privatlivets fred ikke garanterer et beskyttelsesniveau, der i det væsentlige svarer til det, der er fastsat i GDPR og EU's charter, og derfor er tilstrækkeligt, navnlig på grund af de betingelser, der er indført med hensyn til amerikanske offentlige myndigheders adgang til personoplysninger, der overføres under værnet om privatlivets fred, og manglen på rettigheder for registrerede i EU, som kan håndhæves over for de amerikanske myndigheder ved domstolene;</w:t>
      </w:r>
    </w:p>
    <w:p w14:paraId="26CF2723" w14:textId="7D5FB3CE" w:rsidR="00BF6571" w:rsidRPr="00DC47BD" w:rsidRDefault="001C31D8" w:rsidP="00DC47BD">
      <w:pPr>
        <w:pStyle w:val="NormalHanging12a"/>
        <w:ind w:hanging="566"/>
      </w:pPr>
      <w:r w:rsidRPr="00DC47BD">
        <w:t>13.</w:t>
      </w:r>
      <w:r w:rsidRPr="00DC47BD">
        <w:tab/>
        <w:t xml:space="preserve">minder om Parlamentets beslutning fra 2018 om værnet om privatlivets fred, hvori Parlamentet understregede risikoen for, at Domstolen erklærede værnet om privatlivets </w:t>
      </w:r>
      <w:r w:rsidRPr="00DC47BD">
        <w:lastRenderedPageBreak/>
        <w:t>fred for ugyldigt;</w:t>
      </w:r>
    </w:p>
    <w:p w14:paraId="7FF8DF33" w14:textId="0C61E4F7" w:rsidR="00BF6571" w:rsidRPr="00DC47BD" w:rsidRDefault="00BF6571" w:rsidP="00DC47BD">
      <w:pPr>
        <w:pStyle w:val="NormalHanging12a"/>
        <w:keepNext/>
        <w:keepLines/>
        <w:ind w:left="0" w:firstLine="0"/>
      </w:pPr>
      <w:r w:rsidRPr="00DC47BD">
        <w:rPr>
          <w:b/>
          <w:i/>
        </w:rPr>
        <w:t>MASSEOVERVÅGNING OG RETLIG RAMME</w:t>
      </w:r>
    </w:p>
    <w:p w14:paraId="5CEDF62D" w14:textId="3A8437DC" w:rsidR="00BF6571" w:rsidRPr="00DC47BD" w:rsidRDefault="001C31D8" w:rsidP="00DC47BD">
      <w:pPr>
        <w:pStyle w:val="NormalHanging12a"/>
        <w:ind w:hanging="566"/>
      </w:pPr>
      <w:r w:rsidRPr="00DC47BD">
        <w:t>14.</w:t>
      </w:r>
      <w:r w:rsidRPr="00DC47BD">
        <w:tab/>
        <w:t>opfordrer Kommissionen til fortsat at holde øje med anvendelsen af masseovervågningsteknologier i Det Forenede Kongerige;</w:t>
      </w:r>
    </w:p>
    <w:p w14:paraId="5DCAA0DA" w14:textId="26197AAE" w:rsidR="00BF6571" w:rsidRPr="00DC47BD" w:rsidRDefault="001C31D8" w:rsidP="00DC47BD">
      <w:pPr>
        <w:pStyle w:val="NormalHanging12a"/>
        <w:ind w:hanging="566"/>
      </w:pPr>
      <w:r w:rsidRPr="00DC47BD">
        <w:t>15.</w:t>
      </w:r>
      <w:r w:rsidRPr="00DC47BD">
        <w:tab/>
        <w:t>påpeger, at hverken California Consumer Privacy Act i USA eller nogen af de føderale forslag indtil videre opfylder kravene i GDPR om et tilstrækkeligt beskyttelsesniveau; opfordrer den amerikanske føderale lovgiver til at vedtage en stærk, omfattende føderal lov om databeskyttelse og beskyttelse af privatlivets fred på nationalt plan, som opfylder disse krav;</w:t>
      </w:r>
    </w:p>
    <w:p w14:paraId="60391FF9" w14:textId="5507C4E5" w:rsidR="00BF6571" w:rsidRPr="00DC47BD" w:rsidRDefault="001C31D8" w:rsidP="00DC47BD">
      <w:pPr>
        <w:pStyle w:val="NormalHanging12a"/>
        <w:ind w:hanging="566"/>
      </w:pPr>
      <w:r w:rsidRPr="00DC47BD">
        <w:t>16.</w:t>
      </w:r>
      <w:r w:rsidRPr="00DC47BD">
        <w:tab/>
        <w:t>påpeger, at en sådan lovgivning om forbrugerbeskyttelse og beskyttelse af privatlivets fred ikke i sig selv vil løse de grundlæggende problemer, som Domstolen har konstateret vedrørende amerikanske efterretningstjenesters masseovervågning og utilstrækkelig adgang til retsmidler; opfordrer den amerikanske føderale lovgiver til at genoverveje ændringer af section 702 i FISA, Executive Order 12333 og Presidential Policy Directive 28, navnlig med hensyn til at give samme beskyttelsesniveau for EU-borgere og amerikanske borgere;</w:t>
      </w:r>
    </w:p>
    <w:p w14:paraId="39D79FD9" w14:textId="4D78380C" w:rsidR="00BF6571" w:rsidRPr="00DC47BD" w:rsidRDefault="00BF6571" w:rsidP="00DC47BD">
      <w:pPr>
        <w:pStyle w:val="NormalHanging12a"/>
        <w:ind w:left="1" w:firstLine="0"/>
      </w:pPr>
      <w:r w:rsidRPr="00DC47BD">
        <w:rPr>
          <w:b/>
          <w:i/>
        </w:rPr>
        <w:t>AFGØRELSER OM TILSTRÆKKELIGHEDEN AF BESKYTTELSESNIVEAUET</w:t>
      </w:r>
    </w:p>
    <w:p w14:paraId="00A43691" w14:textId="4893C986" w:rsidR="00BF6571" w:rsidRPr="00DC47BD" w:rsidRDefault="001C31D8" w:rsidP="00DC47BD">
      <w:pPr>
        <w:pStyle w:val="NormalHanging12a"/>
        <w:ind w:hanging="566"/>
      </w:pPr>
      <w:r w:rsidRPr="00DC47BD">
        <w:t>17.</w:t>
      </w:r>
      <w:r w:rsidRPr="00DC47BD">
        <w:tab/>
        <w:t>opfordrer Kommissionen til at træffe alle nødvendige foranstaltninger for at sikre, at yderligere aftaler med USA fuldt ud er i overensstemmelse med forordning (EU) 2016/679, EU's charter og alle aspekter af Domstolens dom;</w:t>
      </w:r>
    </w:p>
    <w:p w14:paraId="5121FE11" w14:textId="5621A460" w:rsidR="00BF6571" w:rsidRPr="00DC47BD" w:rsidRDefault="001C31D8" w:rsidP="00DC47BD">
      <w:pPr>
        <w:pStyle w:val="NormalHanging12a"/>
        <w:ind w:hanging="566"/>
      </w:pPr>
      <w:r w:rsidRPr="00DC47BD">
        <w:t>18.</w:t>
      </w:r>
      <w:r w:rsidRPr="00DC47BD">
        <w:tab/>
        <w:t>minder om Kommissionens forpligtelse til at gennemgå alle afgørelser om tilstrækkeligheden af beskyttelsesniveauet, der er vedtaget i henhold til direktiv 95/46/EF, under anvendelse af konklusionerne i "Schrems I- og II"-dommene for at vurdere, om der er sikret et i det væsentlige tilsvarende beskyttelsesniveau;</w:t>
      </w:r>
    </w:p>
    <w:p w14:paraId="3ABA9745" w14:textId="3C48E7D7" w:rsidR="00BF6571" w:rsidRPr="00DC47BD" w:rsidRDefault="001C31D8" w:rsidP="00DC47BD">
      <w:pPr>
        <w:pStyle w:val="NormalHanging12a"/>
        <w:ind w:hanging="566"/>
      </w:pPr>
      <w:r w:rsidRPr="00DC47BD">
        <w:t>19.</w:t>
      </w:r>
      <w:r w:rsidRPr="00DC47BD">
        <w:tab/>
        <w:t>opfordrer Kommissionen til ikke at vedtage nogen ny afgørelse om tilstrækkeligheden af beskyttelsesniveauet i relation til USA, medmindre der indføres meningsfulde reformer af love og praksis vedrørende offentlige myndigheders adgang til oplysninger, navnlig af nationale sikkerhedshensyn og til efterretningsformål;</w:t>
      </w:r>
    </w:p>
    <w:p w14:paraId="4D5DE174" w14:textId="416E086C" w:rsidR="00BF6571" w:rsidRPr="00DC47BD" w:rsidRDefault="001C31D8" w:rsidP="00DC47BD">
      <w:pPr>
        <w:pStyle w:val="NormalHanging12a"/>
        <w:ind w:hanging="566"/>
      </w:pPr>
      <w:r w:rsidRPr="00DC47BD">
        <w:t>20.</w:t>
      </w:r>
      <w:r w:rsidRPr="00DC47BD">
        <w:tab/>
        <w:t>opfordrer Kommissionen til at offentliggøre en ajourført liste over de kriterier, den tager hensyn til ved vurderingen af, om et tredjeland opfylder betingelserne for en afgørelse om et tilstrækkeligt beskyttelsesniveau;</w:t>
      </w:r>
    </w:p>
    <w:p w14:paraId="332C3C2E" w14:textId="1E53F66D" w:rsidR="00BF6571" w:rsidRPr="00DC47BD" w:rsidRDefault="001C31D8" w:rsidP="00DC47BD">
      <w:pPr>
        <w:pStyle w:val="NormalHanging12a"/>
        <w:ind w:hanging="566"/>
      </w:pPr>
      <w:r w:rsidRPr="00DC47BD">
        <w:t>21.</w:t>
      </w:r>
      <w:r w:rsidRPr="00DC47BD">
        <w:tab/>
        <w:t>pålægger sin formand at sende denne beslutning til Kommissionen, Det Europæiske Råd, Rådet, Databeskyttelsesrådet og de nationale parlamenter.</w:t>
      </w:r>
    </w:p>
    <w:p w14:paraId="16216BDF" w14:textId="77777777" w:rsidR="00DC47BD" w:rsidRPr="00DC47BD" w:rsidRDefault="00DC47BD" w:rsidP="00DC47BD">
      <w:pPr>
        <w:pStyle w:val="NormalHanging12a"/>
        <w:ind w:hanging="566"/>
      </w:pPr>
      <w:bookmarkStart w:id="1" w:name="_GoBack"/>
      <w:bookmarkEnd w:id="1"/>
    </w:p>
    <w:sectPr w:rsidR="00DC47BD" w:rsidRPr="00DC47BD" w:rsidSect="0049368C">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49368C" w:rsidRDefault="00F510C8">
      <w:r w:rsidRPr="0049368C">
        <w:separator/>
      </w:r>
    </w:p>
  </w:endnote>
  <w:endnote w:type="continuationSeparator" w:id="0">
    <w:p w14:paraId="0DE703E5" w14:textId="77777777" w:rsidR="00F510C8" w:rsidRPr="0049368C" w:rsidRDefault="00F510C8">
      <w:r w:rsidRPr="004936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5C4A" w14:textId="2FFE0E50" w:rsidR="0049368C" w:rsidRPr="0049368C" w:rsidRDefault="0049368C" w:rsidP="0049368C">
    <w:pPr>
      <w:pStyle w:val="EPFooter"/>
    </w:pPr>
    <w:r w:rsidRPr="0049368C">
      <w:t>PE</w:t>
    </w:r>
    <w:r w:rsidRPr="0049368C">
      <w:rPr>
        <w:rStyle w:val="HideTWBExt"/>
        <w:noProof w:val="0"/>
      </w:rPr>
      <w:t>&lt;NoPE&gt;</w:t>
    </w:r>
    <w:r w:rsidRPr="0049368C">
      <w:t>663.216</w:t>
    </w:r>
    <w:r w:rsidRPr="0049368C">
      <w:rPr>
        <w:rStyle w:val="HideTWBExt"/>
        <w:noProof w:val="0"/>
      </w:rPr>
      <w:t>&lt;/NoPE&gt;&lt;Version&gt;</w:t>
    </w:r>
    <w:r w:rsidRPr="0049368C">
      <w:t>v01-00</w:t>
    </w:r>
    <w:r w:rsidRPr="0049368C">
      <w:rPr>
        <w:rStyle w:val="HideTWBExt"/>
        <w:noProof w:val="0"/>
      </w:rPr>
      <w:t>&lt;/Version&gt;</w:t>
    </w:r>
    <w:r w:rsidRPr="0049368C">
      <w:tab/>
    </w:r>
    <w:r w:rsidRPr="0049368C">
      <w:fldChar w:fldCharType="begin"/>
    </w:r>
    <w:r w:rsidRPr="0049368C">
      <w:instrText xml:space="preserve"> PAGE  \* MERGEFORMAT </w:instrText>
    </w:r>
    <w:r w:rsidRPr="0049368C">
      <w:fldChar w:fldCharType="separate"/>
    </w:r>
    <w:r w:rsidR="00DC47BD">
      <w:rPr>
        <w:noProof/>
      </w:rPr>
      <w:t>4</w:t>
    </w:r>
    <w:r w:rsidRPr="0049368C">
      <w:fldChar w:fldCharType="end"/>
    </w:r>
    <w:r w:rsidRPr="0049368C">
      <w:t>/</w:t>
    </w:r>
    <w:fldSimple w:instr=" NUMPAGES  \* MERGEFORMAT ">
      <w:r w:rsidR="00DC47BD">
        <w:rPr>
          <w:noProof/>
        </w:rPr>
        <w:t>5</w:t>
      </w:r>
    </w:fldSimple>
    <w:r w:rsidRPr="0049368C">
      <w:tab/>
    </w:r>
    <w:r w:rsidRPr="0049368C">
      <w:rPr>
        <w:rStyle w:val="HideTWBExt"/>
        <w:noProof w:val="0"/>
      </w:rPr>
      <w:t>&lt;PathFdR&gt;</w:t>
    </w:r>
    <w:r w:rsidRPr="0049368C">
      <w:t>RE\1222135DA.docx</w:t>
    </w:r>
    <w:r w:rsidRPr="0049368C">
      <w:rPr>
        <w:rStyle w:val="HideTWBExt"/>
        <w:noProof w:val="0"/>
      </w:rPr>
      <w:t>&lt;/PathFdR&gt;</w:t>
    </w:r>
  </w:p>
  <w:p w14:paraId="012744B5" w14:textId="221224FB" w:rsidR="00A90219" w:rsidRPr="0049368C" w:rsidRDefault="0049368C" w:rsidP="0049368C">
    <w:pPr>
      <w:pStyle w:val="EPFooter2"/>
    </w:pPr>
    <w:r w:rsidRPr="0049368C">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48C9" w14:textId="2061806E" w:rsidR="0049368C" w:rsidRPr="0049368C" w:rsidRDefault="0049368C" w:rsidP="0049368C">
    <w:pPr>
      <w:pStyle w:val="EPFooter"/>
    </w:pPr>
    <w:r w:rsidRPr="0049368C">
      <w:rPr>
        <w:rStyle w:val="HideTWBExt"/>
        <w:noProof w:val="0"/>
      </w:rPr>
      <w:t>&lt;PathFdR&gt;</w:t>
    </w:r>
    <w:r w:rsidRPr="0049368C">
      <w:t>RE\1222135DA.docx</w:t>
    </w:r>
    <w:r w:rsidRPr="0049368C">
      <w:rPr>
        <w:rStyle w:val="HideTWBExt"/>
        <w:noProof w:val="0"/>
      </w:rPr>
      <w:t>&lt;/PathFdR&gt;</w:t>
    </w:r>
    <w:r w:rsidRPr="0049368C">
      <w:tab/>
    </w:r>
    <w:r w:rsidRPr="0049368C">
      <w:fldChar w:fldCharType="begin"/>
    </w:r>
    <w:r w:rsidRPr="0049368C">
      <w:instrText xml:space="preserve"> PAGE  \* MERGEFORMAT </w:instrText>
    </w:r>
    <w:r w:rsidRPr="0049368C">
      <w:fldChar w:fldCharType="separate"/>
    </w:r>
    <w:r w:rsidR="00DC47BD">
      <w:rPr>
        <w:noProof/>
      </w:rPr>
      <w:t>5</w:t>
    </w:r>
    <w:r w:rsidRPr="0049368C">
      <w:fldChar w:fldCharType="end"/>
    </w:r>
    <w:r w:rsidRPr="0049368C">
      <w:t>/</w:t>
    </w:r>
    <w:fldSimple w:instr=" NUMPAGES  \* MERGEFORMAT ">
      <w:r w:rsidR="00DC47BD">
        <w:rPr>
          <w:noProof/>
        </w:rPr>
        <w:t>5</w:t>
      </w:r>
    </w:fldSimple>
    <w:r w:rsidRPr="0049368C">
      <w:tab/>
      <w:t>PE</w:t>
    </w:r>
    <w:r w:rsidRPr="0049368C">
      <w:rPr>
        <w:rStyle w:val="HideTWBExt"/>
        <w:noProof w:val="0"/>
      </w:rPr>
      <w:t>&lt;NoPE&gt;</w:t>
    </w:r>
    <w:r w:rsidRPr="0049368C">
      <w:t>663.216</w:t>
    </w:r>
    <w:r w:rsidRPr="0049368C">
      <w:rPr>
        <w:rStyle w:val="HideTWBExt"/>
        <w:noProof w:val="0"/>
      </w:rPr>
      <w:t>&lt;/NoPE&gt;&lt;Version&gt;</w:t>
    </w:r>
    <w:r w:rsidRPr="0049368C">
      <w:t>v01-00</w:t>
    </w:r>
    <w:r w:rsidRPr="0049368C">
      <w:rPr>
        <w:rStyle w:val="HideTWBExt"/>
        <w:noProof w:val="0"/>
      </w:rPr>
      <w:t>&lt;/Version&gt;</w:t>
    </w:r>
  </w:p>
  <w:p w14:paraId="200C4218" w14:textId="7627EF8B" w:rsidR="00A90219" w:rsidRPr="0049368C" w:rsidRDefault="0049368C" w:rsidP="0049368C">
    <w:pPr>
      <w:pStyle w:val="EPFooter2"/>
    </w:pPr>
    <w:r w:rsidRPr="0049368C">
      <w:tab/>
    </w:r>
    <w:r w:rsidRPr="0049368C">
      <w:tab/>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1DA8" w14:textId="77777777" w:rsidR="0049368C" w:rsidRPr="0049368C" w:rsidRDefault="0049368C" w:rsidP="0049368C">
    <w:pPr>
      <w:pStyle w:val="EPFooter"/>
    </w:pPr>
    <w:r w:rsidRPr="0049368C">
      <w:rPr>
        <w:rStyle w:val="HideTWBExt"/>
        <w:noProof w:val="0"/>
      </w:rPr>
      <w:t>&lt;PathFdR&gt;</w:t>
    </w:r>
    <w:r w:rsidRPr="0049368C">
      <w:t>RE\1222135DA.docx</w:t>
    </w:r>
    <w:r w:rsidRPr="0049368C">
      <w:rPr>
        <w:rStyle w:val="HideTWBExt"/>
        <w:noProof w:val="0"/>
      </w:rPr>
      <w:t>&lt;/PathFdR&gt;</w:t>
    </w:r>
    <w:r w:rsidRPr="0049368C">
      <w:tab/>
    </w:r>
    <w:r w:rsidRPr="0049368C">
      <w:tab/>
      <w:t>PE</w:t>
    </w:r>
    <w:r w:rsidRPr="0049368C">
      <w:rPr>
        <w:rStyle w:val="HideTWBExt"/>
        <w:noProof w:val="0"/>
      </w:rPr>
      <w:t>&lt;NoPE&gt;</w:t>
    </w:r>
    <w:r w:rsidRPr="0049368C">
      <w:t>663.216</w:t>
    </w:r>
    <w:r w:rsidRPr="0049368C">
      <w:rPr>
        <w:rStyle w:val="HideTWBExt"/>
        <w:noProof w:val="0"/>
      </w:rPr>
      <w:t>&lt;/NoPE&gt;&lt;Version&gt;</w:t>
    </w:r>
    <w:r w:rsidRPr="0049368C">
      <w:t>v01-00</w:t>
    </w:r>
    <w:r w:rsidRPr="0049368C">
      <w:rPr>
        <w:rStyle w:val="HideTWBExt"/>
        <w:noProof w:val="0"/>
      </w:rPr>
      <w:t>&lt;/Version&gt;</w:t>
    </w:r>
  </w:p>
  <w:p w14:paraId="7556990F" w14:textId="41AED1D1" w:rsidR="00A90219" w:rsidRPr="0049368C" w:rsidRDefault="0049368C" w:rsidP="0049368C">
    <w:pPr>
      <w:pStyle w:val="EPFooter2"/>
    </w:pPr>
    <w:r w:rsidRPr="0049368C">
      <w:t>DA</w:t>
    </w:r>
    <w:r w:rsidRPr="0049368C">
      <w:tab/>
    </w:r>
    <w:r w:rsidRPr="0049368C">
      <w:rPr>
        <w:b w:val="0"/>
        <w:i/>
        <w:color w:val="C0C0C0"/>
        <w:sz w:val="22"/>
      </w:rPr>
      <w:t>Forenet i mangfoldighed</w:t>
    </w:r>
    <w:r w:rsidRPr="0049368C">
      <w:tab/>
      <w:t>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49368C" w:rsidRDefault="00F510C8">
      <w:r w:rsidRPr="0049368C">
        <w:separator/>
      </w:r>
    </w:p>
  </w:footnote>
  <w:footnote w:type="continuationSeparator" w:id="0">
    <w:p w14:paraId="739DD931" w14:textId="77777777" w:rsidR="00F510C8" w:rsidRPr="0049368C" w:rsidRDefault="00F510C8">
      <w:r w:rsidRPr="0049368C">
        <w:continuationSeparator/>
      </w:r>
    </w:p>
  </w:footnote>
  <w:footnote w:id="1">
    <w:p w14:paraId="6D9CB35F" w14:textId="10973A97" w:rsidR="001E1556" w:rsidRPr="00D41BF7" w:rsidRDefault="001E1556" w:rsidP="00DC47BD">
      <w:pPr>
        <w:pStyle w:val="FootnoteText"/>
        <w:tabs>
          <w:tab w:val="left" w:pos="284"/>
        </w:tabs>
        <w:ind w:left="284" w:hanging="284"/>
        <w:rPr>
          <w:rFonts w:ascii="Times New Roman" w:hAnsi="Times New Roman" w:cs="Times New Roman"/>
        </w:rPr>
      </w:pPr>
      <w:r w:rsidRPr="00D41BF7">
        <w:rPr>
          <w:rStyle w:val="Funotenzeichen"/>
          <w:rFonts w:ascii="Times New Roman" w:hAnsi="Times New Roman" w:cs="Times New Roman"/>
          <w:vertAlign w:val="superscript"/>
        </w:rPr>
        <w:footnoteRef/>
      </w:r>
      <w:r w:rsidR="00D41BF7" w:rsidRPr="00D41BF7">
        <w:rPr>
          <w:rFonts w:ascii="Times New Roman" w:hAnsi="Times New Roman" w:cs="Times New Roman"/>
        </w:rPr>
        <w:tab/>
      </w:r>
      <w:hyperlink r:id="rId1" w:history="1">
        <w:hyperlink r:id="rId2" w:history="1">
          <w:r w:rsidRPr="00D41BF7">
            <w:rPr>
              <w:rStyle w:val="Hyperlink"/>
              <w:rFonts w:ascii="Times New Roman" w:hAnsi="Times New Roman" w:cs="Times New Roman"/>
            </w:rPr>
            <w:t>https://eur-lex.europa.eu/legal-content/DA/TXT/?uri=CELEX%3A62018CA0311&amp;qid=1610640279033</w:t>
          </w:r>
        </w:hyperlink>
      </w:hyperlink>
      <w:r w:rsidRPr="00D41BF7">
        <w:rPr>
          <w:rFonts w:ascii="Times New Roman" w:hAnsi="Times New Roman" w:cs="Times New Roman"/>
        </w:rPr>
        <w:t xml:space="preserve"> </w:t>
      </w:r>
    </w:p>
  </w:footnote>
  <w:footnote w:id="2">
    <w:p w14:paraId="547F0DAC" w14:textId="45666654" w:rsidR="003A76FC" w:rsidRPr="00D41BF7" w:rsidRDefault="003A76FC" w:rsidP="00DC47BD">
      <w:pPr>
        <w:pStyle w:val="FootnoteText"/>
        <w:tabs>
          <w:tab w:val="left" w:pos="284"/>
        </w:tabs>
        <w:ind w:left="284" w:hanging="284"/>
        <w:rPr>
          <w:rFonts w:ascii="Times New Roman" w:hAnsi="Times New Roman" w:cs="Times New Roman"/>
        </w:rPr>
      </w:pPr>
      <w:r w:rsidRPr="00D41BF7">
        <w:rPr>
          <w:rStyle w:val="FootnoteReference"/>
          <w:rFonts w:ascii="Times New Roman" w:hAnsi="Times New Roman" w:cs="Times New Roman"/>
        </w:rPr>
        <w:footnoteRef/>
      </w:r>
      <w:r w:rsidRPr="00D41BF7">
        <w:rPr>
          <w:rFonts w:ascii="Times New Roman" w:hAnsi="Times New Roman" w:cs="Times New Roman"/>
        </w:rPr>
        <w:t xml:space="preserve"> </w:t>
      </w:r>
      <w:r w:rsidRPr="00D41BF7">
        <w:rPr>
          <w:rFonts w:ascii="Times New Roman" w:hAnsi="Times New Roman" w:cs="Times New Roman"/>
        </w:rPr>
        <w:tab/>
      </w:r>
      <w:hyperlink r:id="rId3" w:history="1">
        <w:r w:rsidRPr="00D41BF7">
          <w:rPr>
            <w:rStyle w:val="Hyperlink"/>
            <w:rFonts w:ascii="Times New Roman" w:hAnsi="Times New Roman" w:cs="Times New Roman"/>
          </w:rPr>
          <w:t>https://eur-lex.europa.eu/legal-content/DA/TXT/?uri=CELEX%3A62014CJ0362</w:t>
        </w:r>
      </w:hyperlink>
      <w:r w:rsidRPr="00D41BF7">
        <w:rPr>
          <w:rFonts w:ascii="Times New Roman" w:hAnsi="Times New Roman" w:cs="Times New Roman"/>
        </w:rPr>
        <w:t xml:space="preserve"> </w:t>
      </w:r>
    </w:p>
  </w:footnote>
  <w:footnote w:id="3">
    <w:p w14:paraId="293C707A" w14:textId="0684AC97" w:rsidR="003A76FC" w:rsidRPr="00D41BF7" w:rsidRDefault="003A76FC" w:rsidP="00DC47BD">
      <w:pPr>
        <w:pStyle w:val="FootnoteText"/>
        <w:tabs>
          <w:tab w:val="left" w:pos="284"/>
        </w:tabs>
        <w:ind w:left="284" w:hanging="284"/>
        <w:rPr>
          <w:rFonts w:ascii="Times New Roman" w:hAnsi="Times New Roman" w:cs="Times New Roman"/>
        </w:rPr>
      </w:pPr>
      <w:r w:rsidRPr="00D41BF7">
        <w:rPr>
          <w:rStyle w:val="FootnoteReference"/>
          <w:rFonts w:ascii="Times New Roman" w:hAnsi="Times New Roman" w:cs="Times New Roman"/>
        </w:rPr>
        <w:footnoteRef/>
      </w:r>
      <w:r w:rsidRPr="00D41BF7">
        <w:rPr>
          <w:rFonts w:ascii="Times New Roman" w:hAnsi="Times New Roman" w:cs="Times New Roman"/>
        </w:rPr>
        <w:t xml:space="preserve"> </w:t>
      </w:r>
      <w:r w:rsidRPr="00D41BF7">
        <w:rPr>
          <w:rFonts w:ascii="Times New Roman" w:hAnsi="Times New Roman" w:cs="Times New Roman"/>
        </w:rPr>
        <w:tab/>
      </w:r>
      <w:hyperlink r:id="rId4" w:history="1">
        <w:r w:rsidRPr="00D41BF7">
          <w:rPr>
            <w:rStyle w:val="Hyperlink"/>
            <w:rFonts w:ascii="Times New Roman" w:hAnsi="Times New Roman" w:cs="Times New Roman"/>
          </w:rPr>
          <w:t>https://eur-lex.europa.eu/legal-content/DA/TXT/?uri=CELEX:62017CJ0623</w:t>
        </w:r>
      </w:hyperlink>
      <w:r w:rsidRPr="00D41BF7">
        <w:rPr>
          <w:rFonts w:ascii="Times New Roman" w:hAnsi="Times New Roman" w:cs="Times New Roman"/>
        </w:rPr>
        <w:t xml:space="preserve"> </w:t>
      </w:r>
    </w:p>
  </w:footnote>
  <w:footnote w:id="4">
    <w:p w14:paraId="0EB3CEDE" w14:textId="047FCAF2" w:rsidR="003A76FC" w:rsidRPr="00D41BF7" w:rsidRDefault="003A76FC" w:rsidP="00DC47BD">
      <w:pPr>
        <w:pStyle w:val="FootnoteText"/>
        <w:tabs>
          <w:tab w:val="left" w:pos="284"/>
        </w:tabs>
        <w:ind w:left="284" w:hanging="284"/>
        <w:rPr>
          <w:rFonts w:ascii="Times New Roman" w:hAnsi="Times New Roman" w:cs="Times New Roman"/>
        </w:rPr>
      </w:pPr>
      <w:r w:rsidRPr="00D41BF7">
        <w:rPr>
          <w:rFonts w:ascii="Times New Roman" w:hAnsi="Times New Roman" w:cs="Times New Roman"/>
          <w:vertAlign w:val="superscript"/>
        </w:rPr>
        <w:footnoteRef/>
      </w:r>
      <w:r w:rsidRPr="00D41BF7">
        <w:rPr>
          <w:rFonts w:ascii="Times New Roman" w:hAnsi="Times New Roman" w:cs="Times New Roman"/>
        </w:rPr>
        <w:tab/>
        <w:t xml:space="preserve">P8_TA(2018)0315, </w:t>
      </w:r>
      <w:hyperlink r:id="rId5" w:history="1">
        <w:r w:rsidRPr="00D41BF7">
          <w:rPr>
            <w:rFonts w:ascii="Times New Roman" w:hAnsi="Times New Roman" w:cs="Times New Roman"/>
          </w:rPr>
          <w:t>https://www.europarl.europa.eu/doceo/document/TA-8-2018-0315_DA.html</w:t>
        </w:r>
      </w:hyperlink>
      <w:r w:rsidRPr="00D41BF7">
        <w:rPr>
          <w:rFonts w:ascii="Times New Roman" w:hAnsi="Times New Roman" w:cs="Times New Roman"/>
        </w:rPr>
        <w:t xml:space="preserve"> </w:t>
      </w:r>
    </w:p>
  </w:footnote>
  <w:footnote w:id="5">
    <w:p w14:paraId="2313C642" w14:textId="45B36E0E" w:rsidR="003A76FC" w:rsidRPr="00D41BF7" w:rsidRDefault="003A76FC" w:rsidP="00DC47BD">
      <w:pPr>
        <w:tabs>
          <w:tab w:val="left" w:pos="284"/>
        </w:tabs>
        <w:ind w:left="284" w:hanging="284"/>
        <w:rPr>
          <w:sz w:val="20"/>
        </w:rPr>
      </w:pPr>
      <w:r w:rsidRPr="00D41BF7">
        <w:rPr>
          <w:sz w:val="20"/>
          <w:vertAlign w:val="superscript"/>
        </w:rPr>
        <w:footnoteRef/>
      </w:r>
      <w:r w:rsidR="00D41BF7" w:rsidRPr="00D41BF7">
        <w:rPr>
          <w:sz w:val="20"/>
        </w:rPr>
        <w:tab/>
      </w:r>
      <w:r w:rsidRPr="00D41BF7">
        <w:rPr>
          <w:sz w:val="20"/>
        </w:rPr>
        <w:t xml:space="preserve">P8_TA(2018)0433, </w:t>
      </w:r>
      <w:hyperlink r:id="rId6" w:history="1">
        <w:r w:rsidRPr="00D41BF7">
          <w:rPr>
            <w:sz w:val="20"/>
          </w:rPr>
          <w:t>https://www.europarl.europa.eu/doceo/document/TA-8-2018-0433_DA.html</w:t>
        </w:r>
      </w:hyperlink>
      <w:r w:rsidRPr="00D41BF7">
        <w:rPr>
          <w:sz w:val="20"/>
        </w:rPr>
        <w:t xml:space="preserve"> </w:t>
      </w:r>
    </w:p>
  </w:footnote>
  <w:footnote w:id="6">
    <w:p w14:paraId="48A9A0E0" w14:textId="77777777" w:rsidR="003A76FC" w:rsidRPr="00D41BF7" w:rsidRDefault="003A76FC" w:rsidP="00DC47BD">
      <w:pPr>
        <w:pStyle w:val="FootnoteText"/>
        <w:tabs>
          <w:tab w:val="left" w:pos="284"/>
        </w:tabs>
        <w:ind w:left="284" w:hanging="284"/>
        <w:rPr>
          <w:rFonts w:ascii="Times New Roman" w:hAnsi="Times New Roman" w:cs="Times New Roman"/>
        </w:rPr>
      </w:pPr>
      <w:r w:rsidRPr="00D41BF7">
        <w:rPr>
          <w:rStyle w:val="FootnoteReference"/>
          <w:rFonts w:ascii="Times New Roman" w:hAnsi="Times New Roman" w:cs="Times New Roman"/>
        </w:rPr>
        <w:footnoteRef/>
      </w:r>
      <w:r w:rsidRPr="00D41BF7">
        <w:rPr>
          <w:rFonts w:ascii="Times New Roman" w:hAnsi="Times New Roman" w:cs="Times New Roman"/>
        </w:rPr>
        <w:t xml:space="preserve"> </w:t>
      </w:r>
      <w:r w:rsidRPr="00D41BF7">
        <w:rPr>
          <w:rFonts w:ascii="Times New Roman" w:hAnsi="Times New Roman" w:cs="Times New Roman"/>
        </w:rPr>
        <w:tab/>
        <w:t>P9_TA(2020)0337, https://www.europarl.europa.eu/doceo/document/TA-9-2020-0337_DA.html</w:t>
      </w:r>
    </w:p>
  </w:footnote>
  <w:footnote w:id="7">
    <w:p w14:paraId="08AC5CF0" w14:textId="301C8ADE" w:rsidR="003A76FC" w:rsidRPr="00D41BF7" w:rsidRDefault="003A76FC" w:rsidP="00DC47BD">
      <w:pPr>
        <w:pStyle w:val="BodyText"/>
        <w:tabs>
          <w:tab w:val="left" w:pos="284"/>
        </w:tabs>
        <w:spacing w:after="0"/>
        <w:ind w:left="284" w:hanging="284"/>
        <w:rPr>
          <w:sz w:val="20"/>
        </w:rPr>
      </w:pPr>
      <w:r w:rsidRPr="00D41BF7">
        <w:rPr>
          <w:sz w:val="20"/>
          <w:vertAlign w:val="superscript"/>
        </w:rPr>
        <w:footnoteRef/>
      </w:r>
      <w:r w:rsidRPr="00D41BF7">
        <w:rPr>
          <w:sz w:val="20"/>
        </w:rPr>
        <w:tab/>
        <w:t xml:space="preserve">Europa-Parlamentets og Rådets forordning (EU) nr. 2016/679 af 27. april 2016 om beskyttelse af fysiske personer i forbindelse med behandling af personoplysninger og om fri udveksling af sådanne oplysninger og om ophævelse af direktiv 95/46/EF (generel forordning om databeskyttelse), EUT L 119 af 4.5.2016, s. 1, </w:t>
      </w:r>
      <w:hyperlink r:id="rId7" w:history="1">
        <w:r w:rsidRPr="00D41BF7">
          <w:rPr>
            <w:color w:val="4472C4" w:themeColor="accent5"/>
            <w:sz w:val="20"/>
            <w:u w:val="single"/>
          </w:rPr>
          <w:t>http://data.europa.eu/eli/reg/2016/679/oj</w:t>
        </w:r>
      </w:hyperlink>
    </w:p>
  </w:footnote>
  <w:footnote w:id="8">
    <w:p w14:paraId="57762114" w14:textId="59A4069B" w:rsidR="003A76FC" w:rsidRPr="00D41BF7" w:rsidRDefault="003A76FC" w:rsidP="00DC47BD">
      <w:pPr>
        <w:pStyle w:val="FootnoteText"/>
        <w:tabs>
          <w:tab w:val="left" w:pos="284"/>
        </w:tabs>
        <w:ind w:left="284" w:hanging="284"/>
        <w:rPr>
          <w:rFonts w:ascii="Times New Roman" w:hAnsi="Times New Roman" w:cs="Times New Roman"/>
        </w:rPr>
      </w:pPr>
      <w:r w:rsidRPr="00D41BF7">
        <w:rPr>
          <w:rStyle w:val="FootnoteReference"/>
          <w:rFonts w:ascii="Times New Roman" w:hAnsi="Times New Roman" w:cs="Times New Roman"/>
        </w:rPr>
        <w:footnoteRef/>
      </w:r>
      <w:r w:rsidR="00D41BF7" w:rsidRPr="00D41BF7">
        <w:rPr>
          <w:rFonts w:ascii="Times New Roman" w:hAnsi="Times New Roman" w:cs="Times New Roman"/>
        </w:rPr>
        <w:tab/>
      </w:r>
      <w:hyperlink r:id="rId8" w:history="1">
        <w:r w:rsidRPr="00D41BF7">
          <w:rPr>
            <w:rStyle w:val="Hyperlink"/>
            <w:rFonts w:ascii="Times New Roman" w:hAnsi="Times New Roman" w:cs="Times New Roman"/>
          </w:rPr>
          <w:t>https://edpb.europa.eu/our-work-tools/public-consultations-art-704/2020/recommendations-012020-measures-supplement-transfer_da</w:t>
        </w:r>
      </w:hyperlink>
    </w:p>
    <w:p w14:paraId="69DFD773" w14:textId="2011EAC1" w:rsidR="003A76FC" w:rsidRPr="00D41BF7" w:rsidRDefault="003A76FC" w:rsidP="00DC47BD">
      <w:pPr>
        <w:pStyle w:val="FootnoteText"/>
        <w:tabs>
          <w:tab w:val="left" w:pos="284"/>
        </w:tabs>
        <w:ind w:left="284" w:hanging="284"/>
        <w:rPr>
          <w:rFonts w:ascii="Times New Roman" w:hAnsi="Times New Roman" w:cs="Times New Roman"/>
        </w:rPr>
      </w:pPr>
      <w:r w:rsidRPr="00D41BF7">
        <w:rPr>
          <w:rFonts w:ascii="Times New Roman" w:hAnsi="Times New Roman" w:cs="Times New Roman"/>
        </w:rPr>
        <w:tab/>
      </w:r>
      <w:hyperlink r:id="rId9" w:history="1">
        <w:r w:rsidRPr="00D41BF7">
          <w:rPr>
            <w:rStyle w:val="Hyperlink"/>
            <w:rFonts w:ascii="Times New Roman" w:hAnsi="Times New Roman" w:cs="Times New Roman"/>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25C0" w14:textId="77777777" w:rsidR="00DC47BD" w:rsidRDefault="00DC4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D4D2" w14:textId="77777777" w:rsidR="00DC47BD" w:rsidRDefault="00DC4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D839" w14:textId="77777777" w:rsidR="00DC47BD" w:rsidRDefault="00DC4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DA"/>
    <w:docVar w:name="TXTLANGUEMIN" w:val="da"/>
    <w:docVar w:name="TXTNRPE" w:val="663.216"/>
    <w:docVar w:name="TXTNRRSP" w:val="2020/2789"/>
    <w:docVar w:name="TXTPEorAP" w:val="PE"/>
    <w:docVar w:name="TXTROUTE" w:val="RE\1222135DA.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71D62"/>
    <w:rsid w:val="004838A0"/>
    <w:rsid w:val="0049368C"/>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1BF7"/>
    <w:rsid w:val="00D44718"/>
    <w:rsid w:val="00D90D37"/>
    <w:rsid w:val="00DC47BD"/>
    <w:rsid w:val="00DF5457"/>
    <w:rsid w:val="00DF7943"/>
    <w:rsid w:val="00E53167"/>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da-DK"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da" TargetMode="External"/><Relationship Id="rId3" Type="http://schemas.openxmlformats.org/officeDocument/2006/relationships/hyperlink" Target="https://eur-lex.europa.eu/legal-content/DA/TXT/?uri=CELEX: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DA/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DA.html" TargetMode="External"/><Relationship Id="rId5" Type="http://schemas.openxmlformats.org/officeDocument/2006/relationships/hyperlink" Target="https://www.europarl.europa.eu/doceo/document/TA-8-2018-0315_DA.html" TargetMode="External"/><Relationship Id="rId4" Type="http://schemas.openxmlformats.org/officeDocument/2006/relationships/hyperlink" Target="https://eur-lex.europa.eu/legal-content/DA/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76B4-6356-4DC8-B775-4695A0A2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9034</Characters>
  <Application>Microsoft Office Word</Application>
  <DocSecurity>0</DocSecurity>
  <Lines>161</Lines>
  <Paragraphs>64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HEINSOEE Katja</cp:lastModifiedBy>
  <cp:revision>2</cp:revision>
  <cp:lastPrinted>2004-11-19T15:55:00Z</cp:lastPrinted>
  <dcterms:created xsi:type="dcterms:W3CDTF">2021-01-28T10:03:00Z</dcterms:created>
  <dcterms:modified xsi:type="dcterms:W3CDTF">2021-01-28T10:03:00Z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RE\1222135DA.docx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DA</vt:lpwstr>
  </property>
  <property fmtid="{D5CDD505-2E9C-101B-9397-08002B2CF9AE}" pid="14" name="Bookout">
    <vt:lpwstr>OK - 2021/01/28 11:03</vt:lpwstr>
  </property>
</Properties>
</file>