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C8676E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C8676E" w:rsidRDefault="00AD4FBF" w:rsidP="00C85D0F">
            <w:pPr>
              <w:pStyle w:val="EPName"/>
            </w:pPr>
            <w:bookmarkStart w:id="0" w:name="_GoBack"/>
            <w:bookmarkEnd w:id="0"/>
            <w:r w:rsidRPr="00C8676E">
              <w:t>Evropský parlament</w:t>
            </w:r>
          </w:p>
          <w:p w:rsidR="008F5EFB" w:rsidRPr="00C8676E" w:rsidRDefault="0086595E" w:rsidP="0086595E">
            <w:pPr>
              <w:pStyle w:val="EPTerm"/>
            </w:pPr>
            <w:r w:rsidRPr="00C8676E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C8676E" w:rsidRDefault="008F5EFB" w:rsidP="00C85D0F">
            <w:pPr>
              <w:pStyle w:val="EPLogo"/>
            </w:pPr>
            <w:r w:rsidRPr="00C8676E">
              <w:rPr>
                <w:lang w:val="en-GB"/>
              </w:rPr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C8676E" w:rsidRDefault="00E53167" w:rsidP="00E53167">
      <w:pPr>
        <w:pStyle w:val="LineTop"/>
      </w:pPr>
    </w:p>
    <w:p w:rsidR="00E53167" w:rsidRPr="00C8676E" w:rsidRDefault="0086595E" w:rsidP="00E53167">
      <w:pPr>
        <w:pStyle w:val="EPBody"/>
      </w:pPr>
      <w:r w:rsidRPr="00C8676E">
        <w:rPr>
          <w:rStyle w:val="HideTWBInt"/>
        </w:rPr>
        <w:t>{LIBE}</w:t>
      </w:r>
      <w:r w:rsidRPr="00C8676E">
        <w:t>Výbor pro občanské svobody, spravedlnost a vnitřní věci</w:t>
      </w:r>
    </w:p>
    <w:p w:rsidR="00094DDA" w:rsidRPr="00C8676E" w:rsidRDefault="00094DDA" w:rsidP="00094DDA">
      <w:pPr>
        <w:pStyle w:val="LineBottom"/>
      </w:pPr>
    </w:p>
    <w:p w:rsidR="00094DDA" w:rsidRPr="00C8676E" w:rsidRDefault="00094DDA" w:rsidP="00094DDA">
      <w:pPr>
        <w:pStyle w:val="CoverReference"/>
      </w:pPr>
      <w:r w:rsidRPr="00C8676E">
        <w:rPr>
          <w:rStyle w:val="HideTWBExt"/>
          <w:b w:val="0"/>
          <w:noProof w:val="0"/>
        </w:rPr>
        <w:t>&lt;NoDocSe&gt;</w:t>
      </w:r>
      <w:r w:rsidRPr="00C8676E">
        <w:t>2020/2789(RSP)</w:t>
      </w:r>
      <w:r w:rsidRPr="00C8676E">
        <w:rPr>
          <w:rStyle w:val="HideTWBExt"/>
          <w:b w:val="0"/>
          <w:noProof w:val="0"/>
        </w:rPr>
        <w:t>&lt;/NoDocSe&gt;</w:t>
      </w:r>
    </w:p>
    <w:p w:rsidR="00094DDA" w:rsidRPr="00C8676E" w:rsidRDefault="00094DDA" w:rsidP="00094DDA">
      <w:pPr>
        <w:pStyle w:val="CoverDate"/>
      </w:pPr>
      <w:r w:rsidRPr="00C8676E">
        <w:rPr>
          <w:rStyle w:val="HideTWBExt"/>
          <w:noProof w:val="0"/>
        </w:rPr>
        <w:t>&lt;Date&gt;</w:t>
      </w:r>
      <w:r w:rsidRPr="00C8676E">
        <w:rPr>
          <w:rStyle w:val="HideTWBInt"/>
        </w:rPr>
        <w:t>{13/01/2021}</w:t>
      </w:r>
      <w:r w:rsidRPr="00C8676E">
        <w:t>13.1.2021</w:t>
      </w:r>
      <w:r w:rsidRPr="00C8676E">
        <w:rPr>
          <w:rStyle w:val="HideTWBExt"/>
          <w:noProof w:val="0"/>
        </w:rPr>
        <w:t>&lt;/Date&gt;</w:t>
      </w:r>
    </w:p>
    <w:p w:rsidR="00814BC6" w:rsidRPr="00C8676E" w:rsidRDefault="00814BC6">
      <w:pPr>
        <w:pStyle w:val="CoverDocType24a"/>
      </w:pPr>
      <w:r w:rsidRPr="00C8676E">
        <w:rPr>
          <w:rStyle w:val="HideTWBExt"/>
          <w:b w:val="0"/>
          <w:noProof w:val="0"/>
        </w:rPr>
        <w:t>&lt;TitreType&gt;</w:t>
      </w:r>
      <w:r w:rsidRPr="00C8676E">
        <w:t>PŘEDBĚŽNÝ NÁVRH USNESENÍ</w:t>
      </w:r>
      <w:r w:rsidRPr="00C8676E">
        <w:rPr>
          <w:rStyle w:val="HideTWBExt"/>
          <w:b w:val="0"/>
          <w:noProof w:val="0"/>
        </w:rPr>
        <w:t>&lt;/TitreType&gt;</w:t>
      </w:r>
    </w:p>
    <w:p w:rsidR="00814BC6" w:rsidRPr="00C8676E" w:rsidRDefault="00814BC6">
      <w:pPr>
        <w:pStyle w:val="CoverNormal12a"/>
      </w:pPr>
      <w:r w:rsidRPr="00C8676E">
        <w:rPr>
          <w:rStyle w:val="HideTWBExt"/>
          <w:noProof w:val="0"/>
        </w:rPr>
        <w:t>&lt;TitreSuite&gt;</w:t>
      </w:r>
      <w:r w:rsidRPr="00C8676E">
        <w:t>předložený na základě prohlášení Komise</w:t>
      </w:r>
      <w:r w:rsidRPr="00C8676E">
        <w:rPr>
          <w:rStyle w:val="HideTWBExt"/>
          <w:noProof w:val="0"/>
        </w:rPr>
        <w:t>&lt;/TitreSuite&gt;</w:t>
      </w:r>
    </w:p>
    <w:p w:rsidR="00814BC6" w:rsidRPr="00C8676E" w:rsidRDefault="00814BC6">
      <w:pPr>
        <w:pStyle w:val="CoverNormal12a"/>
      </w:pPr>
      <w:r w:rsidRPr="00C8676E">
        <w:rPr>
          <w:rStyle w:val="HideTWBExt"/>
          <w:noProof w:val="0"/>
        </w:rPr>
        <w:t>&lt;TitreRecueil&gt;</w:t>
      </w:r>
      <w:r w:rsidRPr="00C8676E">
        <w:t>v souladu s čl. 132 odst. 2 jednacího řádu</w:t>
      </w:r>
      <w:r w:rsidRPr="00C8676E">
        <w:rPr>
          <w:rStyle w:val="HideTWBExt"/>
          <w:noProof w:val="0"/>
        </w:rPr>
        <w:t>&lt;/TitreRecueil&gt;</w:t>
      </w:r>
    </w:p>
    <w:p w:rsidR="00C23264" w:rsidRPr="00C8676E" w:rsidRDefault="00C23264" w:rsidP="00C23264">
      <w:pPr>
        <w:pStyle w:val="CoverNormal"/>
      </w:pPr>
      <w:r w:rsidRPr="00C8676E">
        <w:rPr>
          <w:rStyle w:val="HideTWBExt"/>
          <w:noProof w:val="0"/>
        </w:rPr>
        <w:t>&lt;Titre&gt;</w:t>
      </w:r>
      <w:r w:rsidRPr="00C8676E">
        <w:t>o rozsudku SDEU ze dne 16. července 2020 – Data Protection Commissioner v. Facebook Ireland Limited, Maximillian Schrems („Schrems II“) - věc C-311/18</w:t>
      </w:r>
      <w:r w:rsidRPr="00C8676E">
        <w:rPr>
          <w:rStyle w:val="HideTWBExt"/>
          <w:noProof w:val="0"/>
        </w:rPr>
        <w:t>&lt;/Titre&gt;</w:t>
      </w:r>
    </w:p>
    <w:p w:rsidR="00C23264" w:rsidRPr="00C8676E" w:rsidRDefault="00C23264" w:rsidP="00C23264">
      <w:pPr>
        <w:pStyle w:val="CoverNormal24a"/>
      </w:pPr>
      <w:r w:rsidRPr="00C8676E">
        <w:rPr>
          <w:rStyle w:val="HideTWBExt"/>
          <w:noProof w:val="0"/>
        </w:rPr>
        <w:t>&lt;DocRef&gt;</w:t>
      </w:r>
      <w:r w:rsidRPr="00C8676E">
        <w:t>(2020/2789(RSP))</w:t>
      </w:r>
      <w:r w:rsidRPr="00C8676E">
        <w:rPr>
          <w:rStyle w:val="HideTWBExt"/>
          <w:noProof w:val="0"/>
        </w:rPr>
        <w:t>&lt;/DocRef&gt;</w:t>
      </w:r>
    </w:p>
    <w:p w:rsidR="002574AA" w:rsidRPr="00C8676E" w:rsidRDefault="002574AA" w:rsidP="002574AA">
      <w:pPr>
        <w:pStyle w:val="CoverBold"/>
      </w:pPr>
      <w:r w:rsidRPr="00C8676E">
        <w:rPr>
          <w:rStyle w:val="HideTWBExt"/>
          <w:b w:val="0"/>
          <w:noProof w:val="0"/>
        </w:rPr>
        <w:t>&lt;RepeatBlock-By&gt;&lt;Depute&gt;</w:t>
      </w:r>
      <w:r w:rsidRPr="00C8676E">
        <w:t>Juan Fernando López Aguilar</w:t>
      </w:r>
      <w:r w:rsidRPr="00C8676E">
        <w:rPr>
          <w:rStyle w:val="HideTWBExt"/>
          <w:b w:val="0"/>
          <w:noProof w:val="0"/>
        </w:rPr>
        <w:t>&lt;/Depute&gt;</w:t>
      </w:r>
    </w:p>
    <w:p w:rsidR="002574AA" w:rsidRPr="00C8676E" w:rsidRDefault="002574AA" w:rsidP="002574AA">
      <w:pPr>
        <w:pStyle w:val="CoverNormal"/>
      </w:pPr>
      <w:r w:rsidRPr="00C8676E">
        <w:rPr>
          <w:rStyle w:val="HideTWBExt"/>
          <w:noProof w:val="0"/>
        </w:rPr>
        <w:t>&lt;Commission&gt;</w:t>
      </w:r>
      <w:r w:rsidRPr="00C8676E">
        <w:rPr>
          <w:rStyle w:val="HideTWBInt"/>
        </w:rPr>
        <w:t>{LIBE}</w:t>
      </w:r>
      <w:r w:rsidRPr="00C8676E">
        <w:t>za Výbor pro občanské svobody, spravedlnost a vnitřní věci</w:t>
      </w:r>
      <w:r w:rsidRPr="00C8676E">
        <w:rPr>
          <w:rStyle w:val="HideTWBExt"/>
          <w:noProof w:val="0"/>
        </w:rPr>
        <w:t>&lt;/Commission&gt;</w:t>
      </w:r>
    </w:p>
    <w:p w:rsidR="002574AA" w:rsidRPr="00C8676E" w:rsidRDefault="002574AA" w:rsidP="002574AA">
      <w:pPr>
        <w:pStyle w:val="CoverNormal"/>
      </w:pPr>
      <w:r w:rsidRPr="00C8676E">
        <w:rPr>
          <w:rStyle w:val="HideTWBExt"/>
          <w:noProof w:val="0"/>
        </w:rPr>
        <w:t>&lt;/RepeatBlock-By&gt;</w:t>
      </w:r>
    </w:p>
    <w:p w:rsidR="00814BC6" w:rsidRPr="00C8676E" w:rsidRDefault="00814BC6">
      <w:pPr>
        <w:pStyle w:val="NormalBold12a"/>
      </w:pPr>
      <w:r w:rsidRPr="00C8676E">
        <w:br w:type="page"/>
      </w:r>
      <w:r w:rsidRPr="00C8676E">
        <w:lastRenderedPageBreak/>
        <w:t>B9-0000/2021</w:t>
      </w:r>
    </w:p>
    <w:p w:rsidR="00C23264" w:rsidRPr="00C8676E" w:rsidRDefault="0086595E" w:rsidP="00C23264">
      <w:pPr>
        <w:pStyle w:val="NormalBold"/>
      </w:pPr>
      <w:r w:rsidRPr="00C8676E">
        <w:t>Usnesení Evropského parlamentu o rozsudku SDEU ze dne 16. července 2020 – Data Protection Commissioner v. Facebook Ireland Limited, Maximillian Schrems („Schrems II“) - věc C-311/18</w:t>
      </w:r>
    </w:p>
    <w:p w:rsidR="00C23264" w:rsidRPr="00C8676E" w:rsidRDefault="00AD4FBF" w:rsidP="00DF7943">
      <w:pPr>
        <w:pStyle w:val="NormalBold"/>
      </w:pPr>
      <w:r w:rsidRPr="00C8676E">
        <w:t>(2020/2789(RSP))</w:t>
      </w:r>
    </w:p>
    <w:p w:rsidR="00814BC6" w:rsidRPr="00C8676E" w:rsidRDefault="00AD4FBF">
      <w:pPr>
        <w:pStyle w:val="EPComma"/>
      </w:pPr>
      <w:r w:rsidRPr="00C8676E">
        <w:rPr>
          <w:i/>
        </w:rPr>
        <w:t>Evropský parlament</w:t>
      </w:r>
      <w:r w:rsidRPr="00C8676E">
        <w:t>,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 ohledem na Listinu základních práv Evropské unie, zejména na články 7, 8, 47 a 52 tohoto dokumentu,</w:t>
      </w:r>
    </w:p>
    <w:p w:rsidR="0086595E" w:rsidRPr="00C8676E" w:rsidRDefault="0086595E" w:rsidP="0086595E">
      <w:pPr>
        <w:widowControl/>
        <w:spacing w:after="240"/>
        <w:ind w:left="567" w:hanging="567"/>
      </w:pPr>
      <w:r w:rsidRPr="00C8676E">
        <w:t>–</w:t>
      </w:r>
      <w:r w:rsidRPr="00C8676E">
        <w:tab/>
        <w:t>s ohledem na rozsudek Soudního dvora ze dne 16. července 2020 ve věci C-311/18, Data Protection Commissioner v. Facebook Ireland Limited, Maximillian Schrems</w:t>
      </w:r>
      <w:r w:rsidRPr="00C8676E">
        <w:rPr>
          <w:vertAlign w:val="superscript"/>
        </w:rPr>
        <w:footnoteReference w:id="1"/>
      </w:r>
      <w:r w:rsidRPr="00C8676E">
        <w:t xml:space="preserve"> (Schrems II),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 ohledem na rozsudek Soudního dvora ze dne 6. října 2015 ve věci C-362/14, Maximillian Schrems v. Data Protection Commissioner</w:t>
      </w:r>
      <w:r w:rsidRPr="00C8676E">
        <w:rPr>
          <w:vertAlign w:val="superscript"/>
        </w:rPr>
        <w:footnoteReference w:id="2"/>
      </w:r>
      <w:r w:rsidRPr="00C8676E">
        <w:t xml:space="preserve"> (Schrems I),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 xml:space="preserve">s ohledem na rozsudek Soudního dvora ze dne 6. října 2020 ve věci </w:t>
      </w:r>
      <w:bookmarkStart w:id="1" w:name="pagePrincipale"/>
      <w:bookmarkEnd w:id="1"/>
      <w:r w:rsidRPr="00C8676E">
        <w:t>C-623/17, Privacy International v. Secretary of State of Foreign and Commonwealth affairs</w:t>
      </w:r>
      <w:r w:rsidRPr="00C8676E">
        <w:rPr>
          <w:vertAlign w:val="superscript"/>
        </w:rPr>
        <w:footnoteReference w:id="3"/>
      </w:r>
      <w:r w:rsidRPr="00C8676E">
        <w:t>,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 ohledem na usnesení ze dne 5. července 2018 o přiměřenosti ochrany poskytované štítem EU–USA na ochranu soukromí</w:t>
      </w:r>
      <w:r w:rsidRPr="00C8676E">
        <w:rPr>
          <w:vertAlign w:val="superscript"/>
        </w:rPr>
        <w:footnoteReference w:id="4"/>
      </w:r>
      <w:r w:rsidRPr="00C8676E">
        <w:t xml:space="preserve">, 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 ohledem na své usnesení ze dne 25. října 2018 o využívání údajů uživatelů Facebooku společností Cambridge Analytica a jeho dopadu na ochranu údajů</w:t>
      </w:r>
      <w:r w:rsidRPr="00C8676E">
        <w:rPr>
          <w:vertAlign w:val="superscript"/>
        </w:rPr>
        <w:footnoteReference w:id="5"/>
      </w:r>
      <w:r w:rsidRPr="00C8676E">
        <w:t xml:space="preserve">, 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 ohledem na své usnesení ze dne 23. listopadu 2020 o přezkumu obchodní politiky EU</w:t>
      </w:r>
      <w:r w:rsidRPr="00C8676E">
        <w:rPr>
          <w:vertAlign w:val="superscript"/>
        </w:rPr>
        <w:footnoteReference w:id="6"/>
      </w:r>
      <w:r w:rsidRPr="00C8676E">
        <w:t xml:space="preserve">, 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 ohledem na nařízení Evropského parlamentu a Rady (EU) č. 2016/679 (obecné nařízení o ochraně osobních údajů)</w:t>
      </w:r>
      <w:r w:rsidRPr="00C8676E">
        <w:rPr>
          <w:vertAlign w:val="superscript"/>
        </w:rPr>
        <w:footnoteReference w:id="7"/>
      </w:r>
      <w:r w:rsidRPr="00C8676E">
        <w:t xml:space="preserve">, </w:t>
      </w:r>
    </w:p>
    <w:p w:rsidR="0086595E" w:rsidRPr="00C8676E" w:rsidRDefault="0086595E" w:rsidP="0086595E">
      <w:pPr>
        <w:pStyle w:val="NormalHanging12a"/>
      </w:pPr>
      <w:r w:rsidRPr="00C8676E">
        <w:lastRenderedPageBreak/>
        <w:t>–</w:t>
      </w:r>
      <w:r w:rsidRPr="00C8676E">
        <w:tab/>
        <w:t>s ohledem na doporučení Evropského sboru pro ochranu osobních údajů č. 01/2020 o</w:t>
      </w:r>
      <w:r w:rsidR="00715B36" w:rsidRPr="00C8676E">
        <w:t> </w:t>
      </w:r>
      <w:r w:rsidRPr="00C8676E">
        <w:t>opatřeních, která doplňují nástroje pro předávání s cílem zajistit soulad s úrovní ochrany osobních údajů v EU, a na doporučení tohoto orgánu č. 02/2020 týkající se evropských základních záruk pro sledovací opatření</w:t>
      </w:r>
      <w:r w:rsidRPr="00C8676E">
        <w:rPr>
          <w:vertAlign w:val="superscript"/>
        </w:rPr>
        <w:footnoteReference w:id="8"/>
      </w:r>
      <w:r w:rsidRPr="00C8676E">
        <w:t>,</w:t>
      </w:r>
    </w:p>
    <w:p w:rsidR="0086595E" w:rsidRPr="00C8676E" w:rsidRDefault="0086595E" w:rsidP="0086595E">
      <w:pPr>
        <w:pStyle w:val="NormalHanging12a"/>
      </w:pPr>
      <w:r w:rsidRPr="00C8676E">
        <w:t>–</w:t>
      </w:r>
      <w:r w:rsidRPr="00C8676E">
        <w:tab/>
        <w:t>s ohledem na čl. 132 odst. 2 jednacího řádu,</w:t>
      </w:r>
    </w:p>
    <w:p w:rsidR="0086595E" w:rsidRPr="00C8676E" w:rsidRDefault="0086595E" w:rsidP="0086595E">
      <w:pPr>
        <w:pStyle w:val="NormalHanging12a"/>
        <w:ind w:hanging="566"/>
      </w:pPr>
      <w:r w:rsidRPr="00C8676E">
        <w:t>A.</w:t>
      </w:r>
      <w:r w:rsidRPr="00C8676E">
        <w:tab/>
        <w:t>vzhledem k tomu, že Soudní dvůr EU (SDEU) v rozsudku „Schrems I“ upozornil na to, že neomezený přístup zpravodajských služeb k obsahu elektronické komunikace porušuje podstatu práva na důvěrnost sdělení, jak je stanoveno v článku 7 Listiny základních práv EU (dále jen „Listina“);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B.</w:t>
      </w:r>
      <w:r w:rsidRPr="00C8676E">
        <w:tab/>
        <w:t>vzhledem k tomu, že Soudní dvůr v rozsudku „Schrems II“ upozornil na to, že Spojené státy americké neposkytují osobám, které nejsou jejich státními příslušníky, dostatečné právní prostředky ochrany před hromadným sledováním, a že toto je v rozporu s</w:t>
      </w:r>
      <w:r w:rsidR="00715B36" w:rsidRPr="00C8676E">
        <w:t> </w:t>
      </w:r>
      <w:r w:rsidRPr="00C8676E">
        <w:t>podstatou práva na účinnou právní ochranu, jak je zakotveno v článku 47 Listiny;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C.</w:t>
      </w:r>
      <w:r w:rsidRPr="00C8676E">
        <w:tab/>
        <w:t>vzhledem k tomu, že již ve svém usnesení ze dne 25. října 2018 Evropský parlament vyzval Komisi k pozastavení štítu na ochranu soukromí;</w:t>
      </w:r>
    </w:p>
    <w:p w:rsidR="0086595E" w:rsidRPr="00C8676E" w:rsidRDefault="0086595E" w:rsidP="0086595E">
      <w:pPr>
        <w:pStyle w:val="NormalHanging12a"/>
        <w:ind w:left="1" w:firstLine="0"/>
      </w:pPr>
      <w:r w:rsidRPr="00C8676E">
        <w:rPr>
          <w:b/>
          <w:bCs/>
          <w:i/>
          <w:iCs/>
        </w:rPr>
        <w:t>OBECNÉ PŘIPOMÍNKY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1.</w:t>
      </w:r>
      <w:r w:rsidRPr="00C8676E">
        <w:tab/>
        <w:t xml:space="preserve">bere na vědomí rozsudek SDEU ze dne 16. července 2020, v němž tento soud potvrdil platnost rozhodnutí 2010/87 o standardních smluvních doložkách, jež považuje za účinný mechanismus, jak zajistit soulad s úrovní ochrany stanovenou právem EU; dále konstatuje, že SDEU zneplatnil rozhodnutí Komise 2016/1250 o odpovídající úrovni ochrany poskytované štítem EU–USA na ochranu soukromí; </w:t>
      </w:r>
    </w:p>
    <w:p w:rsidR="0086595E" w:rsidRPr="00C8676E" w:rsidRDefault="0086595E" w:rsidP="0086595E">
      <w:pPr>
        <w:pStyle w:val="NormalHanging12a"/>
        <w:ind w:hanging="566"/>
      </w:pPr>
      <w:r w:rsidRPr="00C8676E">
        <w:t>2.</w:t>
      </w:r>
      <w:r w:rsidRPr="00C8676E">
        <w:tab/>
        <w:t>je přesvědčen o tom, že rozsudek SDEU má významné důsledky pro rozhodnutí o</w:t>
      </w:r>
      <w:r w:rsidR="00715B36" w:rsidRPr="00C8676E">
        <w:t> </w:t>
      </w:r>
      <w:r w:rsidRPr="00C8676E">
        <w:t>odpovídající ochraně týkající se třetích zemí; opětovně potvrzuje, že je zapotřebí právní srozumitelnosti a jistoty;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3.</w:t>
      </w:r>
      <w:r w:rsidRPr="00C8676E">
        <w:tab/>
        <w:t>je znepokojen tím, že celý případ „Schrems II“ zahájila irská komisařka pro ochranu údajů namísto toho, aby v rámci své pravomoci rozhodla podle článku 58 obecného nařízení o ochraně osobních údajů (dále jen „obecné nařízení“); vyjadřuje hluboké znepokojení nad tím, že o řadě stížností proti porušení obecného nařízení podaných dne 25. května 2018 dosud irská komisařka pro ochranu osobních údajů, která je hlavním orgánem příslušným pro tyto případy, nerozhodla; důrazně odsuzuje snahu irského úřadu pro ochranu osobních údajů o přenesení povinnosti uhradit procesní náklady na Maximiliana Schremse, což by mělo silný odrazující účinek; vyzývá Komisi, aby proti Irsku zahájila řízení o nesplnění povinnosti z důvodu nedostatečného uplatňování obecného nařízení;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4.</w:t>
      </w:r>
      <w:r w:rsidRPr="00C8676E">
        <w:tab/>
        <w:t>důrazně vyzývá Komisi, aby zveřejnila další pokyny týkající se mezinárodního předávání údajů pro společnosti, zejména malé a střední podniky, mimo jiné i pokud jde o dodatečné záruky požadované pro předávání údajů za vyžití standardních smluvních doložek;</w:t>
      </w:r>
    </w:p>
    <w:p w:rsidR="0086595E" w:rsidRPr="00C8676E" w:rsidRDefault="0086595E" w:rsidP="0086595E">
      <w:pPr>
        <w:pStyle w:val="NormalHanging12a"/>
        <w:ind w:left="1" w:firstLine="0"/>
      </w:pPr>
      <w:r w:rsidRPr="00C8676E">
        <w:rPr>
          <w:b/>
          <w:i/>
        </w:rPr>
        <w:t>STANDARDNÍ SMLUVNÍ DOLOŽKY</w:t>
      </w:r>
    </w:p>
    <w:p w:rsidR="0086595E" w:rsidRPr="00C8676E" w:rsidRDefault="0086595E" w:rsidP="0086595E">
      <w:pPr>
        <w:pStyle w:val="NormalHanging12a"/>
        <w:ind w:hanging="566"/>
      </w:pPr>
      <w:r w:rsidRPr="00C8676E">
        <w:t>5.</w:t>
      </w:r>
      <w:r w:rsidRPr="00C8676E">
        <w:tab/>
        <w:t>bere na vědomí návrh prováděcího rozhodnutí Komise a návrh standardních smluvních doložek; vítá skutečnost, že Komise nyní shromažďuje od zúčastněných stran zpětnou vazbu ohledně tohoto návrhu;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6.</w:t>
      </w:r>
      <w:r w:rsidRPr="00C8676E">
        <w:tab/>
        <w:t>bere na vědomí doporučení č. 01/2020 Evropského sboru pro ochranu osobních údajů (EDPB) o opatřeních, která doplňují nástroje pro předávání s cílem zajistit soulad s</w:t>
      </w:r>
      <w:r w:rsidR="00715B36" w:rsidRPr="00C8676E">
        <w:t> </w:t>
      </w:r>
      <w:r w:rsidRPr="00C8676E">
        <w:t xml:space="preserve">úrovní ochrany osobních údajů v EU; je znepokojen možným rozporem mezi těmito doporučeními a návrhem standardních smluvních doložek předloženým Komisí; domnívá se, že ze strany EDPB je zapotřebí podrobnějších pokynů;  </w:t>
      </w:r>
    </w:p>
    <w:p w:rsidR="0086595E" w:rsidRPr="00C8676E" w:rsidRDefault="0086595E" w:rsidP="0086595E">
      <w:pPr>
        <w:pStyle w:val="NormalHanging12a"/>
        <w:ind w:hanging="566"/>
      </w:pPr>
      <w:r w:rsidRPr="00C8676E">
        <w:t>7.</w:t>
      </w:r>
      <w:r w:rsidRPr="00C8676E">
        <w:tab/>
        <w:t>je přesvědčen o zásadním významu toho, aby se unijní společnosti opíraly o odolné mechanismy, které budou v souladu s rozsudkem SDEU; v této souvislosti se domnívá, že současný návrh vzorových standardních smluvních doložek předložený Komisí by měl náležitě zohledňovat všechna příslušná doporučení; podporuje soubor doplňkových opatření, např. bezpečnostní certifikace a šifrovacích záruk, která budou pro regulační orgány přijatelná;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8.</w:t>
      </w:r>
      <w:r w:rsidRPr="00C8676E">
        <w:tab/>
        <w:t>upozorňuje na to, že pro správce údajů, kteří spadají do oblasti působnosti zákona USA o dohledu nad zahraničními zpravodajskými informacemi (FISA), není předávání údajů podle uvedených standardních smluvních doložek možné z důvodu značného rizika hromadného sledování; pouze pomocí komplexní reformy postupů sledování v USA lze tento problém udržitelným způsobem vyřešit a poskytnout podnikům a subjektům údajů právní jistotu;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9.</w:t>
      </w:r>
      <w:r w:rsidRPr="00C8676E">
        <w:tab/>
        <w:t>připomíná, že standardních smluvních doložek využívá vysoký počet malých a</w:t>
      </w:r>
      <w:r w:rsidR="00715B36" w:rsidRPr="00C8676E">
        <w:t> </w:t>
      </w:r>
      <w:r w:rsidRPr="00C8676E">
        <w:t xml:space="preserve">středních podniků; zdůrazňuje, že společnosti a malé a střední podniky naléhavě potřebují jednoznační pokyny a pomoc při uplatňování a výkladu rozsudku SDEU; 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10.</w:t>
      </w:r>
      <w:r w:rsidRPr="00C8676E">
        <w:tab/>
        <w:t>zdůrazňuje omezenou vyjednávací sílu a právní kapacitu evropských malých a středních podniků, u nichž se očekává, že se díky povinnému vlastnímu posouzení odpovídající míry ochrany ve třetích zemích vyznají ve složitých právních řádech různých třetích zemí; naléhavě vyzývá Komisi a EDPB, aby důkladně prozkoumaly nezbytnost a</w:t>
      </w:r>
      <w:r w:rsidR="00715B36" w:rsidRPr="00C8676E">
        <w:t> </w:t>
      </w:r>
      <w:r w:rsidRPr="00C8676E">
        <w:t>proveditelnost jakýchkoli požadovaných doplňkových opatření, zejména u malých a</w:t>
      </w:r>
      <w:r w:rsidR="00715B36" w:rsidRPr="00C8676E">
        <w:t> </w:t>
      </w:r>
      <w:r w:rsidRPr="00C8676E">
        <w:t xml:space="preserve">středních podniků; 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11.</w:t>
      </w:r>
      <w:r w:rsidRPr="00C8676E">
        <w:tab/>
        <w:t>naléhavě žádá dozorové orgány členských států, aby v takových případech využily svých příslušných pravomocí uvedených v článku 3 návrhu prováděcího rozhodnutí a</w:t>
      </w:r>
      <w:r w:rsidR="00715B36" w:rsidRPr="00C8676E">
        <w:t> </w:t>
      </w:r>
      <w:r w:rsidRPr="00C8676E">
        <w:t>postupovaly v souladu s článkem 58 obecného nařízení;</w:t>
      </w:r>
    </w:p>
    <w:p w:rsidR="0086595E" w:rsidRPr="00C8676E" w:rsidRDefault="0086595E" w:rsidP="0086595E">
      <w:pPr>
        <w:pStyle w:val="NormalHanging12a"/>
        <w:ind w:left="1" w:firstLine="0"/>
      </w:pPr>
      <w:r w:rsidRPr="00C8676E">
        <w:rPr>
          <w:b/>
          <w:i/>
        </w:rPr>
        <w:t>ŠTÍT NA OCHRANU SOUKROMÍ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12.</w:t>
      </w:r>
      <w:r w:rsidRPr="00C8676E">
        <w:tab/>
        <w:t>konstatuje, že navzdory tomu, že došlo ke zdokonalení štítu na ochranu soukromí ve srovnání režimem tzv. bezpečného přístavu, dospěl SDEU k závěru, že štít EU–USA na ochranu soukromí nezaručuje v zásadě rovnocennou, a tudíž odpovídající úroveň ochrany, jakou poskytuje obecné nařízení a Listina, zejména z důvodu podmínek zavedených s ohledem na přístup veřejných orgánů USA k osobním údajům předávaným v rámci štítu na ochranu soukromí a neexistenci práv subjektů údajů z EU, jichž by bylo možné domáhat se před americkými soudy vůči orgánům USA prostřednictvím žaloby;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13.</w:t>
      </w:r>
      <w:r w:rsidRPr="00C8676E">
        <w:tab/>
        <w:t>připomíná usnesení Parlamentu o šítu na ochranu soukromí z roku 2018, které zdůraznilo riziko zneplatnění tohoto štítu ze strany SDEU;</w:t>
      </w:r>
    </w:p>
    <w:p w:rsidR="0086595E" w:rsidRPr="00C8676E" w:rsidRDefault="0086595E" w:rsidP="0086595E">
      <w:pPr>
        <w:pStyle w:val="NormalHanging12a"/>
        <w:spacing w:before="240"/>
        <w:ind w:left="1" w:firstLine="0"/>
      </w:pPr>
      <w:r w:rsidRPr="00C8676E">
        <w:rPr>
          <w:b/>
          <w:i/>
        </w:rPr>
        <w:t>HROMADNÉ SLEDOVÁNÍ A PRÁVNÍ RÁMEC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14.</w:t>
      </w:r>
      <w:r w:rsidRPr="00C8676E">
        <w:tab/>
        <w:t>vybízí Komisi, aby i nadále monitorovala používání technologií hromadného sledování ve Spojeném království;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15.</w:t>
      </w:r>
      <w:r w:rsidRPr="00C8676E">
        <w:tab/>
        <w:t>upozorňuje na to, že kalifornský zákon o ochraně spotřebitele v USA ani žádný z</w:t>
      </w:r>
      <w:r w:rsidR="00715B36" w:rsidRPr="00C8676E">
        <w:t> </w:t>
      </w:r>
      <w:r w:rsidRPr="00C8676E">
        <w:t>federálních návrhů dosud nesplňují požadavky obecného nařízení na zajištění odpovídající úrovně ochrany; vybízí federální zákonodárce USA, aby na celostátní úrovni přijali odolný komplexní federální zákon o ochraně osobních údajů, který tyto požadavky bude splňovat;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16.</w:t>
      </w:r>
      <w:r w:rsidRPr="00C8676E">
        <w:tab/>
        <w:t>upozorňuje na to, že takový právní předpis na ochranu osobních údajů spotřebitele sám o sobě nenapraví základní nedostatky zjištěné Soudním dvorem, pokud jde o hromadné sledování ze strany zpravodajských služeb USA a o nedostatečný přístup k prostředkům nápravy; vybízí federální zákonodárce USA, aby přehodnotili úpravy oddílu 702 zákona FISA, výnos prezidenta 12333 a politickou směrnici prezidenta 28, zejména pokud jde o</w:t>
      </w:r>
      <w:r w:rsidR="00715B36" w:rsidRPr="00C8676E">
        <w:t> </w:t>
      </w:r>
      <w:r w:rsidRPr="00C8676E">
        <w:t xml:space="preserve">poskytnutí stejné úrovně ochrany občanům EU a USA; </w:t>
      </w:r>
    </w:p>
    <w:p w:rsidR="0086595E" w:rsidRPr="00C8676E" w:rsidRDefault="0086595E" w:rsidP="0086595E">
      <w:pPr>
        <w:pStyle w:val="NormalHanging12a"/>
        <w:ind w:left="1" w:firstLine="0"/>
      </w:pPr>
      <w:r w:rsidRPr="00C8676E">
        <w:rPr>
          <w:b/>
          <w:i/>
        </w:rPr>
        <w:t>ROZHODNUTÍ O ODPOVÍDAJÍCÍ OCHRANĚ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17.</w:t>
      </w:r>
      <w:r w:rsidRPr="00C8676E">
        <w:tab/>
        <w:t>vyzývá Komisi, aby přijala veškerá nezbytná opatření k zajištění toho, aby jakákoli další ujednání s USA byla plně v souladu s nařízením (EU) 2016/679, Listinou a</w:t>
      </w:r>
      <w:r w:rsidR="00715B36" w:rsidRPr="00C8676E">
        <w:t> </w:t>
      </w:r>
      <w:r w:rsidRPr="00C8676E">
        <w:t>uvedeným rozsudkem SDEU v každém ohledu;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18.</w:t>
      </w:r>
      <w:r w:rsidRPr="00C8676E">
        <w:tab/>
        <w:t>připomíná Komisi její povinnost přezkoumat všechna rozhodnutí o odpovídající ochraně přijatá podle směrnice ES 95/46 se zohledněním závěrů rozsudků ve věcech Schrems I a II s cílem posoudit, zda je poskytována obsahově rovnocenná úroveň ochrany;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19.</w:t>
      </w:r>
      <w:r w:rsidRPr="00C8676E">
        <w:tab/>
        <w:t>vyzývá Komisi, aby ve vztahu k USA nepřijímala žádná nová rozhodnutí o odpovídající ochraně, dokud nebudou provedeny smysluplné reformy právních předpisů a postupů v</w:t>
      </w:r>
      <w:r w:rsidR="00715B36" w:rsidRPr="00C8676E">
        <w:t> </w:t>
      </w:r>
      <w:r w:rsidRPr="00C8676E">
        <w:t>oblasti přístupu orgánů veřejné moci k informacím, zvláště pro účely národní bezpečnosti a potřeby zpravodajských služeb;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20.</w:t>
      </w:r>
      <w:r w:rsidRPr="00C8676E">
        <w:tab/>
        <w:t>vyzývá Komisi, aby zveřejnila aktualizovaný seznam kritérií, která zvažuje při hodnocení toho, zda třetí země splňuje podmínky pro vydání rozhodnutí o odpovídající ochraně;</w:t>
      </w:r>
    </w:p>
    <w:p w:rsidR="0086595E" w:rsidRPr="00C8676E" w:rsidRDefault="0086595E" w:rsidP="0086595E">
      <w:pPr>
        <w:pStyle w:val="NormalHanging12a"/>
        <w:ind w:hanging="566"/>
      </w:pPr>
      <w:r w:rsidRPr="00C8676E">
        <w:t>21.</w:t>
      </w:r>
      <w:r w:rsidRPr="00C8676E">
        <w:tab/>
        <w:t>pověřuje svého předsedu, aby předal toto usnesení Komisi, Evropské radě, Radě, sboru EDPB a vnitrostátním parlamentům.</w:t>
      </w:r>
    </w:p>
    <w:p w:rsidR="00866D70" w:rsidRPr="00C8676E" w:rsidRDefault="00866D70" w:rsidP="0086595E">
      <w:pPr>
        <w:pStyle w:val="NormalHanging12a"/>
      </w:pPr>
    </w:p>
    <w:sectPr w:rsidR="00866D70" w:rsidRPr="00C8676E" w:rsidSect="00E62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BF" w:rsidRPr="00FF0DA5" w:rsidRDefault="00AD4FBF">
      <w:r w:rsidRPr="00FF0DA5">
        <w:separator/>
      </w:r>
    </w:p>
  </w:endnote>
  <w:endnote w:type="continuationSeparator" w:id="0">
    <w:p w:rsidR="00AD4FBF" w:rsidRPr="00FF0DA5" w:rsidRDefault="00AD4FBF">
      <w:r w:rsidRPr="00FF0D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F77" w:rsidRPr="00FF0DA5" w:rsidRDefault="00E62F77" w:rsidP="00E62F77">
    <w:pPr>
      <w:pStyle w:val="EPFooter"/>
    </w:pPr>
    <w:r w:rsidRPr="00FF0DA5">
      <w:t>PE</w:t>
    </w:r>
    <w:r w:rsidRPr="00FF0DA5">
      <w:rPr>
        <w:rStyle w:val="HideTWBExt"/>
        <w:noProof w:val="0"/>
      </w:rPr>
      <w:t>&lt;NoPE&gt;</w:t>
    </w:r>
    <w:r w:rsidRPr="00FF0DA5">
      <w:t>663.216</w:t>
    </w:r>
    <w:r w:rsidRPr="00FF0DA5">
      <w:rPr>
        <w:rStyle w:val="HideTWBExt"/>
        <w:noProof w:val="0"/>
      </w:rPr>
      <w:t>&lt;/NoPE&gt;&lt;Version&gt;</w:t>
    </w:r>
    <w:r w:rsidRPr="00FF0DA5">
      <w:t>v01-00</w:t>
    </w:r>
    <w:r w:rsidRPr="00FF0DA5">
      <w:rPr>
        <w:rStyle w:val="HideTWBExt"/>
        <w:noProof w:val="0"/>
      </w:rPr>
      <w:t>&lt;/Version&gt;</w:t>
    </w:r>
    <w:r w:rsidRPr="00FF0DA5">
      <w:tab/>
    </w:r>
    <w:r w:rsidRPr="00FF0DA5">
      <w:fldChar w:fldCharType="begin"/>
    </w:r>
    <w:r w:rsidRPr="00FF0DA5">
      <w:instrText xml:space="preserve"> PAGE  \* MERGEFORMAT </w:instrText>
    </w:r>
    <w:r w:rsidRPr="00FF0DA5">
      <w:fldChar w:fldCharType="separate"/>
    </w:r>
    <w:r w:rsidR="00C8676E">
      <w:rPr>
        <w:noProof/>
      </w:rPr>
      <w:t>2</w:t>
    </w:r>
    <w:r w:rsidRPr="00FF0DA5">
      <w:fldChar w:fldCharType="end"/>
    </w:r>
    <w:r w:rsidRPr="00FF0DA5">
      <w:t>/</w:t>
    </w:r>
    <w:r w:rsidR="00C8676E">
      <w:fldChar w:fldCharType="begin"/>
    </w:r>
    <w:r w:rsidR="00C8676E">
      <w:instrText xml:space="preserve"> NUMPAGES  \* MERGEFORMAT </w:instrText>
    </w:r>
    <w:r w:rsidR="00C8676E">
      <w:fldChar w:fldCharType="separate"/>
    </w:r>
    <w:r w:rsidR="00C8676E">
      <w:rPr>
        <w:noProof/>
      </w:rPr>
      <w:t>5</w:t>
    </w:r>
    <w:r w:rsidR="00C8676E">
      <w:rPr>
        <w:noProof/>
      </w:rPr>
      <w:fldChar w:fldCharType="end"/>
    </w:r>
    <w:r w:rsidRPr="00FF0DA5">
      <w:tab/>
    </w:r>
    <w:r w:rsidRPr="00FF0DA5">
      <w:rPr>
        <w:rStyle w:val="HideTWBExt"/>
        <w:noProof w:val="0"/>
      </w:rPr>
      <w:t>&lt;PathFdR&gt;</w:t>
    </w:r>
    <w:r w:rsidRPr="00FF0DA5">
      <w:t>RE\1222135CS.docx</w:t>
    </w:r>
    <w:r w:rsidRPr="00FF0DA5">
      <w:rPr>
        <w:rStyle w:val="HideTWBExt"/>
        <w:noProof w:val="0"/>
      </w:rPr>
      <w:t>&lt;/PathFdR&gt;</w:t>
    </w:r>
  </w:p>
  <w:p w:rsidR="00A90219" w:rsidRPr="00FF0DA5" w:rsidRDefault="00E62F77" w:rsidP="00E62F77">
    <w:pPr>
      <w:pStyle w:val="EPFooter2"/>
    </w:pPr>
    <w:r w:rsidRPr="00FF0DA5">
      <w:t>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F77" w:rsidRPr="00FF0DA5" w:rsidRDefault="00E62F77" w:rsidP="00E62F77">
    <w:pPr>
      <w:pStyle w:val="EPFooter"/>
    </w:pPr>
    <w:r w:rsidRPr="00FF0DA5">
      <w:rPr>
        <w:rStyle w:val="HideTWBExt"/>
        <w:noProof w:val="0"/>
      </w:rPr>
      <w:t>&lt;PathFdR&gt;</w:t>
    </w:r>
    <w:r w:rsidRPr="00FF0DA5">
      <w:t>RE\1222135CS.docx</w:t>
    </w:r>
    <w:r w:rsidRPr="00FF0DA5">
      <w:rPr>
        <w:rStyle w:val="HideTWBExt"/>
        <w:noProof w:val="0"/>
      </w:rPr>
      <w:t>&lt;/PathFdR&gt;</w:t>
    </w:r>
    <w:r w:rsidRPr="00FF0DA5">
      <w:tab/>
    </w:r>
    <w:r w:rsidRPr="00FF0DA5">
      <w:fldChar w:fldCharType="begin"/>
    </w:r>
    <w:r w:rsidRPr="00FF0DA5">
      <w:instrText xml:space="preserve"> PAGE  \* MERGEFORMAT </w:instrText>
    </w:r>
    <w:r w:rsidRPr="00FF0DA5">
      <w:fldChar w:fldCharType="separate"/>
    </w:r>
    <w:r w:rsidR="00C8676E">
      <w:rPr>
        <w:noProof/>
      </w:rPr>
      <w:t>5</w:t>
    </w:r>
    <w:r w:rsidRPr="00FF0DA5">
      <w:fldChar w:fldCharType="end"/>
    </w:r>
    <w:r w:rsidRPr="00FF0DA5">
      <w:t>/</w:t>
    </w:r>
    <w:r w:rsidR="00C8676E">
      <w:fldChar w:fldCharType="begin"/>
    </w:r>
    <w:r w:rsidR="00C8676E">
      <w:instrText xml:space="preserve"> NUMPAGES  \* MERGEFORMAT </w:instrText>
    </w:r>
    <w:r w:rsidR="00C8676E">
      <w:fldChar w:fldCharType="separate"/>
    </w:r>
    <w:r w:rsidR="00C8676E">
      <w:rPr>
        <w:noProof/>
      </w:rPr>
      <w:t>5</w:t>
    </w:r>
    <w:r w:rsidR="00C8676E">
      <w:rPr>
        <w:noProof/>
      </w:rPr>
      <w:fldChar w:fldCharType="end"/>
    </w:r>
    <w:r w:rsidRPr="00FF0DA5">
      <w:tab/>
      <w:t>PE</w:t>
    </w:r>
    <w:r w:rsidRPr="00FF0DA5">
      <w:rPr>
        <w:rStyle w:val="HideTWBExt"/>
        <w:noProof w:val="0"/>
      </w:rPr>
      <w:t>&lt;NoPE&gt;</w:t>
    </w:r>
    <w:r w:rsidRPr="00FF0DA5">
      <w:t>663.216</w:t>
    </w:r>
    <w:r w:rsidRPr="00FF0DA5">
      <w:rPr>
        <w:rStyle w:val="HideTWBExt"/>
        <w:noProof w:val="0"/>
      </w:rPr>
      <w:t>&lt;/NoPE&gt;&lt;Version&gt;</w:t>
    </w:r>
    <w:r w:rsidRPr="00FF0DA5">
      <w:t>v01-00</w:t>
    </w:r>
    <w:r w:rsidRPr="00FF0DA5">
      <w:rPr>
        <w:rStyle w:val="HideTWBExt"/>
        <w:noProof w:val="0"/>
      </w:rPr>
      <w:t>&lt;/Version&gt;</w:t>
    </w:r>
  </w:p>
  <w:p w:rsidR="00A90219" w:rsidRPr="00FF0DA5" w:rsidRDefault="00E62F77" w:rsidP="00E62F77">
    <w:pPr>
      <w:pStyle w:val="EPFooter2"/>
    </w:pPr>
    <w:r w:rsidRPr="00FF0DA5">
      <w:tab/>
    </w:r>
    <w:r w:rsidRPr="00FF0DA5">
      <w:tab/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F77" w:rsidRPr="00FF0DA5" w:rsidRDefault="00E62F77" w:rsidP="00E62F77">
    <w:pPr>
      <w:pStyle w:val="EPFooter"/>
    </w:pPr>
    <w:r w:rsidRPr="00FF0DA5">
      <w:rPr>
        <w:rStyle w:val="HideTWBExt"/>
        <w:noProof w:val="0"/>
      </w:rPr>
      <w:t>&lt;PathFdR&gt;</w:t>
    </w:r>
    <w:r w:rsidRPr="00FF0DA5">
      <w:t>RE\1222135CS.docx</w:t>
    </w:r>
    <w:r w:rsidRPr="00FF0DA5">
      <w:rPr>
        <w:rStyle w:val="HideTWBExt"/>
        <w:noProof w:val="0"/>
      </w:rPr>
      <w:t>&lt;/PathFdR&gt;</w:t>
    </w:r>
    <w:r w:rsidRPr="00FF0DA5">
      <w:tab/>
    </w:r>
    <w:r w:rsidRPr="00FF0DA5">
      <w:tab/>
      <w:t>PE</w:t>
    </w:r>
    <w:r w:rsidRPr="00FF0DA5">
      <w:rPr>
        <w:rStyle w:val="HideTWBExt"/>
        <w:noProof w:val="0"/>
      </w:rPr>
      <w:t>&lt;NoPE&gt;</w:t>
    </w:r>
    <w:r w:rsidRPr="00FF0DA5">
      <w:t>663.216</w:t>
    </w:r>
    <w:r w:rsidRPr="00FF0DA5">
      <w:rPr>
        <w:rStyle w:val="HideTWBExt"/>
        <w:noProof w:val="0"/>
      </w:rPr>
      <w:t>&lt;/NoPE&gt;&lt;Version&gt;</w:t>
    </w:r>
    <w:r w:rsidRPr="00FF0DA5">
      <w:t>v01-00</w:t>
    </w:r>
    <w:r w:rsidRPr="00FF0DA5">
      <w:rPr>
        <w:rStyle w:val="HideTWBExt"/>
        <w:noProof w:val="0"/>
      </w:rPr>
      <w:t>&lt;/Version&gt;</w:t>
    </w:r>
  </w:p>
  <w:p w:rsidR="00A90219" w:rsidRPr="00FF0DA5" w:rsidRDefault="00E62F77" w:rsidP="00E62F77">
    <w:pPr>
      <w:pStyle w:val="EPFooter2"/>
    </w:pPr>
    <w:r w:rsidRPr="00FF0DA5">
      <w:t>CS</w:t>
    </w:r>
    <w:r w:rsidRPr="00FF0DA5">
      <w:tab/>
    </w:r>
    <w:r w:rsidRPr="00FF0DA5">
      <w:rPr>
        <w:b w:val="0"/>
        <w:i/>
        <w:color w:val="C0C0C0"/>
        <w:sz w:val="22"/>
      </w:rPr>
      <w:t>Jednotná v rozmanitosti</w:t>
    </w:r>
    <w:r w:rsidRPr="00FF0DA5">
      <w:tab/>
      <w:t>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BF" w:rsidRPr="00FF0DA5" w:rsidRDefault="00AD4FBF">
      <w:r w:rsidRPr="00FF0DA5">
        <w:separator/>
      </w:r>
    </w:p>
  </w:footnote>
  <w:footnote w:type="continuationSeparator" w:id="0">
    <w:p w:rsidR="00AD4FBF" w:rsidRPr="00FF0DA5" w:rsidRDefault="00AD4FBF">
      <w:r w:rsidRPr="00FF0DA5">
        <w:continuationSeparator/>
      </w:r>
    </w:p>
  </w:footnote>
  <w:footnote w:id="1">
    <w:p w:rsidR="0086595E" w:rsidRPr="00FF0DA5" w:rsidRDefault="0086595E" w:rsidP="0086595E">
      <w:pPr>
        <w:pStyle w:val="FootnoteText"/>
        <w:rPr>
          <w:rFonts w:ascii="Times New Roman" w:hAnsi="Times New Roman" w:cs="Times New Roman"/>
        </w:rPr>
      </w:pPr>
      <w:r>
        <w:rPr>
          <w:rStyle w:val="Funotenzeichen"/>
          <w:rFonts w:ascii="Times New Roman" w:hAnsi="Times New Roman" w:cs="Times New Roman"/>
        </w:rPr>
        <w:footnoteRef/>
      </w:r>
      <w:hyperlink r:id="rId1" w:history="1">
        <w:r>
          <w:rPr>
            <w:rStyle w:val="Hyperlink"/>
            <w:rFonts w:ascii="Times New Roman" w:hAnsi="Times New Roman"/>
          </w:rPr>
          <w:tab/>
        </w:r>
        <w:hyperlink r:id="rId2" w:history="1">
          <w:r>
            <w:rPr>
              <w:rStyle w:val="Hyperlink"/>
              <w:rFonts w:ascii="Times New Roman" w:hAnsi="Times New Roman"/>
            </w:rPr>
            <w:t>https://eur-lex.europa.eu/legal-content/CS/TXT/?uri=CELEX:62018CA0311&amp;qid=1610640279033</w:t>
          </w:r>
        </w:hyperlink>
      </w:hyperlink>
      <w:r>
        <w:rPr>
          <w:rFonts w:ascii="Times New Roman" w:hAnsi="Times New Roman"/>
        </w:rPr>
        <w:t xml:space="preserve"> </w:t>
      </w:r>
    </w:p>
  </w:footnote>
  <w:footnote w:id="2">
    <w:p w:rsidR="0086595E" w:rsidRPr="00FF0DA5" w:rsidRDefault="0086595E" w:rsidP="008659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https://eur-lex.europa.eu/legal-content/CS/TXT/?uri=CELEX:62014CJ0362</w:t>
        </w:r>
      </w:hyperlink>
      <w:r>
        <w:t xml:space="preserve"> </w:t>
      </w:r>
    </w:p>
  </w:footnote>
  <w:footnote w:id="3">
    <w:p w:rsidR="0086595E" w:rsidRPr="00FF0DA5" w:rsidRDefault="0086595E" w:rsidP="008659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4" w:history="1">
        <w:r>
          <w:rPr>
            <w:rStyle w:val="Hyperlink"/>
          </w:rPr>
          <w:t>https://eur-lex.europa.eu/legal-content/CS/TXT/?uri=CELEX:62017CJ0623</w:t>
        </w:r>
      </w:hyperlink>
      <w:r>
        <w:t xml:space="preserve"> </w:t>
      </w:r>
    </w:p>
  </w:footnote>
  <w:footnote w:id="4">
    <w:p w:rsidR="0086595E" w:rsidRPr="00FF0DA5" w:rsidRDefault="0086595E" w:rsidP="0086595E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ab/>
        <w:t xml:space="preserve">P8_TA(2018)0315, </w:t>
      </w:r>
      <w:hyperlink r:id="rId5" w:history="1">
        <w:r>
          <w:rPr>
            <w:rFonts w:ascii="Times New Roman" w:hAnsi="Times New Roman"/>
          </w:rPr>
          <w:t>https://www.europarl.europa.eu/doceo/document/TA-8-2018-0315_CS.html</w:t>
        </w:r>
      </w:hyperlink>
      <w:r>
        <w:rPr>
          <w:rFonts w:ascii="Times New Roman" w:hAnsi="Times New Roman"/>
        </w:rPr>
        <w:t xml:space="preserve"> </w:t>
      </w:r>
    </w:p>
  </w:footnote>
  <w:footnote w:id="5">
    <w:p w:rsidR="0086595E" w:rsidRPr="00FF0DA5" w:rsidRDefault="0086595E" w:rsidP="0086595E">
      <w:pPr>
        <w:rPr>
          <w:sz w:val="20"/>
        </w:rPr>
      </w:pPr>
      <w:r>
        <w:rPr>
          <w:sz w:val="20"/>
        </w:rPr>
        <w:footnoteRef/>
      </w:r>
      <w:r>
        <w:rPr>
          <w:sz w:val="20"/>
        </w:rPr>
        <w:t xml:space="preserve">   P8_TA(2018)0433, </w:t>
      </w:r>
      <w:hyperlink r:id="rId6" w:history="1">
        <w:r>
          <w:rPr>
            <w:sz w:val="20"/>
          </w:rPr>
          <w:t>https://www.europarl.europa.eu/doceo/document/TA-8-2018-0433_CS.html</w:t>
        </w:r>
      </w:hyperlink>
      <w:r>
        <w:rPr>
          <w:sz w:val="20"/>
        </w:rPr>
        <w:t xml:space="preserve"> </w:t>
      </w:r>
    </w:p>
  </w:footnote>
  <w:footnote w:id="6">
    <w:p w:rsidR="0086595E" w:rsidRPr="00FF0DA5" w:rsidRDefault="0086595E" w:rsidP="0086595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P9_TA(2020)0337, https://www.europarl.europa.eu/doceo/document/TA-9-2020-0337_CS.html</w:t>
      </w:r>
    </w:p>
  </w:footnote>
  <w:footnote w:id="7">
    <w:p w:rsidR="0086595E" w:rsidRPr="00FF0DA5" w:rsidRDefault="0086595E" w:rsidP="0086595E">
      <w:pPr>
        <w:pStyle w:val="BodyText"/>
        <w:rPr>
          <w:sz w:val="20"/>
        </w:rPr>
      </w:pPr>
      <w:r w:rsidRPr="00715B36">
        <w:rPr>
          <w:vertAlign w:val="superscript"/>
        </w:rPr>
        <w:footnoteRef/>
      </w:r>
      <w:r w:rsidRPr="00715B36">
        <w:rPr>
          <w:sz w:val="20"/>
          <w:vertAlign w:val="superscript"/>
        </w:rPr>
        <w:t xml:space="preserve"> </w:t>
      </w:r>
      <w:r>
        <w:rPr>
          <w:sz w:val="20"/>
        </w:rPr>
        <w:t xml:space="preserve">  </w:t>
      </w:r>
      <w:r w:rsidRPr="00715B36">
        <w:rPr>
          <w:sz w:val="20"/>
        </w:rPr>
        <w:t>Nařízení Evropského parlamentu a Rady (EU) 2016/679 ze dne 27. dubna 2016 o ochraně fyzických osob v</w:t>
      </w:r>
      <w:r w:rsidR="00715B36">
        <w:rPr>
          <w:sz w:val="20"/>
        </w:rPr>
        <w:t> </w:t>
      </w:r>
      <w:r w:rsidRPr="00715B36">
        <w:rPr>
          <w:sz w:val="20"/>
        </w:rPr>
        <w:t>souvislosti se zpracováním osobních údajů a o volném pohybu těchto údajů a o zrušení směrnice 95/46/ES (obecné nařízení o ochraně osobních údajů), Úř. věst. L 119, 4.5.2016, s. 1, 1–88</w:t>
      </w:r>
      <w:r>
        <w:t xml:space="preserve">, </w:t>
      </w:r>
      <w:hyperlink r:id="rId7" w:history="1">
        <w:r>
          <w:rPr>
            <w:color w:val="4472C4" w:themeColor="accent5"/>
            <w:sz w:val="20"/>
            <w:u w:val="single"/>
          </w:rPr>
          <w:t>http://data.europa.eu/eli/reg/2016/679/oj</w:t>
        </w:r>
      </w:hyperlink>
      <w:r>
        <w:rPr>
          <w:sz w:val="20"/>
        </w:rPr>
        <w:t xml:space="preserve">    </w:t>
      </w:r>
    </w:p>
    <w:p w:rsidR="0086595E" w:rsidRPr="00FF0DA5" w:rsidRDefault="0086595E" w:rsidP="0086595E">
      <w:pPr>
        <w:pStyle w:val="FootnoteText"/>
        <w:rPr>
          <w:rFonts w:ascii="DejaVu Sans" w:hAnsi="DejaVu Sans"/>
        </w:rPr>
      </w:pPr>
    </w:p>
  </w:footnote>
  <w:footnote w:id="8">
    <w:p w:rsidR="0086595E" w:rsidRPr="00FF0DA5" w:rsidRDefault="0086595E" w:rsidP="008659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https://edpb.europa.eu/our-work-tools/public-consultations-art-704/2020/recommendations-012020-measures-supplement-transfer_cs</w:t>
        </w:r>
      </w:hyperlink>
    </w:p>
    <w:p w:rsidR="0086595E" w:rsidRPr="00FF0DA5" w:rsidRDefault="0086595E" w:rsidP="0086595E">
      <w:pPr>
        <w:pStyle w:val="FootnoteText"/>
      </w:pPr>
      <w:r>
        <w:tab/>
      </w:r>
      <w:hyperlink r:id="rId9" w:history="1">
        <w:r>
          <w:rPr>
            <w:rStyle w:val="Hyperlink"/>
          </w:rPr>
          <w:t>https://edpb.europa.eu/our-work-tools/our-documents/preporki/recommendations-022020-european-essential-guarantees_cs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15" w:rsidRDefault="00781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15" w:rsidRDefault="00781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15" w:rsidRDefault="00781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22"/>
    <w:docVar w:name="TXTLANGUE" w:val="CS"/>
    <w:docVar w:name="TXTLANGUEMIN" w:val="cs"/>
    <w:docVar w:name="TXTNRPE" w:val="663.216"/>
    <w:docVar w:name="TXTNRRSP" w:val="2020/2789"/>
    <w:docVar w:name="TXTPEorAP" w:val="PE"/>
    <w:docVar w:name="TXTROUTE" w:val="RE\1222135CS.docx"/>
    <w:docVar w:name="TXTTITLE" w:val="on the ruling of the ECJ of 16 July 2020 - Data Protection Commissioner v Facebook Ireland Limited, Maximillian Schrems (“Schrems II”) - Case C-311/18"/>
    <w:docVar w:name="TXTVERSION" w:val="01-00"/>
  </w:docVars>
  <w:rsids>
    <w:rsidRoot w:val="00AD4FBF"/>
    <w:rsid w:val="00037F46"/>
    <w:rsid w:val="00061D29"/>
    <w:rsid w:val="00094DDA"/>
    <w:rsid w:val="00117781"/>
    <w:rsid w:val="001B49A3"/>
    <w:rsid w:val="001B7CFB"/>
    <w:rsid w:val="001C16A7"/>
    <w:rsid w:val="001C62C5"/>
    <w:rsid w:val="001E2450"/>
    <w:rsid w:val="00222BBB"/>
    <w:rsid w:val="002574AA"/>
    <w:rsid w:val="002C7767"/>
    <w:rsid w:val="00303413"/>
    <w:rsid w:val="003772FA"/>
    <w:rsid w:val="00411D03"/>
    <w:rsid w:val="00412503"/>
    <w:rsid w:val="00431A96"/>
    <w:rsid w:val="00471D62"/>
    <w:rsid w:val="004B5166"/>
    <w:rsid w:val="00516BD3"/>
    <w:rsid w:val="0058312A"/>
    <w:rsid w:val="005D6861"/>
    <w:rsid w:val="00654CBD"/>
    <w:rsid w:val="006726A1"/>
    <w:rsid w:val="006A27B7"/>
    <w:rsid w:val="006F48B8"/>
    <w:rsid w:val="00706BC0"/>
    <w:rsid w:val="00715B36"/>
    <w:rsid w:val="00723A0B"/>
    <w:rsid w:val="00780A7D"/>
    <w:rsid w:val="00781715"/>
    <w:rsid w:val="007E1E11"/>
    <w:rsid w:val="00814BC6"/>
    <w:rsid w:val="008278C0"/>
    <w:rsid w:val="0086595E"/>
    <w:rsid w:val="00866D70"/>
    <w:rsid w:val="008A4052"/>
    <w:rsid w:val="008D7B31"/>
    <w:rsid w:val="008F5EFB"/>
    <w:rsid w:val="00907285"/>
    <w:rsid w:val="00910F7E"/>
    <w:rsid w:val="00981ED6"/>
    <w:rsid w:val="009D24DE"/>
    <w:rsid w:val="00A32337"/>
    <w:rsid w:val="00A4763A"/>
    <w:rsid w:val="00A516B8"/>
    <w:rsid w:val="00A90219"/>
    <w:rsid w:val="00AD4FBF"/>
    <w:rsid w:val="00B34A46"/>
    <w:rsid w:val="00B90331"/>
    <w:rsid w:val="00BC3002"/>
    <w:rsid w:val="00BF2C2D"/>
    <w:rsid w:val="00C23264"/>
    <w:rsid w:val="00C8676E"/>
    <w:rsid w:val="00CC09D8"/>
    <w:rsid w:val="00D12F64"/>
    <w:rsid w:val="00D44718"/>
    <w:rsid w:val="00D90D37"/>
    <w:rsid w:val="00DF7943"/>
    <w:rsid w:val="00E53167"/>
    <w:rsid w:val="00E62F77"/>
    <w:rsid w:val="00EA43FB"/>
    <w:rsid w:val="00EC05E9"/>
    <w:rsid w:val="00ED22B8"/>
    <w:rsid w:val="00F02A2C"/>
    <w:rsid w:val="00F26DE8"/>
    <w:rsid w:val="00F4455A"/>
    <w:rsid w:val="00F7050A"/>
    <w:rsid w:val="00F959BA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CC5E-54B1-487B-9DC7-E5AE8E23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character" w:styleId="Hyperlink">
    <w:name w:val="Hyperlink"/>
    <w:basedOn w:val="DefaultParagraphFont"/>
    <w:uiPriority w:val="99"/>
    <w:unhideWhenUsed/>
    <w:rsid w:val="0086595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86595E"/>
    <w:pPr>
      <w:widowControl/>
      <w:suppressLineNumbers/>
      <w:ind w:left="339" w:hanging="339"/>
    </w:pPr>
    <w:rPr>
      <w:rFonts w:ascii="DejaVu Serif" w:eastAsia="DejaVu Sans" w:hAnsi="DejaVu Serif" w:cs="Noto Sans Devanagari"/>
      <w:kern w:val="2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86595E"/>
    <w:rPr>
      <w:rFonts w:ascii="DejaVu Serif" w:eastAsia="DejaVu Sans" w:hAnsi="DejaVu Serif" w:cs="Noto Sans Devanagari"/>
      <w:kern w:val="2"/>
      <w:lang w:val="cs-CZ" w:eastAsia="zh-CN" w:bidi="hi-IN"/>
    </w:rPr>
  </w:style>
  <w:style w:type="character" w:customStyle="1" w:styleId="Funotenzeichen">
    <w:name w:val="Fußnotenzeichen"/>
    <w:qFormat/>
    <w:rsid w:val="0086595E"/>
  </w:style>
  <w:style w:type="character" w:styleId="FootnoteReference">
    <w:name w:val="footnote reference"/>
    <w:basedOn w:val="DefaultParagraphFont"/>
    <w:uiPriority w:val="99"/>
    <w:unhideWhenUsed/>
    <w:rsid w:val="0086595E"/>
    <w:rPr>
      <w:vertAlign w:val="superscript"/>
    </w:rPr>
  </w:style>
  <w:style w:type="paragraph" w:styleId="BodyText">
    <w:name w:val="Body Text"/>
    <w:basedOn w:val="Normal"/>
    <w:link w:val="BodyTextChar"/>
    <w:rsid w:val="008659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595E"/>
    <w:rPr>
      <w:sz w:val="24"/>
    </w:rPr>
  </w:style>
  <w:style w:type="paragraph" w:styleId="Footer">
    <w:name w:val="footer"/>
    <w:basedOn w:val="Normal"/>
    <w:link w:val="FooterChar"/>
    <w:semiHidden/>
    <w:rsid w:val="008659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86595E"/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our-work-tools/public-consultations-art-704/2020/recommendations-012020-measures-supplement-transfer_en" TargetMode="External"/><Relationship Id="rId3" Type="http://schemas.openxmlformats.org/officeDocument/2006/relationships/hyperlink" Target="https://eur-lex.europa.eu/legal-content/CS/TXT/?uri=CELEX:62014CJ0362" TargetMode="External"/><Relationship Id="rId7" Type="http://schemas.openxmlformats.org/officeDocument/2006/relationships/hyperlink" Target="http://data.europa.eu/eli/reg/2016/679/oj" TargetMode="External"/><Relationship Id="rId2" Type="http://schemas.openxmlformats.org/officeDocument/2006/relationships/hyperlink" Target="https://eur-lex.europa.eu/legal-content/CS/TXT/?uri=CELEX:62018CA0311&amp;qid=1610640279033" TargetMode="External"/><Relationship Id="rId1" Type="http://schemas.openxmlformats.org/officeDocument/2006/relationships/hyperlink" Target="file:///C:\Users\cbull\AppData\Local\Microsoft\Windows\INetCache\Content.Outlook\9A0NKB2P\%09https:\eur-lex.europa.eu\legal-content\CS\TXT\?uri=CELEX:62018CJ0311" TargetMode="External"/><Relationship Id="rId6" Type="http://schemas.openxmlformats.org/officeDocument/2006/relationships/hyperlink" Target="https://www.europarl.europa.eu/doceo/document/TA-8-2018-0433_CS.html" TargetMode="External"/><Relationship Id="rId5" Type="http://schemas.openxmlformats.org/officeDocument/2006/relationships/hyperlink" Target="https://www.europarl.europa.eu/doceo/document/TA-8-2018-0315_CS.html" TargetMode="External"/><Relationship Id="rId4" Type="http://schemas.openxmlformats.org/officeDocument/2006/relationships/hyperlink" Target="https://eur-lex.europa.eu/legal-content/CS/TXT/?uri=CELEX:62017CJ0623" TargetMode="External"/><Relationship Id="rId9" Type="http://schemas.openxmlformats.org/officeDocument/2006/relationships/hyperlink" Target="https://edpb.europa.eu/our-work-tools/our-documents/recommendations/edpb-recommendations-022020-european-essen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8474</Characters>
  <Application>Microsoft Office Word</Application>
  <DocSecurity>0</DocSecurity>
  <Lines>159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VYROUBALOVA Jana</dc:creator>
  <cp:keywords/>
  <dc:description/>
  <cp:lastModifiedBy>SODOMKOVA Renata</cp:lastModifiedBy>
  <cp:revision>2</cp:revision>
  <cp:lastPrinted>2004-11-19T15:55:00Z</cp:lastPrinted>
  <dcterms:created xsi:type="dcterms:W3CDTF">2021-01-29T10:41:00Z</dcterms:created>
  <dcterms:modified xsi:type="dcterms:W3CDTF">2021-01-29T10:41:00Z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1222135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\\eiciBRUpr1\pdocep$\DocEP\TRANSFIL\CS\RE_Statements.CS(26/06/2019 10:41:00)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RE\1222135CS.docx</vt:lpwstr>
  </property>
  <property fmtid="{D5CDD505-2E9C-101B-9397-08002B2CF9AE}" pid="10" name="PE number">
    <vt:lpwstr>663.216</vt:lpwstr>
  </property>
  <property fmtid="{D5CDD505-2E9C-101B-9397-08002B2CF9AE}" pid="11" name="Bookout">
    <vt:lpwstr>OK - 2021/01/29 11:41</vt:lpwstr>
  </property>
  <property fmtid="{D5CDD505-2E9C-101B-9397-08002B2CF9AE}" pid="12" name="SDLStudio">
    <vt:lpwstr/>
  </property>
  <property fmtid="{D5CDD505-2E9C-101B-9397-08002B2CF9AE}" pid="13" name="&lt;Extension&gt;">
    <vt:lpwstr>CS</vt:lpwstr>
  </property>
</Properties>
</file>