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070205" w14:paraId="5A95D407" w14:textId="77777777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14:paraId="702AD9E4" w14:textId="77777777" w:rsidR="008F5EFB" w:rsidRPr="00070205" w:rsidRDefault="00F510C8" w:rsidP="00C85D0F">
            <w:pPr>
              <w:pStyle w:val="EPName"/>
            </w:pPr>
            <w:bookmarkStart w:id="0" w:name="_GoBack"/>
            <w:bookmarkEnd w:id="0"/>
            <w:r w:rsidRPr="00070205">
              <w:t>Европейски парламент</w:t>
            </w:r>
          </w:p>
          <w:p w14:paraId="36F604D4" w14:textId="77777777" w:rsidR="008F5EFB" w:rsidRPr="00070205" w:rsidRDefault="003A76FC" w:rsidP="003A76FC">
            <w:pPr>
              <w:pStyle w:val="EPTerm"/>
            </w:pPr>
            <w:r w:rsidRPr="00070205">
              <w:t>2019-2024</w:t>
            </w:r>
          </w:p>
        </w:tc>
        <w:tc>
          <w:tcPr>
            <w:tcW w:w="2268" w:type="dxa"/>
            <w:shd w:val="clear" w:color="auto" w:fill="auto"/>
          </w:tcPr>
          <w:p w14:paraId="1723FC61" w14:textId="77777777" w:rsidR="008F5EFB" w:rsidRPr="00070205" w:rsidRDefault="008F5EFB" w:rsidP="00C85D0F">
            <w:pPr>
              <w:pStyle w:val="EPLogo"/>
            </w:pPr>
            <w:r w:rsidRPr="00070205">
              <w:rPr>
                <w:lang w:val="en-GB"/>
              </w:rPr>
              <w:drawing>
                <wp:inline distT="0" distB="0" distL="0" distR="0" wp14:anchorId="56207258" wp14:editId="35CF6CB1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3F2A0" w14:textId="77777777" w:rsidR="00E53167" w:rsidRPr="00070205" w:rsidRDefault="00E53167" w:rsidP="00E53167">
      <w:pPr>
        <w:pStyle w:val="LineTop"/>
      </w:pPr>
    </w:p>
    <w:p w14:paraId="69AFB50C" w14:textId="77777777" w:rsidR="00E53167" w:rsidRPr="00070205" w:rsidRDefault="003A76FC" w:rsidP="00E53167">
      <w:pPr>
        <w:pStyle w:val="EPBody"/>
      </w:pPr>
      <w:r w:rsidRPr="00070205">
        <w:rPr>
          <w:rStyle w:val="HideTWBInt"/>
        </w:rPr>
        <w:t>{LIBE}</w:t>
      </w:r>
      <w:r w:rsidRPr="00070205">
        <w:t>Комисия по граждански свободи, правосъдие и вътрешни работи</w:t>
      </w:r>
    </w:p>
    <w:p w14:paraId="14C16DCC" w14:textId="77777777" w:rsidR="00094DDA" w:rsidRPr="00070205" w:rsidRDefault="00094DDA" w:rsidP="00094DDA">
      <w:pPr>
        <w:pStyle w:val="LineBottom"/>
      </w:pPr>
    </w:p>
    <w:p w14:paraId="5B9DD5D1" w14:textId="77777777" w:rsidR="00094DDA" w:rsidRPr="00070205" w:rsidRDefault="00094DDA" w:rsidP="00094DDA">
      <w:pPr>
        <w:pStyle w:val="CoverReference"/>
      </w:pPr>
      <w:r w:rsidRPr="00070205">
        <w:rPr>
          <w:rStyle w:val="HideTWBExt"/>
          <w:b w:val="0"/>
          <w:noProof w:val="0"/>
        </w:rPr>
        <w:t>&lt;NoDocSe&gt;</w:t>
      </w:r>
      <w:r w:rsidRPr="00070205">
        <w:t>2020/2789(RSP)</w:t>
      </w:r>
      <w:r w:rsidRPr="00070205">
        <w:rPr>
          <w:rStyle w:val="HideTWBExt"/>
          <w:b w:val="0"/>
          <w:noProof w:val="0"/>
        </w:rPr>
        <w:t>&lt;/NoDocSe&gt;</w:t>
      </w:r>
    </w:p>
    <w:p w14:paraId="5120A14B" w14:textId="77777777" w:rsidR="00094DDA" w:rsidRPr="00070205" w:rsidRDefault="00094DDA" w:rsidP="00094DDA">
      <w:pPr>
        <w:pStyle w:val="CoverDate"/>
      </w:pPr>
      <w:r w:rsidRPr="00070205">
        <w:rPr>
          <w:rStyle w:val="HideTWBExt"/>
          <w:noProof w:val="0"/>
        </w:rPr>
        <w:t>&lt;Date&gt;</w:t>
      </w:r>
      <w:r w:rsidRPr="00070205">
        <w:rPr>
          <w:rStyle w:val="HideTWBInt"/>
        </w:rPr>
        <w:t>{13/01/2021}</w:t>
      </w:r>
      <w:r w:rsidRPr="00070205">
        <w:t>13.1.2021</w:t>
      </w:r>
      <w:r w:rsidRPr="00070205">
        <w:rPr>
          <w:rStyle w:val="HideTWBExt"/>
          <w:noProof w:val="0"/>
        </w:rPr>
        <w:t>&lt;/Date&gt;</w:t>
      </w:r>
    </w:p>
    <w:p w14:paraId="6BD8A970" w14:textId="77777777" w:rsidR="00814BC6" w:rsidRPr="00070205" w:rsidRDefault="00814BC6">
      <w:pPr>
        <w:pStyle w:val="CoverDocType24a"/>
      </w:pPr>
      <w:r w:rsidRPr="00070205">
        <w:rPr>
          <w:rStyle w:val="HideTWBExt"/>
          <w:b w:val="0"/>
          <w:noProof w:val="0"/>
        </w:rPr>
        <w:t>&lt;TitreType&gt;</w:t>
      </w:r>
      <w:r w:rsidRPr="00070205">
        <w:t>ПРОЕКТ НА ПРЕДЛОЖЕНИЕ ЗА РЕЗОЛЮЦИЯ</w:t>
      </w:r>
      <w:r w:rsidRPr="00070205">
        <w:rPr>
          <w:rStyle w:val="HideTWBExt"/>
          <w:b w:val="0"/>
          <w:noProof w:val="0"/>
        </w:rPr>
        <w:t>&lt;/TitreType&gt;</w:t>
      </w:r>
    </w:p>
    <w:p w14:paraId="71E91CCE" w14:textId="77777777" w:rsidR="00814BC6" w:rsidRPr="00070205" w:rsidRDefault="00814BC6">
      <w:pPr>
        <w:pStyle w:val="CoverNormal12a"/>
      </w:pPr>
      <w:r w:rsidRPr="00070205">
        <w:rPr>
          <w:rStyle w:val="HideTWBExt"/>
          <w:noProof w:val="0"/>
        </w:rPr>
        <w:t>&lt;TitreSuite&gt;</w:t>
      </w:r>
      <w:r w:rsidRPr="00070205">
        <w:t>за приключване на разисквания по изявление на Комисията</w:t>
      </w:r>
      <w:r w:rsidRPr="00070205">
        <w:rPr>
          <w:rStyle w:val="HideTWBExt"/>
          <w:noProof w:val="0"/>
        </w:rPr>
        <w:t>&lt;/TitreSuite&gt;</w:t>
      </w:r>
    </w:p>
    <w:p w14:paraId="1702F310" w14:textId="77777777" w:rsidR="00814BC6" w:rsidRPr="00070205" w:rsidRDefault="00814BC6">
      <w:pPr>
        <w:pStyle w:val="CoverNormal12a"/>
      </w:pPr>
      <w:r w:rsidRPr="00070205">
        <w:rPr>
          <w:rStyle w:val="HideTWBExt"/>
          <w:noProof w:val="0"/>
        </w:rPr>
        <w:t>&lt;TitreRecueil&gt;</w:t>
      </w:r>
      <w:r w:rsidRPr="00070205">
        <w:t>внесен съгласно член 132, параграф 2 от Правилника за дейността</w:t>
      </w:r>
      <w:r w:rsidRPr="00070205">
        <w:rPr>
          <w:rStyle w:val="HideTWBExt"/>
          <w:noProof w:val="0"/>
        </w:rPr>
        <w:t>&lt;/TitreRecueil&gt;</w:t>
      </w:r>
    </w:p>
    <w:p w14:paraId="673379C3" w14:textId="453B0284" w:rsidR="00C23264" w:rsidRPr="00070205" w:rsidRDefault="00C23264" w:rsidP="00C23264">
      <w:pPr>
        <w:pStyle w:val="CoverNormal"/>
      </w:pPr>
      <w:r w:rsidRPr="00070205">
        <w:rPr>
          <w:rStyle w:val="HideTWBExt"/>
          <w:noProof w:val="0"/>
        </w:rPr>
        <w:t>&lt;Titre&gt;</w:t>
      </w:r>
      <w:r w:rsidRPr="00070205">
        <w:t>относно решението на Съда на Европейския съюз от 16 юли 2020 г. – Data Protection Commissioner срещу Facebook Ireland Limited и Maximillian Schrems („Schrems II“) – Дело C-311/18</w:t>
      </w:r>
      <w:r w:rsidRPr="00070205">
        <w:rPr>
          <w:rStyle w:val="HideTWBExt"/>
          <w:noProof w:val="0"/>
        </w:rPr>
        <w:t>&lt;/Titre&gt;</w:t>
      </w:r>
    </w:p>
    <w:p w14:paraId="3CD31C96" w14:textId="77777777" w:rsidR="00C23264" w:rsidRPr="00070205" w:rsidRDefault="00C23264" w:rsidP="00C23264">
      <w:pPr>
        <w:pStyle w:val="CoverNormal24a"/>
      </w:pPr>
      <w:r w:rsidRPr="00070205">
        <w:rPr>
          <w:rStyle w:val="HideTWBExt"/>
          <w:noProof w:val="0"/>
        </w:rPr>
        <w:t>&lt;DocRef&gt;</w:t>
      </w:r>
      <w:r w:rsidRPr="00070205">
        <w:t>(2020/2789(RSP))</w:t>
      </w:r>
      <w:r w:rsidRPr="00070205">
        <w:rPr>
          <w:rStyle w:val="HideTWBExt"/>
          <w:noProof w:val="0"/>
        </w:rPr>
        <w:t>&lt;/DocRef&gt;</w:t>
      </w:r>
    </w:p>
    <w:p w14:paraId="09FC6BCE" w14:textId="77777777" w:rsidR="002574AA" w:rsidRPr="00070205" w:rsidRDefault="002574AA" w:rsidP="002574AA">
      <w:pPr>
        <w:pStyle w:val="CoverBold"/>
      </w:pPr>
      <w:r w:rsidRPr="00070205">
        <w:rPr>
          <w:rStyle w:val="HideTWBExt"/>
          <w:b w:val="0"/>
          <w:noProof w:val="0"/>
        </w:rPr>
        <w:t>&lt;RepeatBlock-By&gt;&lt;Depute&gt;</w:t>
      </w:r>
      <w:r w:rsidRPr="00070205">
        <w:t>Хуан Фернандо Лопес Агилар</w:t>
      </w:r>
      <w:r w:rsidRPr="00070205">
        <w:rPr>
          <w:rStyle w:val="HideTWBExt"/>
          <w:b w:val="0"/>
          <w:noProof w:val="0"/>
          <w:color w:val="auto"/>
        </w:rPr>
        <w:t>&lt;/Depute&gt;</w:t>
      </w:r>
    </w:p>
    <w:p w14:paraId="33C071FD" w14:textId="5B0044C3" w:rsidR="002574AA" w:rsidRPr="00070205" w:rsidRDefault="002574AA" w:rsidP="002574AA">
      <w:pPr>
        <w:pStyle w:val="CoverNormal"/>
      </w:pPr>
      <w:r w:rsidRPr="00070205">
        <w:rPr>
          <w:rStyle w:val="HideTWBExt"/>
          <w:noProof w:val="0"/>
        </w:rPr>
        <w:t>&lt;Commission&gt;</w:t>
      </w:r>
      <w:r w:rsidRPr="00070205">
        <w:rPr>
          <w:rStyle w:val="HideTWBInt"/>
        </w:rPr>
        <w:t>{LIBE}</w:t>
      </w:r>
      <w:r w:rsidRPr="00070205">
        <w:t>от името на комисията по граждански свободи, правосъдие и вътрешни работи</w:t>
      </w:r>
      <w:r w:rsidRPr="00070205">
        <w:rPr>
          <w:rStyle w:val="HideTWBExt"/>
          <w:noProof w:val="0"/>
        </w:rPr>
        <w:t>&lt;/Commission&gt;</w:t>
      </w:r>
    </w:p>
    <w:p w14:paraId="78E1BA91" w14:textId="77777777" w:rsidR="002574AA" w:rsidRPr="00070205" w:rsidRDefault="002574AA" w:rsidP="002574AA">
      <w:pPr>
        <w:pStyle w:val="CoverNormal"/>
      </w:pPr>
      <w:r w:rsidRPr="00070205">
        <w:rPr>
          <w:rStyle w:val="HideTWBExt"/>
          <w:noProof w:val="0"/>
        </w:rPr>
        <w:t>&lt;/RepeatBlock-By&gt;</w:t>
      </w:r>
    </w:p>
    <w:p w14:paraId="06BF4DB5" w14:textId="77777777" w:rsidR="00814BC6" w:rsidRPr="00070205" w:rsidRDefault="00814BC6">
      <w:pPr>
        <w:pStyle w:val="NormalBold12a"/>
      </w:pPr>
      <w:r w:rsidRPr="00070205">
        <w:br w:type="page"/>
      </w:r>
      <w:r w:rsidRPr="00070205">
        <w:lastRenderedPageBreak/>
        <w:t>B9</w:t>
      </w:r>
      <w:r w:rsidRPr="00070205">
        <w:noBreakHyphen/>
        <w:t>0000/2021</w:t>
      </w:r>
    </w:p>
    <w:p w14:paraId="7414C422" w14:textId="5E355FC9" w:rsidR="00C23264" w:rsidRPr="00070205" w:rsidRDefault="001E1556" w:rsidP="00C23264">
      <w:pPr>
        <w:pStyle w:val="NormalBold"/>
      </w:pPr>
      <w:r w:rsidRPr="00070205">
        <w:t>Резолюция на Европейския парламент относно решението на Съда на Европейския съюз от 16 юли 2020 г. – Data Protection Commissioner срещу Facebook Ireland Limited и Maximillian Schrems („Schrems II“) – Дело C-311/18</w:t>
      </w:r>
    </w:p>
    <w:p w14:paraId="5BB55312" w14:textId="77777777" w:rsidR="00C23264" w:rsidRPr="00070205" w:rsidRDefault="00F510C8" w:rsidP="00DF7943">
      <w:pPr>
        <w:pStyle w:val="NormalBold"/>
      </w:pPr>
      <w:r w:rsidRPr="00070205">
        <w:t>(2020/2789(RSP))</w:t>
      </w:r>
    </w:p>
    <w:p w14:paraId="5640CA28" w14:textId="77777777" w:rsidR="00814BC6" w:rsidRPr="00070205" w:rsidRDefault="00F510C8">
      <w:pPr>
        <w:pStyle w:val="EPComma"/>
      </w:pPr>
      <w:r w:rsidRPr="00070205">
        <w:rPr>
          <w:i/>
        </w:rPr>
        <w:t>Европейският парламент</w:t>
      </w:r>
      <w:r w:rsidRPr="00070205">
        <w:t>,</w:t>
      </w:r>
    </w:p>
    <w:p w14:paraId="0E983A99" w14:textId="345AD13F" w:rsidR="00814BC6" w:rsidRPr="00070205" w:rsidRDefault="00814BC6">
      <w:pPr>
        <w:pStyle w:val="NormalHanging12a"/>
      </w:pPr>
      <w:r w:rsidRPr="00070205">
        <w:t>–</w:t>
      </w:r>
      <w:r w:rsidRPr="00070205">
        <w:tab/>
        <w:t>като взе предвид Хартата на Европейския съюз за основните права и по-специално членове 7, 8, 47, 5 и 52,</w:t>
      </w:r>
    </w:p>
    <w:p w14:paraId="74E75821" w14:textId="2D5694F1" w:rsidR="001E1556" w:rsidRPr="00070205" w:rsidRDefault="001E1556" w:rsidP="003A76FC">
      <w:pPr>
        <w:widowControl/>
        <w:spacing w:after="240"/>
        <w:ind w:left="567" w:hanging="567"/>
      </w:pPr>
      <w:r w:rsidRPr="00070205">
        <w:t>–</w:t>
      </w:r>
      <w:r w:rsidRPr="00070205">
        <w:tab/>
        <w:t>като взе предвид решението на Съда на Европейския съюз от 16 юли 2020 г. по дело C-311/18, Data Protection Commissioner срещу Facebook Ireland Limited и Maximillian Schrems</w:t>
      </w:r>
      <w:r w:rsidRPr="00070205">
        <w:rPr>
          <w:vertAlign w:val="superscript"/>
        </w:rPr>
        <w:footnoteReference w:id="1"/>
      </w:r>
      <w:r w:rsidRPr="00070205">
        <w:t xml:space="preserve"> („Schrems II“);</w:t>
      </w:r>
    </w:p>
    <w:p w14:paraId="6126C222" w14:textId="77777777" w:rsidR="003A76FC" w:rsidRPr="00070205" w:rsidRDefault="003A76FC" w:rsidP="003A76FC">
      <w:pPr>
        <w:pStyle w:val="NormalHanging12a"/>
      </w:pPr>
      <w:r w:rsidRPr="00070205">
        <w:t>–</w:t>
      </w:r>
      <w:r w:rsidRPr="00070205">
        <w:tab/>
        <w:t>като взе предвид решението на Съда на ЕС от 6 октомври 2015 г. по дело C-362/14, Maximillian Schrems/Data Protection Commissioner</w:t>
      </w:r>
      <w:r w:rsidRPr="00070205">
        <w:rPr>
          <w:vertAlign w:val="superscript"/>
        </w:rPr>
        <w:footnoteReference w:id="2"/>
      </w:r>
      <w:r w:rsidRPr="00070205">
        <w:t xml:space="preserve"> (Schrems I),</w:t>
      </w:r>
    </w:p>
    <w:p w14:paraId="26F28811" w14:textId="77777777" w:rsidR="003A76FC" w:rsidRPr="00070205" w:rsidRDefault="003A76FC" w:rsidP="003A76FC">
      <w:pPr>
        <w:pStyle w:val="NormalHanging12a"/>
      </w:pPr>
      <w:r w:rsidRPr="00070205">
        <w:t>–</w:t>
      </w:r>
      <w:r w:rsidRPr="00070205">
        <w:tab/>
        <w:t>като взе предвид решението на Съда на Европейския съюз от 6 октомври 2020 г. по дело C</w:t>
      </w:r>
      <w:r w:rsidRPr="00070205">
        <w:noBreakHyphen/>
        <w:t>623/17, Privacy International/Secretary of State for Foreign and Commonwealth Affairs и др.</w:t>
      </w:r>
      <w:r w:rsidRPr="00070205">
        <w:rPr>
          <w:vertAlign w:val="superscript"/>
        </w:rPr>
        <w:footnoteReference w:id="3"/>
      </w:r>
      <w:r w:rsidRPr="00070205">
        <w:t>;</w:t>
      </w:r>
    </w:p>
    <w:p w14:paraId="415AC0D4" w14:textId="77777777" w:rsidR="003A76FC" w:rsidRPr="00070205" w:rsidRDefault="003A76FC" w:rsidP="003A76FC">
      <w:pPr>
        <w:pStyle w:val="NormalHanging12a"/>
      </w:pPr>
      <w:r w:rsidRPr="00070205">
        <w:t>–</w:t>
      </w:r>
      <w:r w:rsidRPr="00070205">
        <w:tab/>
        <w:t>като взе предвид своята резолюция от 5 юли 2018 г. относно адекватността на защитата, осигурявана от Щита за личните данни в отношенията между ЕС и САЩ</w:t>
      </w:r>
      <w:r w:rsidRPr="00070205">
        <w:rPr>
          <w:vertAlign w:val="superscript"/>
        </w:rPr>
        <w:footnoteReference w:id="4"/>
      </w:r>
      <w:r w:rsidRPr="00070205">
        <w:t xml:space="preserve">, </w:t>
      </w:r>
    </w:p>
    <w:p w14:paraId="51A457E3" w14:textId="77777777" w:rsidR="003A76FC" w:rsidRPr="00070205" w:rsidRDefault="003A76FC" w:rsidP="003A76FC">
      <w:pPr>
        <w:pStyle w:val="NormalHanging12a"/>
      </w:pPr>
      <w:r w:rsidRPr="00070205">
        <w:t>–</w:t>
      </w:r>
      <w:r w:rsidRPr="00070205">
        <w:tab/>
        <w:t>като взе предвид резолюцията на Европейския парламент от 25 октомври 2018 г. относно използването на данните на ползвателите на „Фейсбук“ от „Кеймбридж Аналитика“ и въздействието върху защитата на личните данни</w:t>
      </w:r>
      <w:r w:rsidRPr="00070205">
        <w:rPr>
          <w:vertAlign w:val="superscript"/>
        </w:rPr>
        <w:footnoteReference w:id="5"/>
      </w:r>
      <w:r w:rsidRPr="00070205">
        <w:t xml:space="preserve">, </w:t>
      </w:r>
    </w:p>
    <w:p w14:paraId="28CC7542" w14:textId="77777777" w:rsidR="003A76FC" w:rsidRPr="00070205" w:rsidRDefault="003A76FC" w:rsidP="003A76FC">
      <w:pPr>
        <w:pStyle w:val="NormalHanging12a"/>
      </w:pPr>
      <w:r w:rsidRPr="00070205">
        <w:t>–</w:t>
      </w:r>
      <w:r w:rsidRPr="00070205">
        <w:tab/>
        <w:t>като взе предвид своята резолюция от 23 ноември 2020 г. относно прегледа на търговската политика на ЕС</w:t>
      </w:r>
      <w:r w:rsidRPr="00070205">
        <w:rPr>
          <w:vertAlign w:val="superscript"/>
        </w:rPr>
        <w:footnoteReference w:id="6"/>
      </w:r>
      <w:r w:rsidRPr="00070205">
        <w:t xml:space="preserve">, </w:t>
      </w:r>
    </w:p>
    <w:p w14:paraId="46BB3DFE" w14:textId="77777777" w:rsidR="003A76FC" w:rsidRPr="00070205" w:rsidRDefault="003A76FC" w:rsidP="003A76FC">
      <w:pPr>
        <w:pStyle w:val="NormalHanging12a"/>
      </w:pPr>
      <w:r w:rsidRPr="00070205">
        <w:t>–</w:t>
      </w:r>
      <w:r w:rsidRPr="00070205">
        <w:tab/>
        <w:t>като взе предвид Регламент (ЕС) 2016/679, Общия регламент относно защитата на данните (ОРЗД)</w:t>
      </w:r>
      <w:r w:rsidRPr="00070205">
        <w:rPr>
          <w:vertAlign w:val="superscript"/>
        </w:rPr>
        <w:footnoteReference w:id="7"/>
      </w:r>
      <w:r w:rsidRPr="00070205">
        <w:t xml:space="preserve">; </w:t>
      </w:r>
    </w:p>
    <w:p w14:paraId="18460B06" w14:textId="36DC4BB1" w:rsidR="003A76FC" w:rsidRPr="00070205" w:rsidRDefault="003A76FC" w:rsidP="003A76FC">
      <w:pPr>
        <w:pStyle w:val="NormalHanging12a"/>
      </w:pPr>
      <w:r w:rsidRPr="00070205">
        <w:t>–</w:t>
      </w:r>
      <w:r w:rsidRPr="00070205">
        <w:tab/>
        <w:t>като взе предвид Препоръка 01/2020 на Европейския комитет по защита на данните относно мерките, които допълват инструментите за предаване, за да се</w:t>
      </w:r>
      <w:r w:rsidRPr="00070205">
        <w:cr/>
        <w:t>гарантира спазването на защита на личните данни на равнище ЕС, и Препоръка 02/2020 относно европейските основните гаранции при прилагане на мерки за наблюдение</w:t>
      </w:r>
      <w:r w:rsidRPr="00070205">
        <w:rPr>
          <w:vertAlign w:val="superscript"/>
        </w:rPr>
        <w:footnoteReference w:id="8"/>
      </w:r>
      <w:r w:rsidRPr="00070205">
        <w:t>;</w:t>
      </w:r>
    </w:p>
    <w:p w14:paraId="52219F2C" w14:textId="77777777" w:rsidR="00ED22B8" w:rsidRPr="00070205" w:rsidRDefault="00ED22B8" w:rsidP="00ED22B8">
      <w:pPr>
        <w:pStyle w:val="NormalHanging12a"/>
      </w:pPr>
      <w:r w:rsidRPr="00070205">
        <w:t>–</w:t>
      </w:r>
      <w:r w:rsidRPr="00070205">
        <w:tab/>
        <w:t>като взе предвид член 132, параграф 2 от своя правилник,</w:t>
      </w:r>
    </w:p>
    <w:p w14:paraId="6EE44B73" w14:textId="14A89C72" w:rsidR="00814BC6" w:rsidRPr="00070205" w:rsidRDefault="001C31D8" w:rsidP="001C31D8">
      <w:pPr>
        <w:pStyle w:val="NormalHanging12a"/>
        <w:ind w:hanging="566"/>
      </w:pPr>
      <w:r w:rsidRPr="00070205">
        <w:t>А.</w:t>
      </w:r>
      <w:r w:rsidRPr="00070205">
        <w:tab/>
        <w:t>като има предвид, че в решението си по делото „Schrems I“ Съдът на ЕС посочи, че несистематизираният достъп на разузнавателните органи до съдържанието на електронните съобщения нарушава същността на правото на поверителност на съобщенията, предвидено в член 7 от Хартата;</w:t>
      </w:r>
    </w:p>
    <w:p w14:paraId="472F6D45" w14:textId="54928942" w:rsidR="00250718" w:rsidRPr="00070205" w:rsidRDefault="001C31D8" w:rsidP="001C31D8">
      <w:pPr>
        <w:pStyle w:val="NormalHanging12a"/>
        <w:ind w:hanging="566"/>
      </w:pPr>
      <w:r w:rsidRPr="00070205">
        <w:t>Б.</w:t>
      </w:r>
      <w:r w:rsidRPr="00070205">
        <w:tab/>
        <w:t>като има предвид, че в решението по делото Schrems II Съдът посочи, че Съединените щати (САЩ) не осигуряват достатъчно правни средства за защита на лица, които не са граждани на САЩ, срещу масовото наблюдение и че това нарушава същността на правото на правни средства за защита, предвидено в член 47 от Хартата;</w:t>
      </w:r>
    </w:p>
    <w:p w14:paraId="017FB887" w14:textId="464EB56A" w:rsidR="00250718" w:rsidRPr="00070205" w:rsidRDefault="001C31D8" w:rsidP="001C31D8">
      <w:pPr>
        <w:pStyle w:val="NormalHanging12a"/>
        <w:ind w:hanging="566"/>
      </w:pPr>
      <w:r w:rsidRPr="00070205">
        <w:t>В.</w:t>
      </w:r>
      <w:r w:rsidRPr="00070205">
        <w:tab/>
        <w:t>като има предвид, че в своята резолюция от 25 октомври 2018 г. Европейският парламент вече призова Комисията да прекрати Щита за личните данни;</w:t>
      </w:r>
    </w:p>
    <w:p w14:paraId="1BD6B8F6" w14:textId="77777777" w:rsidR="00250718" w:rsidRPr="00070205" w:rsidRDefault="00250718" w:rsidP="00250718">
      <w:pPr>
        <w:pStyle w:val="NormalHanging12a"/>
        <w:ind w:left="1" w:firstLine="0"/>
      </w:pPr>
      <w:r w:rsidRPr="00070205">
        <w:rPr>
          <w:b/>
          <w:bCs/>
          <w:i/>
          <w:iCs/>
        </w:rPr>
        <w:t>ОБЩИ ЗАБЕЛЕЖКИ</w:t>
      </w:r>
    </w:p>
    <w:p w14:paraId="17826566" w14:textId="7E560143" w:rsidR="00814BC6" w:rsidRPr="00070205" w:rsidRDefault="001C31D8" w:rsidP="001C31D8">
      <w:pPr>
        <w:pStyle w:val="NormalHanging12a"/>
        <w:ind w:hanging="566"/>
      </w:pPr>
      <w:r w:rsidRPr="00070205">
        <w:t>1.</w:t>
      </w:r>
      <w:r w:rsidRPr="00070205">
        <w:tab/>
        <w:t>взема под внимание решението на Съда на ЕС от 16 юли 2020 г., в което Съдът потвърди валидността на Решение 2010/87 относно стандартните договорни клаузи (СДК), в което ги определя като ефективен механизъм за гарантиране на спазването на равнището на защита, предвидено в правото на ЕС; отбелязва освен това, че Съдът обяви за невалидно Решение 2016/1250 на Комисията относно адекватността на защитата, осигурявана от Щита за личните данни в отношенията между ЕС и САЩ;</w:t>
      </w:r>
    </w:p>
    <w:p w14:paraId="0078C998" w14:textId="153BE441" w:rsidR="00A462B1" w:rsidRPr="00070205" w:rsidRDefault="001C31D8" w:rsidP="001C31D8">
      <w:pPr>
        <w:pStyle w:val="NormalHanging12a"/>
        <w:ind w:hanging="566"/>
      </w:pPr>
      <w:r w:rsidRPr="00070205">
        <w:t>2.</w:t>
      </w:r>
      <w:r w:rsidRPr="00070205">
        <w:tab/>
        <w:t>счита, че решението на Съда на ЕС има значителни последици за решенията относно адекватното ниво на защита по отношение на трети държави; отново потвърждава необходимостта от правна яснота и сигурност;</w:t>
      </w:r>
    </w:p>
    <w:p w14:paraId="34DA8BA6" w14:textId="4BA85E71" w:rsidR="00A462B1" w:rsidRPr="00070205" w:rsidRDefault="001C31D8" w:rsidP="001C31D8">
      <w:pPr>
        <w:pStyle w:val="NormalHanging12a"/>
        <w:ind w:hanging="566"/>
      </w:pPr>
      <w:r w:rsidRPr="00070205">
        <w:t>3.</w:t>
      </w:r>
      <w:r w:rsidRPr="00070205">
        <w:tab/>
        <w:t>изразява загриженост, че ирландския комисар по защита на данните започна целия случай „Schrems II“, вместо да вземе решение в рамките на своите правомощия съгласно член 58 от ОРЗД; изразява дълбока загриженост, че няколко жалби срещу нарушения на ОРЗД, подадени на 25 май 2018 г., все още не са разгледани от ирландския комисар по защита на данните, който е водещият орган за тези случаи; решително осъжда опита на ирландския орган за защита на данните да прехвърли разходите за съдебното производство на Максимилиан Шремс, което би създало силно възпиращо въздействие; призовава Комисията да започне производства за установяване на неизпълнение на задължения срещу Ирландия поради неправилно прилагане на ОРЗД;</w:t>
      </w:r>
    </w:p>
    <w:p w14:paraId="1689259E" w14:textId="3740CA94" w:rsidR="00BF6571" w:rsidRPr="00070205" w:rsidRDefault="001C31D8" w:rsidP="001C31D8">
      <w:pPr>
        <w:pStyle w:val="NormalHanging12a"/>
        <w:ind w:hanging="566"/>
      </w:pPr>
      <w:r w:rsidRPr="00070205">
        <w:t>4.</w:t>
      </w:r>
      <w:r w:rsidRPr="00070205">
        <w:tab/>
        <w:t>настоятелно призовава Комисията да публикува допълнителни насоки относно международното предаване на данни за дружествата, по-специално за МСП, включително относно допълнителните гаранции, изисквани за предаването на данни чрез СДК;</w:t>
      </w:r>
    </w:p>
    <w:p w14:paraId="24D1A15F" w14:textId="202FFCBA" w:rsidR="00BF6571" w:rsidRPr="00070205" w:rsidRDefault="00BF6571" w:rsidP="00BF6571">
      <w:pPr>
        <w:pStyle w:val="NormalHanging12a"/>
        <w:ind w:left="1" w:firstLine="0"/>
      </w:pPr>
      <w:r w:rsidRPr="00070205">
        <w:rPr>
          <w:b/>
          <w:i/>
        </w:rPr>
        <w:t>СТАНДАРТНИ ДОГОВОРНИ КЛАУЗИ</w:t>
      </w:r>
    </w:p>
    <w:p w14:paraId="50727A17" w14:textId="3317E88A" w:rsidR="00BF6571" w:rsidRPr="00070205" w:rsidRDefault="001C31D8" w:rsidP="001C31D8">
      <w:pPr>
        <w:pStyle w:val="NormalHanging12a"/>
        <w:ind w:hanging="566"/>
      </w:pPr>
      <w:r w:rsidRPr="00070205">
        <w:t>5.</w:t>
      </w:r>
      <w:r w:rsidRPr="00070205">
        <w:tab/>
        <w:t>взема под внимание проекта на решение за изпълнение на Комисията и проекта на СДК; приветства факта, че понастоящем Комисията търси обратна информация от заинтересованите страни по този проект;</w:t>
      </w:r>
    </w:p>
    <w:p w14:paraId="51C87763" w14:textId="3051A61F" w:rsidR="00BF6571" w:rsidRPr="00070205" w:rsidRDefault="001C31D8" w:rsidP="001C31D8">
      <w:pPr>
        <w:pStyle w:val="NormalHanging12a"/>
        <w:ind w:hanging="566"/>
      </w:pPr>
      <w:r w:rsidRPr="00070205">
        <w:t>6.</w:t>
      </w:r>
      <w:r w:rsidRPr="00070205">
        <w:tab/>
        <w:t>взема под внимание Препоръка 01/2020 на Европейския комитет по защита на данните (ЕКЗД) относно мерките, които допълват инстр</w:t>
      </w:r>
      <w:r w:rsidR="00EA74E3" w:rsidRPr="00070205">
        <w:t>ументите за предаване, за да се</w:t>
      </w:r>
      <w:r w:rsidR="00EA74E3" w:rsidRPr="00070205">
        <w:rPr>
          <w:lang w:val="en-US"/>
        </w:rPr>
        <w:t xml:space="preserve"> </w:t>
      </w:r>
      <w:r w:rsidRPr="00070205">
        <w:t xml:space="preserve">гарантира спазването на защита на личните данни на равнище ЕС; изразява загриженост относно потенциалните конфликти на тези препоръки с предложението на Комисията за СДК; счита, че са необходими по-подробни насоки от ЕКЗД; </w:t>
      </w:r>
    </w:p>
    <w:p w14:paraId="396927EB" w14:textId="23D07BC0" w:rsidR="00BF6571" w:rsidRPr="00070205" w:rsidRDefault="001C31D8" w:rsidP="001C31D8">
      <w:pPr>
        <w:pStyle w:val="NormalHanging12a"/>
        <w:ind w:hanging="566"/>
      </w:pPr>
      <w:r w:rsidRPr="00070205">
        <w:t>7.</w:t>
      </w:r>
      <w:r w:rsidRPr="00070205">
        <w:tab/>
        <w:t>счита, че е от решаващо значение дружествата от ЕС да разчитат на стабилни механизми, които са в съответствие с решението на Съда на ЕС; във връзка с това счита, че настоящото предложение на Комисията за образец на СДК следва да вземе надлежно предвид всички съответни препоръки; подкрепя набор от допълнителни мерки, например сертифициране за сигурност и гаранции за криптиране, които да бъдат одобрени от регулаторните органи;</w:t>
      </w:r>
    </w:p>
    <w:p w14:paraId="4334779F" w14:textId="32F02EF4" w:rsidR="00BF6571" w:rsidRPr="00070205" w:rsidRDefault="001C31D8" w:rsidP="001C31D8">
      <w:pPr>
        <w:pStyle w:val="NormalHanging12a"/>
        <w:ind w:hanging="566"/>
      </w:pPr>
      <w:r w:rsidRPr="00070205">
        <w:t>8.</w:t>
      </w:r>
      <w:r w:rsidRPr="00070205">
        <w:tab/>
        <w:t>посочва, че за администраторите на данни, които попадат в обхвата на Закона на САЩ за наблюдение на чуждите разузнавателни служби, предаването на лични данни от Съюза не е възможно съгласно тези СДК поради високия риск от масово наблюдение; само цялостна реформа на практиките на наблюдение в САЩ може устойчиво да разреши този проблем и да осигури правна сигурност за предприятията и субектите на данни;</w:t>
      </w:r>
    </w:p>
    <w:p w14:paraId="39276751" w14:textId="70DCCAE0" w:rsidR="00BF6571" w:rsidRPr="00070205" w:rsidRDefault="001C31D8" w:rsidP="001C31D8">
      <w:pPr>
        <w:pStyle w:val="NormalHanging12a"/>
        <w:ind w:hanging="566"/>
      </w:pPr>
      <w:r w:rsidRPr="00070205">
        <w:t>9.</w:t>
      </w:r>
      <w:r w:rsidRPr="00070205">
        <w:tab/>
        <w:t>припомня, че голям брой МСП използват СДК; подчертава, че дружествата и МСП спешно се нуждаят от ясни насоки и помощ при прилагането и тълкуването на решението на Съда;</w:t>
      </w:r>
    </w:p>
    <w:p w14:paraId="73B6FF38" w14:textId="3F7C1FC2" w:rsidR="00BF6571" w:rsidRPr="00070205" w:rsidRDefault="001C31D8" w:rsidP="001C31D8">
      <w:pPr>
        <w:pStyle w:val="NormalHanging12a"/>
        <w:ind w:hanging="566"/>
      </w:pPr>
      <w:r w:rsidRPr="00070205">
        <w:t>10.</w:t>
      </w:r>
      <w:r w:rsidRPr="00070205">
        <w:tab/>
        <w:t>подчертава ограничените възможности за преговаряне и дееспособност на европейските МСП, от които, поради  задължението за извършване на самостоятелна оценка на адекватното ниво на защита за трети държави, се очаква да се ориентират в сложните правни рамки на различни трети държави; настоятелно призовава Комисията и Европейския комитет по защита на данните да проучат задълбочено необходимостта и осъществимостта на всички необходими допълнителни мерки, по-специално за МСП;</w:t>
      </w:r>
    </w:p>
    <w:p w14:paraId="7E0D5CA8" w14:textId="231D8B77" w:rsidR="00BF6571" w:rsidRPr="00070205" w:rsidRDefault="001C31D8" w:rsidP="001C31D8">
      <w:pPr>
        <w:pStyle w:val="NormalHanging12a"/>
        <w:ind w:hanging="566"/>
      </w:pPr>
      <w:r w:rsidRPr="00070205">
        <w:t>11.</w:t>
      </w:r>
      <w:r w:rsidRPr="00070205">
        <w:tab/>
        <w:t>настоятелно призовава националните надзорни органи да използват в такива случаи съответните си правомощия, посочени в член 3 от проекта на решение за изпълнение, и съгласно член 58 от ОРЗД;</w:t>
      </w:r>
    </w:p>
    <w:p w14:paraId="09D6268F" w14:textId="528C5193" w:rsidR="00BF6571" w:rsidRPr="00070205" w:rsidRDefault="00BF6571" w:rsidP="00BF6571">
      <w:pPr>
        <w:pStyle w:val="NormalHanging12a"/>
        <w:ind w:left="1" w:firstLine="0"/>
      </w:pPr>
      <w:r w:rsidRPr="00070205">
        <w:rPr>
          <w:b/>
          <w:i/>
        </w:rPr>
        <w:t>ЩИТ ЗА ЛИЧНИТЕ ДАННИ</w:t>
      </w:r>
    </w:p>
    <w:p w14:paraId="038B72A1" w14:textId="36CA07D9" w:rsidR="00BF6571" w:rsidRPr="00070205" w:rsidRDefault="001C31D8" w:rsidP="001C31D8">
      <w:pPr>
        <w:pStyle w:val="NormalHanging12a"/>
        <w:ind w:hanging="566"/>
      </w:pPr>
      <w:r w:rsidRPr="00070205">
        <w:t>12.</w:t>
      </w:r>
      <w:r w:rsidRPr="00070205">
        <w:tab/>
        <w:t>отбелязва, че въпреки подобренията на Щита за личните данни в сравнение с договореностите относно сферата на неприкосновеност на личния живот, Съдът на ЕС е установил, че Щитът за неприкосновеност на личния живот в отношенията между ЕС и САЩ не гарантира равностойна по същество степен на защита, която следователно да е адекватна на защитата, предоставена от ОРЗД и Хартата на ЕС, по-специално поради условията, въведени по отношение на достъпа на публичните органи на САЩ до лични данни, предавани съгласно Щита за личните данни, и липсата на приложими права за субектите на данни от ЕС пред съдилищата на САЩ в процедури срещу органите на САЩ;</w:t>
      </w:r>
    </w:p>
    <w:p w14:paraId="26CF2723" w14:textId="7D5FB3CE" w:rsidR="00BF6571" w:rsidRPr="00070205" w:rsidRDefault="001C31D8" w:rsidP="001C31D8">
      <w:pPr>
        <w:pStyle w:val="NormalHanging12a"/>
        <w:ind w:hanging="566"/>
      </w:pPr>
      <w:r w:rsidRPr="00070205">
        <w:t>13.</w:t>
      </w:r>
      <w:r w:rsidRPr="00070205">
        <w:tab/>
        <w:t>припомня резолюцията на Парламента от 2018 г. относно Щита за личните данни, в която се подчертава рискът Щитът за личните данни да бъде обявен за недействителен от Съда на ЕС;</w:t>
      </w:r>
    </w:p>
    <w:p w14:paraId="7FF8DF33" w14:textId="0C61E4F7" w:rsidR="00BF6571" w:rsidRPr="00070205" w:rsidRDefault="00BF6571" w:rsidP="00BF6571">
      <w:pPr>
        <w:pStyle w:val="NormalHanging12a"/>
        <w:spacing w:before="240"/>
        <w:ind w:left="1" w:firstLine="0"/>
      </w:pPr>
      <w:r w:rsidRPr="00070205">
        <w:rPr>
          <w:b/>
          <w:i/>
        </w:rPr>
        <w:t>МАСОВО НАБЛЮДЕНИЕ И ПРАВНА РАМКА</w:t>
      </w:r>
    </w:p>
    <w:p w14:paraId="5CEDF62D" w14:textId="3A8437DC" w:rsidR="00BF6571" w:rsidRPr="00070205" w:rsidRDefault="001C31D8" w:rsidP="001C31D8">
      <w:pPr>
        <w:pStyle w:val="NormalHanging12a"/>
        <w:ind w:hanging="566"/>
      </w:pPr>
      <w:r w:rsidRPr="00070205">
        <w:t>14.</w:t>
      </w:r>
      <w:r w:rsidRPr="00070205">
        <w:tab/>
        <w:t>насърчава Комисията да продължи да наблюдава използването на технологии за масово наблюдение в Обединеното кралство;</w:t>
      </w:r>
    </w:p>
    <w:p w14:paraId="5DCAA0DA" w14:textId="26197AAE" w:rsidR="00BF6571" w:rsidRPr="00070205" w:rsidRDefault="001C31D8" w:rsidP="001C31D8">
      <w:pPr>
        <w:pStyle w:val="NormalHanging12a"/>
        <w:ind w:hanging="566"/>
      </w:pPr>
      <w:r w:rsidRPr="00070205">
        <w:t>15.</w:t>
      </w:r>
      <w:r w:rsidRPr="00070205">
        <w:tab/>
        <w:t>посочва, че нито California Consumer Privacy Act (CCPA) в САЩ, нито някое от федералните предложения до момента отговарят на изискванията на ОРЗД за адекватно ниво на защита; насърчава федералния законодател на САЩ да приеме силен широкообхватен федерален закон за защита на данните и неприкосновеността на личния живот, който да отговаря на тези изисквания;</w:t>
      </w:r>
    </w:p>
    <w:p w14:paraId="60391FF9" w14:textId="5507C4E5" w:rsidR="00BF6571" w:rsidRPr="00070205" w:rsidRDefault="001C31D8" w:rsidP="001C31D8">
      <w:pPr>
        <w:pStyle w:val="NormalHanging12a"/>
        <w:ind w:hanging="566"/>
      </w:pPr>
      <w:r w:rsidRPr="00070205">
        <w:t>16.</w:t>
      </w:r>
      <w:r w:rsidRPr="00070205">
        <w:tab/>
        <w:t>посочва, че подобно законодателство за защита на данните на потребителите и неприкосновеността на личния живот само по себе си няма да реши основните проблеми, установени от Съда във връзка с масовото наблюдение от страна на разузнавателните служби на САЩ и недостатъчния достъп до правни средства за защита; насърчава федералния законодател на САЩ да преразгледа измененията на раздел 702 от Закона на САЩ за наблюдение на чуждите разузнавателни служби, Указ 12333 и Президентска директива за изпълнение 28, по-специално по отношение на предоставянето на еднакво равнище на защита за гражданите на ЕС и САЩ;</w:t>
      </w:r>
    </w:p>
    <w:p w14:paraId="39D79FD9" w14:textId="4D78380C" w:rsidR="00BF6571" w:rsidRPr="00070205" w:rsidRDefault="00BF6571" w:rsidP="00BF6571">
      <w:pPr>
        <w:pStyle w:val="NormalHanging12a"/>
        <w:ind w:left="1" w:firstLine="0"/>
      </w:pPr>
      <w:r w:rsidRPr="00070205">
        <w:rPr>
          <w:b/>
          <w:i/>
        </w:rPr>
        <w:t>РЕШЕНИЯ ОТНОСНО АДЕКВАТНОТО НИВО НА ЗАЩИТА</w:t>
      </w:r>
    </w:p>
    <w:p w14:paraId="00A43691" w14:textId="4893C986" w:rsidR="00BF6571" w:rsidRPr="00070205" w:rsidRDefault="001C31D8" w:rsidP="001C31D8">
      <w:pPr>
        <w:pStyle w:val="NormalHanging12a"/>
        <w:ind w:hanging="566"/>
      </w:pPr>
      <w:r w:rsidRPr="00070205">
        <w:t>17.</w:t>
      </w:r>
      <w:r w:rsidRPr="00070205">
        <w:tab/>
        <w:t>призовава Комисията да предприеме всички необходими мерки, за да гарантира, че всяко по-нататъшно споразумение със САЩ е в пълно съответствие с Регламент (ЕС) 2016/679, с Хартата на ЕС и с всички аспекти на решението на Съда на ЕС;</w:t>
      </w:r>
    </w:p>
    <w:p w14:paraId="5121FE11" w14:textId="5621A460" w:rsidR="00BF6571" w:rsidRPr="00070205" w:rsidRDefault="001C31D8" w:rsidP="001C31D8">
      <w:pPr>
        <w:pStyle w:val="NormalHanging12a"/>
        <w:ind w:hanging="566"/>
      </w:pPr>
      <w:r w:rsidRPr="00070205">
        <w:t>18.</w:t>
      </w:r>
      <w:r w:rsidRPr="00070205">
        <w:tab/>
        <w:t>припомня задължението на Комисията да преразгледа всички решения относно адекватното ниво на защита, приети съгласно Директива ЕО 95/46, като приложи заключенията от решенията „Schrems I и II“, за да прецени дали е осигурено равностойно по същество  ниво на защита;</w:t>
      </w:r>
    </w:p>
    <w:p w14:paraId="3ABA9745" w14:textId="3C48E7D7" w:rsidR="00BF6571" w:rsidRPr="00070205" w:rsidRDefault="001C31D8" w:rsidP="001C31D8">
      <w:pPr>
        <w:pStyle w:val="NormalHanging12a"/>
        <w:ind w:hanging="566"/>
      </w:pPr>
      <w:r w:rsidRPr="00070205">
        <w:t>19.</w:t>
      </w:r>
      <w:r w:rsidRPr="00070205">
        <w:tab/>
        <w:t>призовава Комисията да не приема ново решение относно адекватното ниво на защита по отношение на САЩ, освен ако публичните органи въведат съдържателни реформи в правото и практиките в областта на достъпа до информация, по-специално за целите на националната сигурност и разузнаването;</w:t>
      </w:r>
    </w:p>
    <w:p w14:paraId="4D5DE174" w14:textId="416E086C" w:rsidR="00BF6571" w:rsidRPr="00070205" w:rsidRDefault="001C31D8" w:rsidP="001C31D8">
      <w:pPr>
        <w:pStyle w:val="NormalHanging12a"/>
        <w:ind w:hanging="566"/>
      </w:pPr>
      <w:r w:rsidRPr="00070205">
        <w:t>20.</w:t>
      </w:r>
      <w:r w:rsidRPr="00070205">
        <w:tab/>
        <w:t>призовава Комисията да публикува актуализиран списък на критериите, които тя взема предвид, когато оценява дали дадена трета държава отговаря на условията за вземане на решение относно адекватното ниво на защита;</w:t>
      </w:r>
    </w:p>
    <w:p w14:paraId="332C3C2E" w14:textId="3FD09EEF" w:rsidR="00BF6571" w:rsidRPr="00070205" w:rsidRDefault="001C31D8" w:rsidP="001C31D8">
      <w:pPr>
        <w:pStyle w:val="NormalHanging12a"/>
        <w:ind w:hanging="566"/>
      </w:pPr>
      <w:r w:rsidRPr="00070205">
        <w:t>21.</w:t>
      </w:r>
      <w:r w:rsidRPr="00070205">
        <w:tab/>
        <w:t>възлага на своя председател да предаде настоящата резолюция на Комисията, Европейския съвет, Съвета, Европейския комитет по защита на данните, както и на националните парламенти.</w:t>
      </w:r>
    </w:p>
    <w:sectPr w:rsidR="00BF6571" w:rsidRPr="00070205" w:rsidSect="001D0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80B4" w14:textId="77777777" w:rsidR="00F510C8" w:rsidRPr="001D0827" w:rsidRDefault="00F510C8">
      <w:r w:rsidRPr="001D0827">
        <w:separator/>
      </w:r>
    </w:p>
  </w:endnote>
  <w:endnote w:type="continuationSeparator" w:id="0">
    <w:p w14:paraId="0DE703E5" w14:textId="77777777" w:rsidR="00F510C8" w:rsidRPr="001D0827" w:rsidRDefault="00F510C8">
      <w:r w:rsidRPr="001D08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">
    <w:altName w:val="Times New Roman"/>
    <w:charset w:val="01"/>
    <w:family w:val="roman"/>
    <w:pitch w:val="variable"/>
  </w:font>
  <w:font w:name="DejaVu Sans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5E0A9" w14:textId="19B41120" w:rsidR="001D0827" w:rsidRPr="001D0827" w:rsidRDefault="001D0827" w:rsidP="001D0827">
    <w:pPr>
      <w:pStyle w:val="EPFooter"/>
    </w:pPr>
    <w:r w:rsidRPr="001D0827">
      <w:t>PE</w:t>
    </w:r>
    <w:r w:rsidRPr="001D0827">
      <w:rPr>
        <w:rStyle w:val="HideTWBExt"/>
        <w:noProof w:val="0"/>
      </w:rPr>
      <w:t>&lt;NoPE&gt;</w:t>
    </w:r>
    <w:r w:rsidRPr="001D0827">
      <w:t>663.216</w:t>
    </w:r>
    <w:r w:rsidRPr="001D0827">
      <w:rPr>
        <w:rStyle w:val="HideTWBExt"/>
        <w:noProof w:val="0"/>
      </w:rPr>
      <w:t>&lt;/NoPE&gt;&lt;Version&gt;</w:t>
    </w:r>
    <w:r w:rsidRPr="001D0827">
      <w:t>v01-00</w:t>
    </w:r>
    <w:r w:rsidRPr="001D0827">
      <w:rPr>
        <w:rStyle w:val="HideTWBExt"/>
        <w:noProof w:val="0"/>
      </w:rPr>
      <w:t>&lt;/Version&gt;</w:t>
    </w:r>
    <w:r w:rsidRPr="001D0827">
      <w:tab/>
    </w:r>
    <w:r w:rsidRPr="001D0827">
      <w:fldChar w:fldCharType="begin"/>
    </w:r>
    <w:r w:rsidRPr="001D0827">
      <w:instrText xml:space="preserve"> PAGE  \* MERGEFORMAT </w:instrText>
    </w:r>
    <w:r w:rsidRPr="001D0827">
      <w:fldChar w:fldCharType="separate"/>
    </w:r>
    <w:r w:rsidR="00696AAD">
      <w:rPr>
        <w:noProof/>
      </w:rPr>
      <w:t>4</w:t>
    </w:r>
    <w:r w:rsidRPr="001D0827">
      <w:fldChar w:fldCharType="end"/>
    </w:r>
    <w:r w:rsidRPr="001D0827">
      <w:t>/</w:t>
    </w:r>
    <w:r w:rsidR="00696AAD">
      <w:fldChar w:fldCharType="begin"/>
    </w:r>
    <w:r w:rsidR="00696AAD">
      <w:instrText xml:space="preserve"> NUMPAGES  \* MERGEFORMAT </w:instrText>
    </w:r>
    <w:r w:rsidR="00696AAD">
      <w:fldChar w:fldCharType="separate"/>
    </w:r>
    <w:r w:rsidR="00696AAD">
      <w:rPr>
        <w:noProof/>
      </w:rPr>
      <w:t>4</w:t>
    </w:r>
    <w:r w:rsidR="00696AAD">
      <w:rPr>
        <w:noProof/>
      </w:rPr>
      <w:fldChar w:fldCharType="end"/>
    </w:r>
    <w:r w:rsidRPr="001D0827">
      <w:tab/>
    </w:r>
    <w:r w:rsidRPr="001D0827">
      <w:rPr>
        <w:rStyle w:val="HideTWBExt"/>
        <w:noProof w:val="0"/>
      </w:rPr>
      <w:t>&lt;PathFdR&gt;</w:t>
    </w:r>
    <w:r w:rsidRPr="001D0827">
      <w:t>RE\1222135BG.docx</w:t>
    </w:r>
    <w:r w:rsidRPr="001D0827">
      <w:rPr>
        <w:rStyle w:val="HideTWBExt"/>
        <w:noProof w:val="0"/>
      </w:rPr>
      <w:t>&lt;/PathFdR&gt;</w:t>
    </w:r>
  </w:p>
  <w:p w14:paraId="012744B5" w14:textId="4D874321" w:rsidR="00A90219" w:rsidRPr="001D0827" w:rsidRDefault="001D0827" w:rsidP="001D0827">
    <w:pPr>
      <w:pStyle w:val="EPFooter2"/>
    </w:pPr>
    <w:r w:rsidRPr="001D0827">
      <w:t>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43851" w14:textId="1ED1CFA0" w:rsidR="001D0827" w:rsidRPr="001D0827" w:rsidRDefault="001D0827" w:rsidP="001D0827">
    <w:pPr>
      <w:pStyle w:val="EPFooter"/>
    </w:pPr>
    <w:r w:rsidRPr="001D0827">
      <w:rPr>
        <w:rStyle w:val="HideTWBExt"/>
        <w:noProof w:val="0"/>
      </w:rPr>
      <w:t>&lt;PathFdR&gt;</w:t>
    </w:r>
    <w:r w:rsidRPr="001D0827">
      <w:t>RE\1222135BG.docx</w:t>
    </w:r>
    <w:r w:rsidRPr="001D0827">
      <w:rPr>
        <w:rStyle w:val="HideTWBExt"/>
        <w:noProof w:val="0"/>
      </w:rPr>
      <w:t>&lt;/PathFdR&gt;</w:t>
    </w:r>
    <w:r w:rsidRPr="001D0827">
      <w:tab/>
    </w:r>
    <w:r w:rsidRPr="001D0827">
      <w:fldChar w:fldCharType="begin"/>
    </w:r>
    <w:r w:rsidRPr="001D0827">
      <w:instrText xml:space="preserve"> PAGE  \* MERGEFORMAT </w:instrText>
    </w:r>
    <w:r w:rsidRPr="001D0827">
      <w:fldChar w:fldCharType="separate"/>
    </w:r>
    <w:r w:rsidR="00696AAD">
      <w:rPr>
        <w:noProof/>
      </w:rPr>
      <w:t>3</w:t>
    </w:r>
    <w:r w:rsidRPr="001D0827">
      <w:fldChar w:fldCharType="end"/>
    </w:r>
    <w:r w:rsidRPr="001D0827">
      <w:t>/</w:t>
    </w:r>
    <w:r w:rsidR="00696AAD">
      <w:fldChar w:fldCharType="begin"/>
    </w:r>
    <w:r w:rsidR="00696AAD">
      <w:instrText xml:space="preserve"> NUMPAGES  \* MERGEFORMAT </w:instrText>
    </w:r>
    <w:r w:rsidR="00696AAD">
      <w:fldChar w:fldCharType="separate"/>
    </w:r>
    <w:r w:rsidR="00696AAD">
      <w:rPr>
        <w:noProof/>
      </w:rPr>
      <w:t>3</w:t>
    </w:r>
    <w:r w:rsidR="00696AAD">
      <w:rPr>
        <w:noProof/>
      </w:rPr>
      <w:fldChar w:fldCharType="end"/>
    </w:r>
    <w:r w:rsidRPr="001D0827">
      <w:tab/>
      <w:t>PE</w:t>
    </w:r>
    <w:r w:rsidRPr="001D0827">
      <w:rPr>
        <w:rStyle w:val="HideTWBExt"/>
        <w:noProof w:val="0"/>
      </w:rPr>
      <w:t>&lt;NoPE&gt;</w:t>
    </w:r>
    <w:r w:rsidRPr="001D0827">
      <w:t>663.216</w:t>
    </w:r>
    <w:r w:rsidRPr="001D0827">
      <w:rPr>
        <w:rStyle w:val="HideTWBExt"/>
        <w:noProof w:val="0"/>
      </w:rPr>
      <w:t>&lt;/NoPE&gt;&lt;Version&gt;</w:t>
    </w:r>
    <w:r w:rsidRPr="001D0827">
      <w:t>v01-00</w:t>
    </w:r>
    <w:r w:rsidRPr="001D0827">
      <w:rPr>
        <w:rStyle w:val="HideTWBExt"/>
        <w:noProof w:val="0"/>
      </w:rPr>
      <w:t>&lt;/Version&gt;</w:t>
    </w:r>
  </w:p>
  <w:p w14:paraId="200C4218" w14:textId="344D80B1" w:rsidR="00A90219" w:rsidRPr="001D0827" w:rsidRDefault="001D0827" w:rsidP="001D0827">
    <w:pPr>
      <w:pStyle w:val="EPFooter2"/>
    </w:pPr>
    <w:r w:rsidRPr="001D0827">
      <w:tab/>
    </w:r>
    <w:r w:rsidRPr="001D0827">
      <w:tab/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75812" w14:textId="77777777" w:rsidR="001D0827" w:rsidRPr="001D0827" w:rsidRDefault="001D0827" w:rsidP="001D0827">
    <w:pPr>
      <w:pStyle w:val="EPFooter"/>
    </w:pPr>
    <w:r w:rsidRPr="001D0827">
      <w:rPr>
        <w:rStyle w:val="HideTWBExt"/>
        <w:noProof w:val="0"/>
      </w:rPr>
      <w:t>&lt;PathFdR&gt;</w:t>
    </w:r>
    <w:r w:rsidRPr="001D0827">
      <w:t>RE\1222135BG.docx</w:t>
    </w:r>
    <w:r w:rsidRPr="001D0827">
      <w:rPr>
        <w:rStyle w:val="HideTWBExt"/>
        <w:noProof w:val="0"/>
      </w:rPr>
      <w:t>&lt;/PathFdR&gt;</w:t>
    </w:r>
    <w:r w:rsidRPr="001D0827">
      <w:tab/>
    </w:r>
    <w:r w:rsidRPr="001D0827">
      <w:tab/>
      <w:t>PE</w:t>
    </w:r>
    <w:r w:rsidRPr="001D0827">
      <w:rPr>
        <w:rStyle w:val="HideTWBExt"/>
        <w:noProof w:val="0"/>
      </w:rPr>
      <w:t>&lt;NoPE&gt;</w:t>
    </w:r>
    <w:r w:rsidRPr="001D0827">
      <w:t>663.216</w:t>
    </w:r>
    <w:r w:rsidRPr="001D0827">
      <w:rPr>
        <w:rStyle w:val="HideTWBExt"/>
        <w:noProof w:val="0"/>
      </w:rPr>
      <w:t>&lt;/NoPE&gt;&lt;Version&gt;</w:t>
    </w:r>
    <w:r w:rsidRPr="001D0827">
      <w:t>v01-00</w:t>
    </w:r>
    <w:r w:rsidRPr="001D0827">
      <w:rPr>
        <w:rStyle w:val="HideTWBExt"/>
        <w:noProof w:val="0"/>
      </w:rPr>
      <w:t>&lt;/Version&gt;</w:t>
    </w:r>
  </w:p>
  <w:p w14:paraId="7556990F" w14:textId="5BD64876" w:rsidR="00A90219" w:rsidRPr="001D0827" w:rsidRDefault="001D0827" w:rsidP="001D0827">
    <w:pPr>
      <w:pStyle w:val="EPFooter2"/>
    </w:pPr>
    <w:r w:rsidRPr="001D0827">
      <w:t>BG</w:t>
    </w:r>
    <w:r w:rsidRPr="001D0827">
      <w:tab/>
    </w:r>
    <w:r w:rsidRPr="001D0827">
      <w:rPr>
        <w:b w:val="0"/>
        <w:i/>
        <w:color w:val="C0C0C0"/>
        <w:sz w:val="22"/>
      </w:rPr>
      <w:t>Единство в многообразието</w:t>
    </w:r>
    <w:r w:rsidRPr="001D0827">
      <w:tab/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F761" w14:textId="77777777" w:rsidR="00F510C8" w:rsidRPr="001D0827" w:rsidRDefault="00F510C8">
      <w:r w:rsidRPr="001D0827">
        <w:separator/>
      </w:r>
    </w:p>
  </w:footnote>
  <w:footnote w:type="continuationSeparator" w:id="0">
    <w:p w14:paraId="739DD931" w14:textId="77777777" w:rsidR="00F510C8" w:rsidRPr="001D0827" w:rsidRDefault="00F510C8">
      <w:r w:rsidRPr="001D0827">
        <w:continuationSeparator/>
      </w:r>
    </w:p>
  </w:footnote>
  <w:footnote w:id="1">
    <w:p w14:paraId="6D9CB35F" w14:textId="35E61705" w:rsidR="001E1556" w:rsidRPr="001D0827" w:rsidRDefault="001E1556" w:rsidP="001E1556">
      <w:pPr>
        <w:pStyle w:val="FootnoteText"/>
        <w:rPr>
          <w:rFonts w:ascii="Times New Roman" w:hAnsi="Times New Roman" w:cs="Times New Roman"/>
        </w:rPr>
      </w:pPr>
      <w:r w:rsidRPr="001D0827">
        <w:rPr>
          <w:rStyle w:val="Funotenzeichen"/>
          <w:rFonts w:ascii="Times New Roman" w:hAnsi="Times New Roman" w:cs="Times New Roman"/>
        </w:rPr>
        <w:footnoteRef/>
      </w:r>
      <w:hyperlink r:id="rId1" w:history="1">
        <w:r w:rsidRPr="001D0827">
          <w:rPr>
            <w:rStyle w:val="Hyperlink"/>
            <w:rFonts w:ascii="Times New Roman" w:hAnsi="Times New Roman"/>
          </w:rPr>
          <w:tab/>
        </w:r>
        <w:hyperlink r:id="rId2" w:history="1">
          <w:r w:rsidRPr="001D0827">
            <w:rPr>
              <w:rStyle w:val="Hyperlink"/>
              <w:rFonts w:ascii="Times New Roman" w:hAnsi="Times New Roman"/>
            </w:rPr>
            <w:t>https://eur-lex.europa.eu/legal-content/BG/TXT/?uri=CELEX%3A62018CA0311&amp;qid=1610640279033</w:t>
          </w:r>
        </w:hyperlink>
      </w:hyperlink>
      <w:r w:rsidRPr="001D0827">
        <w:rPr>
          <w:rFonts w:ascii="Times New Roman" w:hAnsi="Times New Roman"/>
        </w:rPr>
        <w:t xml:space="preserve"> </w:t>
      </w:r>
    </w:p>
  </w:footnote>
  <w:footnote w:id="2">
    <w:p w14:paraId="547F0DAC" w14:textId="570DE106" w:rsidR="003A76FC" w:rsidRPr="001D0827" w:rsidRDefault="003A76FC" w:rsidP="003A76FC">
      <w:pPr>
        <w:pStyle w:val="FootnoteText"/>
      </w:pPr>
      <w:r w:rsidRPr="001D0827">
        <w:rPr>
          <w:rStyle w:val="FootnoteReference"/>
        </w:rPr>
        <w:footnoteRef/>
      </w:r>
      <w:r w:rsidRPr="001D0827">
        <w:tab/>
      </w:r>
      <w:hyperlink r:id="rId3" w:history="1">
        <w:r w:rsidRPr="001D0827">
          <w:rPr>
            <w:rStyle w:val="Hyperlink"/>
          </w:rPr>
          <w:t>https://eur-lex.europa.eu/legal-content/BG/TXT/?uri=CELEX%3A62014CJ0362</w:t>
        </w:r>
      </w:hyperlink>
      <w:r w:rsidRPr="001D0827">
        <w:t xml:space="preserve"> </w:t>
      </w:r>
    </w:p>
  </w:footnote>
  <w:footnote w:id="3">
    <w:p w14:paraId="293C707A" w14:textId="4A7E8496" w:rsidR="003A76FC" w:rsidRPr="001D0827" w:rsidRDefault="003A76FC" w:rsidP="003A76FC">
      <w:pPr>
        <w:pStyle w:val="FootnoteText"/>
      </w:pPr>
      <w:r w:rsidRPr="001D0827">
        <w:rPr>
          <w:rStyle w:val="FootnoteReference"/>
        </w:rPr>
        <w:footnoteRef/>
      </w:r>
      <w:r w:rsidRPr="001D0827">
        <w:tab/>
      </w:r>
      <w:hyperlink r:id="rId4" w:history="1">
        <w:r w:rsidRPr="001D0827">
          <w:rPr>
            <w:rStyle w:val="Hyperlink"/>
          </w:rPr>
          <w:t>https://eur-lex.europa.eu/legal-content/EN/TXT/?uri=CELEX:62017CJ0623</w:t>
        </w:r>
      </w:hyperlink>
      <w:r w:rsidRPr="001D0827">
        <w:t xml:space="preserve"> </w:t>
      </w:r>
    </w:p>
  </w:footnote>
  <w:footnote w:id="4">
    <w:p w14:paraId="0EB3CEDE" w14:textId="72B14D6C" w:rsidR="003A76FC" w:rsidRPr="001D0827" w:rsidRDefault="003A76FC" w:rsidP="003A76FC">
      <w:pPr>
        <w:pStyle w:val="FootnoteText"/>
        <w:rPr>
          <w:rFonts w:ascii="Times New Roman" w:hAnsi="Times New Roman" w:cs="Times New Roman"/>
        </w:rPr>
      </w:pPr>
      <w:r w:rsidRPr="001D0827">
        <w:rPr>
          <w:rFonts w:ascii="Times New Roman" w:hAnsi="Times New Roman" w:cs="Times New Roman"/>
        </w:rPr>
        <w:footnoteRef/>
      </w:r>
      <w:r w:rsidRPr="001D0827">
        <w:rPr>
          <w:rFonts w:ascii="Times New Roman" w:hAnsi="Times New Roman"/>
        </w:rPr>
        <w:tab/>
        <w:t xml:space="preserve">P8_TA(2018)0315, </w:t>
      </w:r>
      <w:hyperlink r:id="rId5" w:history="1">
        <w:r w:rsidRPr="001D0827">
          <w:rPr>
            <w:rFonts w:ascii="Times New Roman" w:hAnsi="Times New Roman"/>
          </w:rPr>
          <w:t>https://www.europarl.europa.eu/doceo/document/TA-8-2018-0315_BG.html</w:t>
        </w:r>
      </w:hyperlink>
      <w:r w:rsidRPr="001D0827">
        <w:t>;</w:t>
      </w:r>
      <w:r w:rsidRPr="001D0827">
        <w:rPr>
          <w:rFonts w:ascii="Times New Roman" w:hAnsi="Times New Roman"/>
        </w:rPr>
        <w:t xml:space="preserve"> </w:t>
      </w:r>
    </w:p>
  </w:footnote>
  <w:footnote w:id="5">
    <w:p w14:paraId="2313C642" w14:textId="16F42DC2" w:rsidR="003A76FC" w:rsidRPr="001D0827" w:rsidRDefault="003A76FC" w:rsidP="00EA74E3">
      <w:pPr>
        <w:pStyle w:val="FootnoteText"/>
      </w:pPr>
      <w:r w:rsidRPr="001D0827">
        <w:footnoteRef/>
      </w:r>
      <w:r w:rsidR="00EA74E3" w:rsidRPr="001D0827">
        <w:rPr>
          <w:rFonts w:ascii="Times New Roman" w:hAnsi="Times New Roman"/>
        </w:rPr>
        <w:tab/>
      </w:r>
      <w:r w:rsidRPr="001D0827">
        <w:t xml:space="preserve">P8_TA(2018)0433, </w:t>
      </w:r>
      <w:hyperlink r:id="rId6" w:history="1">
        <w:r w:rsidRPr="001D0827">
          <w:t>https://www.europarl.europa.eu/doceo/document/TA-8-2018-0433_BG.html</w:t>
        </w:r>
      </w:hyperlink>
      <w:r w:rsidRPr="001D0827">
        <w:t xml:space="preserve"> </w:t>
      </w:r>
    </w:p>
  </w:footnote>
  <w:footnote w:id="6">
    <w:p w14:paraId="48A9A0E0" w14:textId="5C44AA64" w:rsidR="003A76FC" w:rsidRPr="001D0827" w:rsidRDefault="003A76FC" w:rsidP="003A76FC">
      <w:pPr>
        <w:pStyle w:val="FootnoteText"/>
        <w:rPr>
          <w:rFonts w:ascii="Times New Roman" w:hAnsi="Times New Roman" w:cs="Times New Roman"/>
        </w:rPr>
      </w:pPr>
      <w:r w:rsidRPr="001D0827">
        <w:rPr>
          <w:rStyle w:val="FootnoteReference"/>
          <w:rFonts w:ascii="Times New Roman" w:hAnsi="Times New Roman" w:cs="Times New Roman"/>
        </w:rPr>
        <w:footnoteRef/>
      </w:r>
      <w:r w:rsidR="00EA74E3" w:rsidRPr="001D0827">
        <w:rPr>
          <w:rFonts w:ascii="Times New Roman" w:hAnsi="Times New Roman"/>
        </w:rPr>
        <w:tab/>
      </w:r>
      <w:r w:rsidRPr="001D0827">
        <w:rPr>
          <w:rFonts w:ascii="Times New Roman" w:hAnsi="Times New Roman"/>
        </w:rPr>
        <w:t>P9_TA(2020)0337, https://www.europarl.europa.eu/doceo/document/TA-9-2020-0337_BG.html</w:t>
      </w:r>
    </w:p>
  </w:footnote>
  <w:footnote w:id="7">
    <w:p w14:paraId="08AC5CF0" w14:textId="308C3954" w:rsidR="003A76FC" w:rsidRPr="00EA74E3" w:rsidRDefault="003A76FC" w:rsidP="00EA74E3">
      <w:pPr>
        <w:pStyle w:val="FootnoteText"/>
      </w:pPr>
      <w:r w:rsidRPr="00EA74E3">
        <w:rPr>
          <w:vertAlign w:val="superscript"/>
        </w:rPr>
        <w:footnoteRef/>
      </w:r>
      <w:r w:rsidR="00EA74E3" w:rsidRPr="001D0827">
        <w:rPr>
          <w:rFonts w:ascii="Times New Roman" w:hAnsi="Times New Roman"/>
        </w:rPr>
        <w:tab/>
      </w:r>
      <w:r w:rsidR="00EA74E3">
        <w:t xml:space="preserve"> </w:t>
      </w:r>
      <w:r w:rsidRPr="00EA74E3">
        <w:t xml:space="preserve">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ОВ L 119, 4.5.2016 г., стр. 1–88, </w:t>
      </w:r>
      <w:hyperlink r:id="rId7" w:history="1">
        <w:r w:rsidRPr="00EA74E3">
          <w:rPr>
            <w:color w:val="4472C4" w:themeColor="accent5"/>
            <w:u w:val="single"/>
          </w:rPr>
          <w:t>https://eur-lex.europa.eu/legal-content/BG/TXT/HTML/?uri=CELEX:32016R0679&amp;from=BG</w:t>
        </w:r>
      </w:hyperlink>
    </w:p>
  </w:footnote>
  <w:footnote w:id="8">
    <w:p w14:paraId="4D01B753" w14:textId="0E801ACB" w:rsidR="00EA74E3" w:rsidRDefault="003A76FC" w:rsidP="00EA74E3">
      <w:pPr>
        <w:pStyle w:val="FootnoteText"/>
      </w:pPr>
      <w:r w:rsidRPr="001D0827">
        <w:rPr>
          <w:rStyle w:val="FootnoteReference"/>
        </w:rPr>
        <w:footnoteRef/>
      </w:r>
      <w:hyperlink r:id="rId8" w:history="1">
        <w:r w:rsidRPr="001D0827">
          <w:rPr>
            <w:rStyle w:val="Hyperlink"/>
          </w:rPr>
          <w:t>https://edpb.europa.eu/sites/edpb/files/consultation/edpb_recommendations_202001_supplementarymeasurestransferstools_bg.pdf</w:t>
        </w:r>
      </w:hyperlink>
    </w:p>
    <w:p w14:paraId="69DFD773" w14:textId="639097F7" w:rsidR="003A76FC" w:rsidRPr="001D0827" w:rsidRDefault="00696AAD" w:rsidP="00EA74E3">
      <w:pPr>
        <w:pStyle w:val="FootnoteText"/>
      </w:pPr>
      <w:hyperlink r:id="rId9" w:history="1">
        <w:r w:rsidR="003A76FC" w:rsidRPr="001D0827">
          <w:rPr>
            <w:rStyle w:val="Hyperlink"/>
          </w:rPr>
          <w:t>https://edpb.europa.eu/sites/edpb/files/files/file1/edpb_recommendations_202002_europeanessentialguaranteessurveillance_bg.pdf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42A2" w14:textId="77777777" w:rsidR="00EA74E3" w:rsidRDefault="00EA7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F040" w14:textId="77777777" w:rsidR="00EA74E3" w:rsidRDefault="00EA74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4D1C" w14:textId="77777777" w:rsidR="00EA74E3" w:rsidRDefault="00EA7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86570"/>
    <w:multiLevelType w:val="hybridMultilevel"/>
    <w:tmpl w:val="19DA1E1E"/>
    <w:lvl w:ilvl="0" w:tplc="5378A36C">
      <w:start w:val="1"/>
      <w:numFmt w:val="upperLetter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01B35"/>
    <w:multiLevelType w:val="hybridMultilevel"/>
    <w:tmpl w:val="F57E875E"/>
    <w:lvl w:ilvl="0" w:tplc="A9940D5C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22"/>
    <w:docVar w:name="TXTLANGUE" w:val="BG"/>
    <w:docVar w:name="TXTLANGUEMIN" w:val="bg"/>
    <w:docVar w:name="TXTNRPE" w:val="663.216"/>
    <w:docVar w:name="TXTNRRSP" w:val="2020/2789"/>
    <w:docVar w:name="TXTPEorAP" w:val="PE"/>
    <w:docVar w:name="TXTROUTE" w:val="RE\1222135BG.docx"/>
    <w:docVar w:name="TXTTITLE" w:val="on the Resolution on the ruling of the ECJ of 16 July 2020 - Data Protection Commissioner v Facebook Ireland Limited, Maximillian Schrems (“Schrems II”) - Case C-311/18"/>
    <w:docVar w:name="TXTVERSION" w:val="01-00"/>
  </w:docVars>
  <w:rsids>
    <w:rsidRoot w:val="00F510C8"/>
    <w:rsid w:val="00037F46"/>
    <w:rsid w:val="00070205"/>
    <w:rsid w:val="00094DDA"/>
    <w:rsid w:val="000F4BF6"/>
    <w:rsid w:val="00117781"/>
    <w:rsid w:val="001B49A3"/>
    <w:rsid w:val="001B7CFB"/>
    <w:rsid w:val="001C16A7"/>
    <w:rsid w:val="001C31D8"/>
    <w:rsid w:val="001C62C5"/>
    <w:rsid w:val="001D0827"/>
    <w:rsid w:val="001E1556"/>
    <w:rsid w:val="001E2450"/>
    <w:rsid w:val="00222BBB"/>
    <w:rsid w:val="00250718"/>
    <w:rsid w:val="002574AA"/>
    <w:rsid w:val="002C7767"/>
    <w:rsid w:val="00303413"/>
    <w:rsid w:val="003772FA"/>
    <w:rsid w:val="003A76FC"/>
    <w:rsid w:val="00411D03"/>
    <w:rsid w:val="00412503"/>
    <w:rsid w:val="00471D62"/>
    <w:rsid w:val="004B5166"/>
    <w:rsid w:val="00516BD3"/>
    <w:rsid w:val="0053700E"/>
    <w:rsid w:val="0058312A"/>
    <w:rsid w:val="005D6861"/>
    <w:rsid w:val="00654CBD"/>
    <w:rsid w:val="006726A1"/>
    <w:rsid w:val="00696AAD"/>
    <w:rsid w:val="006A27B7"/>
    <w:rsid w:val="006F48B8"/>
    <w:rsid w:val="00706BC0"/>
    <w:rsid w:val="00723A0B"/>
    <w:rsid w:val="007571FC"/>
    <w:rsid w:val="00780A7D"/>
    <w:rsid w:val="007E1E11"/>
    <w:rsid w:val="00814BC6"/>
    <w:rsid w:val="008278C0"/>
    <w:rsid w:val="00866D70"/>
    <w:rsid w:val="008A4052"/>
    <w:rsid w:val="008D7B31"/>
    <w:rsid w:val="008F5EFB"/>
    <w:rsid w:val="00907285"/>
    <w:rsid w:val="00910F7E"/>
    <w:rsid w:val="00981ED6"/>
    <w:rsid w:val="009C510E"/>
    <w:rsid w:val="009D24DE"/>
    <w:rsid w:val="00A32337"/>
    <w:rsid w:val="00A462B1"/>
    <w:rsid w:val="00A4763A"/>
    <w:rsid w:val="00A516B8"/>
    <w:rsid w:val="00A90219"/>
    <w:rsid w:val="00B16A0B"/>
    <w:rsid w:val="00B34A46"/>
    <w:rsid w:val="00B90331"/>
    <w:rsid w:val="00B90DC2"/>
    <w:rsid w:val="00BC3002"/>
    <w:rsid w:val="00BF2C2D"/>
    <w:rsid w:val="00BF6571"/>
    <w:rsid w:val="00C23264"/>
    <w:rsid w:val="00CC09D8"/>
    <w:rsid w:val="00D12F64"/>
    <w:rsid w:val="00D44718"/>
    <w:rsid w:val="00D90D37"/>
    <w:rsid w:val="00DF5457"/>
    <w:rsid w:val="00DF7943"/>
    <w:rsid w:val="00E53167"/>
    <w:rsid w:val="00EA43FB"/>
    <w:rsid w:val="00EA74E3"/>
    <w:rsid w:val="00EC05E9"/>
    <w:rsid w:val="00ED22B8"/>
    <w:rsid w:val="00F02A2C"/>
    <w:rsid w:val="00F11EF3"/>
    <w:rsid w:val="00F26DE8"/>
    <w:rsid w:val="00F4455A"/>
    <w:rsid w:val="00F510C8"/>
    <w:rsid w:val="00F7050A"/>
    <w:rsid w:val="00F959BA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D77AC"/>
  <w15:chartTrackingRefBased/>
  <w15:docId w15:val="{E6272C54-2F65-43C4-A91C-140847F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character" w:styleId="Hyperlink">
    <w:name w:val="Hyperlink"/>
    <w:basedOn w:val="DefaultParagraphFont"/>
    <w:uiPriority w:val="99"/>
    <w:unhideWhenUsed/>
    <w:rsid w:val="003A76F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3A76FC"/>
    <w:pPr>
      <w:widowControl/>
      <w:suppressLineNumbers/>
      <w:ind w:left="339" w:hanging="339"/>
    </w:pPr>
    <w:rPr>
      <w:rFonts w:ascii="DejaVu Serif" w:eastAsia="DejaVu Sans" w:hAnsi="DejaVu Serif" w:cs="Noto Sans Devanagari"/>
      <w:kern w:val="2"/>
      <w:sz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3A76FC"/>
    <w:rPr>
      <w:rFonts w:ascii="DejaVu Serif" w:eastAsia="DejaVu Sans" w:hAnsi="DejaVu Serif" w:cs="Noto Sans Devanagari"/>
      <w:kern w:val="2"/>
      <w:lang w:val="bg-BG" w:eastAsia="zh-CN" w:bidi="hi-IN"/>
    </w:rPr>
  </w:style>
  <w:style w:type="character" w:customStyle="1" w:styleId="Funotenzeichen">
    <w:name w:val="Fußnotenzeichen"/>
    <w:qFormat/>
    <w:rsid w:val="003A76FC"/>
  </w:style>
  <w:style w:type="character" w:styleId="FootnoteReference">
    <w:name w:val="footnote reference"/>
    <w:basedOn w:val="DefaultParagraphFont"/>
    <w:uiPriority w:val="99"/>
    <w:unhideWhenUsed/>
    <w:rsid w:val="003A76FC"/>
    <w:rPr>
      <w:vertAlign w:val="superscript"/>
    </w:rPr>
  </w:style>
  <w:style w:type="paragraph" w:styleId="BodyText">
    <w:name w:val="Body Text"/>
    <w:basedOn w:val="Normal"/>
    <w:link w:val="BodyTextChar"/>
    <w:rsid w:val="003A76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76FC"/>
    <w:rPr>
      <w:sz w:val="24"/>
    </w:rPr>
  </w:style>
  <w:style w:type="character" w:styleId="CommentReference">
    <w:name w:val="annotation reference"/>
    <w:basedOn w:val="DefaultParagraphFont"/>
    <w:uiPriority w:val="99"/>
    <w:rsid w:val="002507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7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07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071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071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semiHidden/>
    <w:rsid w:val="001C3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1C31D8"/>
    <w:rPr>
      <w:sz w:val="24"/>
    </w:rPr>
  </w:style>
  <w:style w:type="character" w:styleId="FollowedHyperlink">
    <w:name w:val="FollowedHyperlink"/>
    <w:basedOn w:val="DefaultParagraphFont"/>
    <w:rsid w:val="00FB7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dpb.europa.eu/sites/edpb/files/consultation/edpb_recommendations_202001_supplementarymeasurestransferstools_bg.pdf" TargetMode="External"/><Relationship Id="rId3" Type="http://schemas.openxmlformats.org/officeDocument/2006/relationships/hyperlink" Target="https://eur-lex.europa.eu/legal-content/BG/TXT/?uri=CELEX:62014CJ0362" TargetMode="External"/><Relationship Id="rId7" Type="http://schemas.openxmlformats.org/officeDocument/2006/relationships/hyperlink" Target="https://eur-lex.europa.eu/legal-content/BG/TXT/HTML/?uri=CELEX:32016R0679&amp;from=BG" TargetMode="External"/><Relationship Id="rId2" Type="http://schemas.openxmlformats.org/officeDocument/2006/relationships/hyperlink" Target="https://eur-lex.europa.eu/legal-content/BG/TXT/?uri=CELEX:62018CA0311&amp;qid=1610640279033" TargetMode="External"/><Relationship Id="rId1" Type="http://schemas.openxmlformats.org/officeDocument/2006/relationships/hyperlink" Target="file:///C:\Users\cbull\AppData\Local\Microsoft\Windows\INetCache\Content.Outlook\9A0NKB2P\%09https:\eur-lex.europa.eu\legal-content\EN\TXT\?uri=CELEX:62018CJ0311" TargetMode="External"/><Relationship Id="rId6" Type="http://schemas.openxmlformats.org/officeDocument/2006/relationships/hyperlink" Target="https://www.europarl.europa.eu/doceo/document/TA-8-2018-0433_BG.html" TargetMode="External"/><Relationship Id="rId5" Type="http://schemas.openxmlformats.org/officeDocument/2006/relationships/hyperlink" Target="https://www.europarl.europa.eu/doceo/document/TA-8-2018-0315_BG.html" TargetMode="External"/><Relationship Id="rId4" Type="http://schemas.openxmlformats.org/officeDocument/2006/relationships/hyperlink" Target="https://eur-lex.europa.eu/legal-content/EN/TXT/?uri=CELEX:62017CJ0623" TargetMode="External"/><Relationship Id="rId9" Type="http://schemas.openxmlformats.org/officeDocument/2006/relationships/hyperlink" Target="https://edpb.europa.eu/sites/edpb/files/files/file1/edpb_recommendations_202002_europeanessentialguaranteessurveillance_b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4EFF-0DD1-41F8-A4BE-EE81A356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1553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CUADRAT SEIX Iban</dc:creator>
  <cp:keywords/>
  <dc:description/>
  <cp:lastModifiedBy>STOYANOVA Radostina</cp:lastModifiedBy>
  <cp:revision>2</cp:revision>
  <cp:lastPrinted>2004-11-19T15:55:00Z</cp:lastPrinted>
  <dcterms:created xsi:type="dcterms:W3CDTF">2021-01-29T10:28:00Z</dcterms:created>
  <dcterms:modified xsi:type="dcterms:W3CDTF">2021-01-29T10:28:00Z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1222135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\\eiciBRUpr1\pdocep$\DocEP\TRANSFIL\EN\RE_Statements.EN(25/06/2019 11:01:00)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RE\1222135BG.docx</vt:lpwstr>
  </property>
  <property fmtid="{D5CDD505-2E9C-101B-9397-08002B2CF9AE}" pid="10" name="PE number">
    <vt:lpwstr>663.216</vt:lpwstr>
  </property>
  <property fmtid="{D5CDD505-2E9C-101B-9397-08002B2CF9AE}" pid="11" name="SendToEpades">
    <vt:lpwstr>OK - 2021/01/15 11:13</vt:lpwstr>
  </property>
  <property fmtid="{D5CDD505-2E9C-101B-9397-08002B2CF9AE}" pid="12" name="SDLStudio">
    <vt:lpwstr/>
  </property>
  <property fmtid="{D5CDD505-2E9C-101B-9397-08002B2CF9AE}" pid="13" name="&lt;Extension&gt;">
    <vt:lpwstr>BG</vt:lpwstr>
  </property>
  <property fmtid="{D5CDD505-2E9C-101B-9397-08002B2CF9AE}" pid="14" name="Bookout">
    <vt:lpwstr>OK - 2021/01/29 11:27</vt:lpwstr>
  </property>
</Properties>
</file>