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4AC2" w14:textId="77777777" w:rsidR="004E43C9" w:rsidRPr="0094533F" w:rsidRDefault="00E72B36">
      <w:pPr>
        <w:spacing w:before="1440"/>
        <w:jc w:val="center"/>
        <w:rPr>
          <w:rFonts w:ascii="Arial" w:hAnsi="Arial" w:cs="Arial"/>
          <w:b/>
          <w:szCs w:val="22"/>
          <w:lang w:val="fr-FR"/>
        </w:rPr>
      </w:pPr>
      <w:r w:rsidRPr="0094533F">
        <w:rPr>
          <w:rFonts w:ascii="Arial" w:hAnsi="Arial" w:cs="Arial"/>
          <w:b/>
          <w:szCs w:val="22"/>
          <w:lang w:val="fr-FR"/>
        </w:rPr>
        <w:t xml:space="preserve">CONVENTION POUR LA SAUVEGARDE DU </w:t>
      </w:r>
      <w:r w:rsidR="006A2C62" w:rsidRPr="0094533F">
        <w:rPr>
          <w:rFonts w:ascii="Arial" w:hAnsi="Arial" w:cs="Arial"/>
          <w:b/>
          <w:szCs w:val="22"/>
          <w:lang w:val="fr-FR"/>
        </w:rPr>
        <w:br/>
        <w:t>PATRIMOINE CULTUREL IMMATÉRIEL</w:t>
      </w:r>
    </w:p>
    <w:p w14:paraId="5DFFC446" w14:textId="18AD3049" w:rsidR="004E43C9" w:rsidRPr="0094533F" w:rsidRDefault="006A2C62">
      <w:pPr>
        <w:spacing w:before="1200"/>
        <w:jc w:val="center"/>
        <w:rPr>
          <w:rFonts w:ascii="Arial" w:hAnsi="Arial" w:cs="Arial"/>
          <w:b/>
          <w:szCs w:val="22"/>
          <w:lang w:val="fr-FR"/>
        </w:rPr>
      </w:pPr>
      <w:r w:rsidRPr="0094533F">
        <w:rPr>
          <w:rFonts w:ascii="Arial" w:hAnsi="Arial" w:cs="Arial"/>
          <w:b/>
          <w:szCs w:val="22"/>
          <w:lang w:val="fr-FR"/>
        </w:rPr>
        <w:t xml:space="preserve">COMITÉ INTERGOUVERNEMENTAL </w:t>
      </w:r>
      <w:r w:rsidR="00F73D15" w:rsidRPr="0094533F">
        <w:rPr>
          <w:rFonts w:ascii="Arial" w:hAnsi="Arial" w:cs="Arial"/>
          <w:b/>
          <w:szCs w:val="22"/>
          <w:lang w:val="fr-FR"/>
        </w:rPr>
        <w:t>DE</w:t>
      </w:r>
      <w:r w:rsidRPr="0094533F">
        <w:rPr>
          <w:rFonts w:ascii="Arial" w:hAnsi="Arial" w:cs="Arial"/>
          <w:b/>
          <w:szCs w:val="22"/>
          <w:lang w:val="fr-FR"/>
        </w:rPr>
        <w:t xml:space="preserve"> </w:t>
      </w:r>
      <w:r w:rsidRPr="0094533F">
        <w:rPr>
          <w:rFonts w:ascii="Arial" w:hAnsi="Arial" w:cs="Arial"/>
          <w:b/>
          <w:szCs w:val="22"/>
          <w:lang w:val="fr-FR"/>
        </w:rPr>
        <w:br/>
        <w:t>SAUVEGARDE DU PATRIMOINE CULTUREL IMMATÉRIEL</w:t>
      </w:r>
    </w:p>
    <w:p w14:paraId="38199C6E" w14:textId="134B9646" w:rsidR="004E43C9" w:rsidRPr="0094533F" w:rsidRDefault="006A2C62">
      <w:pPr>
        <w:spacing w:before="840" w:after="0"/>
        <w:jc w:val="center"/>
        <w:rPr>
          <w:rFonts w:ascii="Arial" w:eastAsiaTheme="minorEastAsia" w:hAnsi="Arial" w:cs="Arial"/>
          <w:b/>
          <w:szCs w:val="22"/>
          <w:lang w:val="fr-FR" w:eastAsia="ko-KR"/>
        </w:rPr>
      </w:pPr>
      <w:bookmarkStart w:id="0" w:name="_Hlk70514086"/>
      <w:r w:rsidRPr="0094533F">
        <w:rPr>
          <w:rFonts w:ascii="Arial" w:eastAsiaTheme="minorEastAsia" w:hAnsi="Arial" w:cs="Arial"/>
          <w:b/>
          <w:szCs w:val="22"/>
          <w:lang w:val="fr-FR" w:eastAsia="ko-KR"/>
        </w:rPr>
        <w:t xml:space="preserve">Dix-septième </w:t>
      </w:r>
      <w:r w:rsidR="00FD1941" w:rsidRPr="0094533F">
        <w:rPr>
          <w:rFonts w:ascii="Arial" w:eastAsiaTheme="minorEastAsia" w:hAnsi="Arial" w:cs="Arial"/>
          <w:b/>
          <w:szCs w:val="22"/>
          <w:lang w:val="fr-FR" w:eastAsia="ko-KR"/>
        </w:rPr>
        <w:t>session</w:t>
      </w:r>
      <w:bookmarkEnd w:id="0"/>
    </w:p>
    <w:p w14:paraId="4992EA1F" w14:textId="77777777" w:rsidR="004E43C9" w:rsidRPr="0094533F" w:rsidRDefault="006A2C62">
      <w:pPr>
        <w:spacing w:after="0"/>
        <w:jc w:val="center"/>
        <w:rPr>
          <w:rFonts w:ascii="Arial" w:eastAsiaTheme="minorEastAsia" w:hAnsi="Arial" w:cs="Arial"/>
          <w:b/>
          <w:szCs w:val="22"/>
          <w:lang w:val="fr-FR" w:eastAsia="ko-KR"/>
        </w:rPr>
      </w:pPr>
      <w:bookmarkStart w:id="1" w:name="_Hlk70514101"/>
      <w:r w:rsidRPr="0094533F">
        <w:rPr>
          <w:rFonts w:ascii="Arial" w:eastAsiaTheme="minorEastAsia" w:hAnsi="Arial" w:cs="Arial"/>
          <w:b/>
          <w:szCs w:val="22"/>
          <w:lang w:val="fr-FR" w:eastAsia="ko-KR"/>
        </w:rPr>
        <w:t xml:space="preserve">Rabat, </w:t>
      </w:r>
      <w:r w:rsidR="000E01E2" w:rsidRPr="0094533F">
        <w:rPr>
          <w:rFonts w:ascii="Arial" w:eastAsiaTheme="minorEastAsia" w:hAnsi="Arial" w:cs="Arial"/>
          <w:b/>
          <w:szCs w:val="22"/>
          <w:lang w:val="fr-FR" w:eastAsia="ko-KR"/>
        </w:rPr>
        <w:t xml:space="preserve">Royaume du </w:t>
      </w:r>
      <w:r w:rsidRPr="0094533F">
        <w:rPr>
          <w:rFonts w:ascii="Arial" w:eastAsiaTheme="minorEastAsia" w:hAnsi="Arial" w:cs="Arial"/>
          <w:b/>
          <w:szCs w:val="22"/>
          <w:lang w:val="fr-FR" w:eastAsia="ko-KR"/>
        </w:rPr>
        <w:t>Maroc</w:t>
      </w:r>
    </w:p>
    <w:p w14:paraId="242C9003" w14:textId="689CB226" w:rsidR="004E43C9" w:rsidRPr="0094533F" w:rsidRDefault="006A2C62">
      <w:pPr>
        <w:spacing w:after="0"/>
        <w:jc w:val="center"/>
        <w:rPr>
          <w:rFonts w:ascii="Arial" w:eastAsiaTheme="minorEastAsia" w:hAnsi="Arial" w:cs="Arial"/>
          <w:b/>
          <w:szCs w:val="22"/>
          <w:lang w:val="fr-FR" w:eastAsia="ko-KR"/>
        </w:rPr>
      </w:pPr>
      <w:r w:rsidRPr="0094533F">
        <w:rPr>
          <w:rFonts w:ascii="Arial" w:eastAsiaTheme="minorEastAsia" w:hAnsi="Arial" w:cs="Arial"/>
          <w:b/>
          <w:szCs w:val="22"/>
          <w:lang w:val="fr-FR" w:eastAsia="ko-KR"/>
        </w:rPr>
        <w:t xml:space="preserve">28 novembre </w:t>
      </w:r>
      <w:r w:rsidR="00AB2644" w:rsidRPr="0094533F">
        <w:rPr>
          <w:rFonts w:ascii="Arial" w:eastAsiaTheme="minorEastAsia" w:hAnsi="Arial" w:cs="Arial"/>
          <w:b/>
          <w:szCs w:val="22"/>
          <w:lang w:val="fr-FR" w:eastAsia="ko-KR"/>
        </w:rPr>
        <w:t>–</w:t>
      </w:r>
      <w:r w:rsidRPr="0094533F">
        <w:rPr>
          <w:rFonts w:ascii="Arial" w:eastAsiaTheme="minorEastAsia" w:hAnsi="Arial" w:cs="Arial"/>
          <w:b/>
          <w:szCs w:val="22"/>
          <w:lang w:val="fr-FR" w:eastAsia="ko-KR"/>
        </w:rPr>
        <w:t xml:space="preserve"> 3</w:t>
      </w:r>
      <w:r w:rsidR="00AB2644" w:rsidRPr="0094533F">
        <w:rPr>
          <w:rFonts w:ascii="Arial" w:eastAsiaTheme="minorEastAsia" w:hAnsi="Arial" w:cs="Arial"/>
          <w:b/>
          <w:szCs w:val="22"/>
          <w:lang w:val="fr-FR" w:eastAsia="ko-KR"/>
        </w:rPr>
        <w:t xml:space="preserve"> </w:t>
      </w:r>
      <w:r w:rsidRPr="0094533F">
        <w:rPr>
          <w:rFonts w:ascii="Arial" w:eastAsiaTheme="minorEastAsia" w:hAnsi="Arial" w:cs="Arial"/>
          <w:b/>
          <w:szCs w:val="22"/>
          <w:lang w:val="fr-FR" w:eastAsia="ko-KR"/>
        </w:rPr>
        <w:t>décembre 2022</w:t>
      </w:r>
    </w:p>
    <w:tbl>
      <w:tblPr>
        <w:tblpPr w:leftFromText="180" w:rightFromText="180" w:vertAnchor="text" w:horzAnchor="margin" w:tblpXSpec="center" w:tblpY="2391"/>
        <w:tblW w:w="5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796BB9" w:rsidRPr="0094533F" w14:paraId="57E2955A" w14:textId="77777777" w:rsidTr="00796BB9">
        <w:tc>
          <w:tcPr>
            <w:tcW w:w="5670" w:type="dxa"/>
            <w:vAlign w:val="center"/>
          </w:tcPr>
          <w:bookmarkEnd w:id="1"/>
          <w:p w14:paraId="5C9D9A61" w14:textId="77777777" w:rsidR="004E43C9" w:rsidRPr="0094533F" w:rsidRDefault="006A2C62">
            <w:pPr>
              <w:spacing w:before="120"/>
              <w:jc w:val="center"/>
              <w:rPr>
                <w:rFonts w:ascii="Arial" w:hAnsi="Arial" w:cs="Arial"/>
                <w:b/>
                <w:bCs/>
                <w:szCs w:val="22"/>
                <w:lang w:val="fr-FR"/>
              </w:rPr>
            </w:pPr>
            <w:r w:rsidRPr="0094533F">
              <w:rPr>
                <w:rFonts w:ascii="Arial" w:hAnsi="Arial" w:cs="Arial"/>
                <w:b/>
                <w:bCs/>
                <w:szCs w:val="22"/>
                <w:lang w:val="fr-FR"/>
              </w:rPr>
              <w:t>Résumé</w:t>
            </w:r>
          </w:p>
          <w:p w14:paraId="25386C88" w14:textId="2B4A1D99" w:rsidR="004E43C9" w:rsidRPr="004C4558" w:rsidRDefault="006A2C62" w:rsidP="008E368D">
            <w:pPr>
              <w:pStyle w:val="1GAPara"/>
              <w:numPr>
                <w:ilvl w:val="0"/>
                <w:numId w:val="0"/>
              </w:numPr>
              <w:ind w:left="-30"/>
              <w:rPr>
                <w:rStyle w:val="Lienhypertexte"/>
                <w:rFonts w:asciiTheme="minorBidi" w:hAnsiTheme="minorBidi" w:cstheme="minorBidi"/>
                <w:snapToGrid/>
                <w:color w:val="000000" w:themeColor="text1"/>
                <w:szCs w:val="24"/>
                <w:u w:val="none"/>
                <w:lang w:eastAsia="fr-FR"/>
              </w:rPr>
            </w:pPr>
            <w:r w:rsidRPr="0094533F">
              <w:rPr>
                <w:rStyle w:val="hps"/>
                <w:rFonts w:asciiTheme="minorBidi" w:hAnsiTheme="minorBidi" w:cstheme="minorBidi"/>
                <w:snapToGrid/>
              </w:rPr>
              <w:t xml:space="preserve">Le </w:t>
            </w:r>
            <w:r w:rsidRPr="0094533F">
              <w:rPr>
                <w:rStyle w:val="hps"/>
                <w:rFonts w:asciiTheme="minorBidi" w:hAnsiTheme="minorBidi" w:cstheme="minorBidi"/>
              </w:rPr>
              <w:t xml:space="preserve">présent document </w:t>
            </w:r>
            <w:r w:rsidR="00A86888" w:rsidRPr="0094533F">
              <w:rPr>
                <w:rStyle w:val="hps"/>
                <w:rFonts w:asciiTheme="minorBidi" w:hAnsiTheme="minorBidi" w:cstheme="minorBidi"/>
              </w:rPr>
              <w:t>fait le point sur</w:t>
            </w:r>
            <w:r w:rsidR="00693AAC" w:rsidRPr="0094533F">
              <w:rPr>
                <w:rStyle w:val="hps"/>
                <w:rFonts w:asciiTheme="minorBidi" w:hAnsiTheme="minorBidi" w:cstheme="minorBidi"/>
              </w:rPr>
              <w:t xml:space="preserve"> </w:t>
            </w:r>
            <w:r w:rsidR="00693AAC" w:rsidRPr="0094533F">
              <w:rPr>
                <w:rStyle w:val="hps"/>
              </w:rPr>
              <w:t xml:space="preserve">la </w:t>
            </w:r>
            <w:r w:rsidR="008C5B84" w:rsidRPr="0094533F">
              <w:rPr>
                <w:rStyle w:val="hps"/>
              </w:rPr>
              <w:t xml:space="preserve">réflexion sur la </w:t>
            </w:r>
            <w:r w:rsidR="00693AAC" w:rsidRPr="0094533F">
              <w:rPr>
                <w:rStyle w:val="hps"/>
                <w:rFonts w:asciiTheme="minorBidi" w:hAnsiTheme="minorBidi" w:cstheme="minorBidi"/>
                <w:snapToGrid/>
              </w:rPr>
              <w:t>mise en œuvre plus large de l</w:t>
            </w:r>
            <w:r w:rsidRPr="0094533F">
              <w:rPr>
                <w:rStyle w:val="hps"/>
                <w:rFonts w:asciiTheme="minorBidi" w:hAnsiTheme="minorBidi" w:cstheme="minorBidi"/>
                <w:snapToGrid/>
              </w:rPr>
              <w:t>’</w:t>
            </w:r>
            <w:r w:rsidR="00693AAC" w:rsidRPr="0094533F">
              <w:rPr>
                <w:rStyle w:val="hps"/>
                <w:rFonts w:asciiTheme="minorBidi" w:hAnsiTheme="minorBidi" w:cstheme="minorBidi"/>
                <w:snapToGrid/>
              </w:rPr>
              <w:t xml:space="preserve">article 18 de </w:t>
            </w:r>
            <w:r w:rsidR="0055252C" w:rsidRPr="0094533F">
              <w:rPr>
                <w:rStyle w:val="hps"/>
                <w:rFonts w:asciiTheme="minorBidi" w:hAnsiTheme="minorBidi" w:cstheme="minorBidi"/>
              </w:rPr>
              <w:t xml:space="preserve">la </w:t>
            </w:r>
            <w:r w:rsidR="00693AAC" w:rsidRPr="0094533F">
              <w:rPr>
                <w:rStyle w:val="hps"/>
                <w:rFonts w:asciiTheme="minorBidi" w:hAnsiTheme="minorBidi" w:cstheme="minorBidi"/>
                <w:snapToGrid/>
              </w:rPr>
              <w:t>Convention</w:t>
            </w:r>
            <w:r w:rsidR="008C5B84" w:rsidRPr="0094533F">
              <w:rPr>
                <w:rStyle w:val="hps"/>
                <w:rFonts w:asciiTheme="minorBidi" w:hAnsiTheme="minorBidi" w:cstheme="minorBidi"/>
                <w:snapToGrid/>
              </w:rPr>
              <w:t xml:space="preserve">, </w:t>
            </w:r>
            <w:r w:rsidR="008C5B84" w:rsidRPr="0094533F">
              <w:rPr>
                <w:rStyle w:val="hps"/>
                <w:rFonts w:asciiTheme="minorBidi" w:hAnsiTheme="minorBidi" w:cstheme="minorBidi"/>
              </w:rPr>
              <w:t xml:space="preserve">suite à </w:t>
            </w:r>
            <w:r w:rsidR="00693AAC" w:rsidRPr="0094533F">
              <w:rPr>
                <w:rStyle w:val="hps"/>
                <w:rFonts w:asciiTheme="minorBidi" w:hAnsiTheme="minorBidi" w:cstheme="minorBidi"/>
                <w:snapToGrid/>
              </w:rPr>
              <w:t>la demande de la seizième session du Comité d</w:t>
            </w:r>
            <w:r w:rsidRPr="0094533F">
              <w:rPr>
                <w:rStyle w:val="hps"/>
                <w:rFonts w:asciiTheme="minorBidi" w:hAnsiTheme="minorBidi" w:cstheme="minorBidi"/>
                <w:snapToGrid/>
              </w:rPr>
              <w:t>’</w:t>
            </w:r>
            <w:r w:rsidR="00693AAC" w:rsidRPr="0094533F">
              <w:rPr>
                <w:rStyle w:val="hps"/>
                <w:rFonts w:asciiTheme="minorBidi" w:hAnsiTheme="minorBidi" w:cstheme="minorBidi"/>
                <w:snapToGrid/>
              </w:rPr>
              <w:t xml:space="preserve">initier une réflexion séparée </w:t>
            </w:r>
            <w:r w:rsidR="008C5B84" w:rsidRPr="0094533F">
              <w:rPr>
                <w:rStyle w:val="hps"/>
                <w:rFonts w:asciiTheme="minorBidi" w:hAnsiTheme="minorBidi" w:cstheme="minorBidi"/>
              </w:rPr>
              <w:t xml:space="preserve">sur ce sujet </w:t>
            </w:r>
            <w:r w:rsidR="00693AAC" w:rsidRPr="0094533F">
              <w:rPr>
                <w:rStyle w:val="hps"/>
                <w:rFonts w:asciiTheme="minorBidi" w:hAnsiTheme="minorBidi" w:cstheme="minorBidi"/>
              </w:rPr>
              <w:t>(</w:t>
            </w:r>
            <w:r w:rsidR="001D0973" w:rsidRPr="0094533F">
              <w:rPr>
                <w:rStyle w:val="hps"/>
                <w:rFonts w:asciiTheme="minorBidi" w:hAnsiTheme="minorBidi" w:cstheme="minorBidi"/>
              </w:rPr>
              <w:t>décision </w:t>
            </w:r>
            <w:hyperlink r:id="rId8" w:history="1">
              <w:r w:rsidR="00693AAC" w:rsidRPr="0094533F">
                <w:rPr>
                  <w:rStyle w:val="Lienhypertexte"/>
                  <w:rFonts w:asciiTheme="minorBidi" w:hAnsiTheme="minorBidi" w:cstheme="minorBidi"/>
                  <w:snapToGrid/>
                </w:rPr>
                <w:t>16.COM</w:t>
              </w:r>
              <w:r w:rsidR="00A86888" w:rsidRPr="0094533F">
                <w:rPr>
                  <w:rStyle w:val="Lienhypertexte"/>
                  <w:rFonts w:asciiTheme="minorBidi" w:hAnsiTheme="minorBidi" w:cstheme="minorBidi"/>
                  <w:snapToGrid/>
                </w:rPr>
                <w:t> </w:t>
              </w:r>
              <w:r w:rsidR="00693AAC" w:rsidRPr="0094533F">
                <w:rPr>
                  <w:rStyle w:val="Lienhypertexte"/>
                  <w:rFonts w:asciiTheme="minorBidi" w:hAnsiTheme="minorBidi" w:cstheme="minorBidi"/>
                  <w:snapToGrid/>
                </w:rPr>
                <w:t>14</w:t>
              </w:r>
            </w:hyperlink>
            <w:r w:rsidR="00693AAC" w:rsidRPr="0094533F">
              <w:rPr>
                <w:rStyle w:val="Lienhypertexte"/>
                <w:rFonts w:asciiTheme="minorBidi" w:hAnsiTheme="minorBidi" w:cstheme="minorBidi"/>
                <w:snapToGrid/>
                <w:color w:val="000000" w:themeColor="text1"/>
                <w:u w:val="none"/>
              </w:rPr>
              <w:t>).</w:t>
            </w:r>
          </w:p>
          <w:p w14:paraId="00A86976" w14:textId="33D920D3" w:rsidR="004E43C9" w:rsidRPr="0094533F" w:rsidRDefault="006A2C62" w:rsidP="008E368D">
            <w:pPr>
              <w:pStyle w:val="1GAPara"/>
              <w:numPr>
                <w:ilvl w:val="0"/>
                <w:numId w:val="0"/>
              </w:numPr>
              <w:ind w:left="-30"/>
            </w:pPr>
            <w:r w:rsidRPr="004C4558">
              <w:rPr>
                <w:b/>
                <w:bCs/>
              </w:rPr>
              <w:t>Décision requise</w:t>
            </w:r>
            <w:r w:rsidRPr="0094533F">
              <w:t xml:space="preserve"> </w:t>
            </w:r>
            <w:r w:rsidRPr="00BF14D6">
              <w:rPr>
                <w:b/>
                <w:bCs/>
              </w:rPr>
              <w:t>:</w:t>
            </w:r>
            <w:r w:rsidRPr="0094533F">
              <w:t xml:space="preserve"> </w:t>
            </w:r>
            <w:r w:rsidRPr="0094533F">
              <w:rPr>
                <w:bCs/>
              </w:rPr>
              <w:t xml:space="preserve">paragraphe </w:t>
            </w:r>
            <w:r w:rsidR="00000CC5" w:rsidRPr="0094533F">
              <w:rPr>
                <w:bCs/>
              </w:rPr>
              <w:t>11</w:t>
            </w:r>
          </w:p>
        </w:tc>
      </w:tr>
    </w:tbl>
    <w:p w14:paraId="2A889476" w14:textId="2BCD0E57" w:rsidR="004E43C9" w:rsidRPr="0094533F" w:rsidRDefault="006A2C62">
      <w:pPr>
        <w:spacing w:before="1200" w:after="0"/>
        <w:jc w:val="center"/>
        <w:rPr>
          <w:rFonts w:ascii="Arial" w:eastAsiaTheme="minorEastAsia" w:hAnsi="Arial" w:cs="Arial"/>
          <w:b/>
          <w:szCs w:val="22"/>
          <w:u w:val="single"/>
          <w:lang w:val="fr-FR" w:eastAsia="ko-KR"/>
        </w:rPr>
      </w:pPr>
      <w:r w:rsidRPr="0094533F">
        <w:rPr>
          <w:rFonts w:ascii="Arial" w:eastAsiaTheme="minorEastAsia" w:hAnsi="Arial" w:cs="Arial"/>
          <w:b/>
          <w:szCs w:val="22"/>
          <w:u w:val="single"/>
          <w:lang w:val="fr-FR" w:eastAsia="ko-KR"/>
        </w:rPr>
        <w:t xml:space="preserve">Point </w:t>
      </w:r>
      <w:r w:rsidR="00095A38" w:rsidRPr="0094533F">
        <w:rPr>
          <w:rFonts w:ascii="Arial" w:eastAsiaTheme="minorEastAsia" w:hAnsi="Arial" w:cs="Arial"/>
          <w:b/>
          <w:szCs w:val="22"/>
          <w:u w:val="single"/>
          <w:lang w:val="fr-FR" w:eastAsia="ko-KR"/>
        </w:rPr>
        <w:t xml:space="preserve">10 </w:t>
      </w:r>
      <w:r w:rsidRPr="0094533F">
        <w:rPr>
          <w:rFonts w:ascii="Arial" w:eastAsiaTheme="minorEastAsia" w:hAnsi="Arial" w:cs="Arial"/>
          <w:b/>
          <w:szCs w:val="22"/>
          <w:u w:val="single"/>
          <w:lang w:val="fr-FR" w:eastAsia="ko-KR"/>
        </w:rPr>
        <w:t>de l’ordre du jour provisoire</w:t>
      </w:r>
      <w:r w:rsidRPr="0094533F">
        <w:rPr>
          <w:rFonts w:ascii="Arial" w:eastAsiaTheme="minorEastAsia" w:hAnsi="Arial" w:cs="Arial"/>
          <w:b/>
          <w:szCs w:val="22"/>
          <w:lang w:val="fr-FR" w:eastAsia="ko-KR"/>
        </w:rPr>
        <w:t xml:space="preserve"> :</w:t>
      </w:r>
      <w:r w:rsidRPr="0094533F">
        <w:rPr>
          <w:rFonts w:ascii="Arial" w:eastAsiaTheme="minorEastAsia" w:hAnsi="Arial" w:cs="Arial"/>
          <w:b/>
          <w:szCs w:val="22"/>
          <w:u w:val="single"/>
          <w:lang w:val="fr-FR" w:eastAsia="ko-KR"/>
        </w:rPr>
        <w:br/>
      </w:r>
      <w:bookmarkStart w:id="2" w:name="_Hlk115283244"/>
      <w:r w:rsidR="00A86888" w:rsidRPr="0094533F">
        <w:rPr>
          <w:rFonts w:ascii="Arial" w:eastAsiaTheme="minorEastAsia" w:hAnsi="Arial" w:cs="Arial"/>
          <w:b/>
          <w:szCs w:val="22"/>
          <w:lang w:val="fr-FR" w:eastAsia="ko-KR"/>
        </w:rPr>
        <w:t>Point sur</w:t>
      </w:r>
      <w:r w:rsidRPr="0094533F">
        <w:rPr>
          <w:rFonts w:ascii="Arial" w:eastAsiaTheme="minorEastAsia" w:hAnsi="Arial" w:cs="Arial"/>
          <w:b/>
          <w:szCs w:val="22"/>
          <w:lang w:val="fr-FR" w:eastAsia="ko-KR"/>
        </w:rPr>
        <w:t xml:space="preserve"> la réflexion sur la mise en œuvre </w:t>
      </w:r>
      <w:r w:rsidR="001A0CD8" w:rsidRPr="0094533F">
        <w:rPr>
          <w:rFonts w:ascii="Arial" w:eastAsiaTheme="minorEastAsia" w:hAnsi="Arial" w:cs="Arial"/>
          <w:b/>
          <w:szCs w:val="22"/>
          <w:lang w:val="fr-FR" w:eastAsia="ko-KR"/>
        </w:rPr>
        <w:t>plus large</w:t>
      </w:r>
      <w:r w:rsidRPr="0094533F">
        <w:rPr>
          <w:rFonts w:ascii="Arial" w:eastAsiaTheme="minorEastAsia" w:hAnsi="Arial" w:cs="Arial"/>
          <w:b/>
          <w:szCs w:val="22"/>
          <w:lang w:val="fr-FR" w:eastAsia="ko-KR"/>
        </w:rPr>
        <w:br/>
        <w:t>de l’article 18 de la Convention</w:t>
      </w:r>
      <w:bookmarkEnd w:id="2"/>
    </w:p>
    <w:p w14:paraId="54B42DFC" w14:textId="77777777" w:rsidR="00796BB9" w:rsidRPr="0094533F" w:rsidRDefault="00851458" w:rsidP="001D0973">
      <w:pPr>
        <w:pStyle w:val="COMPara"/>
        <w:numPr>
          <w:ilvl w:val="0"/>
          <w:numId w:val="3"/>
        </w:numPr>
      </w:pPr>
      <w:r w:rsidRPr="0094533F">
        <w:br w:type="page"/>
      </w:r>
    </w:p>
    <w:p w14:paraId="1F550274" w14:textId="77777777" w:rsidR="004E43C9" w:rsidRPr="004C4558" w:rsidRDefault="006A2C62" w:rsidP="00050067">
      <w:pPr>
        <w:pStyle w:val="Titre4"/>
        <w:rPr>
          <w:lang w:val="fr-FR"/>
        </w:rPr>
      </w:pPr>
      <w:r w:rsidRPr="004C4558">
        <w:rPr>
          <w:lang w:val="fr-FR"/>
        </w:rPr>
        <w:lastRenderedPageBreak/>
        <w:t>Introduction</w:t>
      </w:r>
    </w:p>
    <w:p w14:paraId="1B4BD0D1" w14:textId="4E0D0DCD" w:rsidR="004E43C9" w:rsidRPr="0094533F" w:rsidRDefault="00A86888" w:rsidP="00050067">
      <w:pPr>
        <w:pStyle w:val="1GAPara"/>
      </w:pPr>
      <w:r w:rsidRPr="0094533F">
        <w:t xml:space="preserve">Conformément à </w:t>
      </w:r>
      <w:r w:rsidR="006A2C62" w:rsidRPr="0094533F">
        <w:t>l’</w:t>
      </w:r>
      <w:r w:rsidR="00821259" w:rsidRPr="0094533F">
        <w:t>article 18 de la Convention de 2003</w:t>
      </w:r>
      <w:r w:rsidR="009A4FA2" w:rsidRPr="0094533F">
        <w:t xml:space="preserve">, </w:t>
      </w:r>
      <w:r w:rsidR="00821259" w:rsidRPr="0094533F">
        <w:t xml:space="preserve">le </w:t>
      </w:r>
      <w:r w:rsidR="001A0CD8" w:rsidRPr="0094533F">
        <w:t>« </w:t>
      </w:r>
      <w:r w:rsidR="00821259" w:rsidRPr="0094533F">
        <w:t xml:space="preserve">Comité sélectionne périodiquement et </w:t>
      </w:r>
      <w:r w:rsidRPr="0094533F">
        <w:t xml:space="preserve">fait la promotion des </w:t>
      </w:r>
      <w:r w:rsidR="00821259" w:rsidRPr="0094533F">
        <w:t xml:space="preserve">programmes, projets et activités </w:t>
      </w:r>
      <w:r w:rsidRPr="0094533F">
        <w:t xml:space="preserve">de caractère régional, sous-régional ou régional </w:t>
      </w:r>
      <w:r w:rsidR="00821259" w:rsidRPr="0094533F">
        <w:t>de sauvegarde du patrimoine qu</w:t>
      </w:r>
      <w:r w:rsidR="006A2C62" w:rsidRPr="0094533F">
        <w:t>’</w:t>
      </w:r>
      <w:r w:rsidR="00821259" w:rsidRPr="0094533F">
        <w:t xml:space="preserve">il </w:t>
      </w:r>
      <w:r w:rsidRPr="0094533F">
        <w:t>estime</w:t>
      </w:r>
      <w:r w:rsidR="00821259" w:rsidRPr="0094533F">
        <w:t xml:space="preserve"> </w:t>
      </w:r>
      <w:r w:rsidRPr="0094533F">
        <w:t>refléter</w:t>
      </w:r>
      <w:r w:rsidR="0065040D" w:rsidRPr="0094533F">
        <w:t xml:space="preserve"> </w:t>
      </w:r>
      <w:r w:rsidR="00821259" w:rsidRPr="0094533F">
        <w:t>le mieux les principes et objectifs de la présente Convention, en tenant compte des besoins particuliers des pays en développement</w:t>
      </w:r>
      <w:r w:rsidR="001A0CD8" w:rsidRPr="0094533F">
        <w:t> »</w:t>
      </w:r>
      <w:r w:rsidR="00821259" w:rsidRPr="0094533F">
        <w:t xml:space="preserve">. </w:t>
      </w:r>
      <w:r w:rsidR="006A2C62" w:rsidRPr="0094533F">
        <w:t xml:space="preserve">Afin de </w:t>
      </w:r>
      <w:r w:rsidR="00821259" w:rsidRPr="0094533F">
        <w:t xml:space="preserve">mettre en œuvre </w:t>
      </w:r>
      <w:r w:rsidR="006A2C62" w:rsidRPr="0094533F">
        <w:t>cette disposition</w:t>
      </w:r>
      <w:r w:rsidR="00821259" w:rsidRPr="0094533F">
        <w:t xml:space="preserve">, un mécanisme de </w:t>
      </w:r>
      <w:r w:rsidR="0071359C" w:rsidRPr="0094533F">
        <w:t>Registre de bonnes</w:t>
      </w:r>
      <w:r w:rsidR="00821259" w:rsidRPr="0094533F">
        <w:t xml:space="preserve"> pratiques </w:t>
      </w:r>
      <w:r w:rsidR="00AD4458" w:rsidRPr="0094533F">
        <w:t xml:space="preserve">de </w:t>
      </w:r>
      <w:r w:rsidR="00821259" w:rsidRPr="0094533F">
        <w:t xml:space="preserve">sauvegarde (ci-après, le </w:t>
      </w:r>
      <w:r w:rsidR="001A0CD8" w:rsidRPr="0094533F">
        <w:t>« </w:t>
      </w:r>
      <w:r w:rsidRPr="0094533F">
        <w:t>R</w:t>
      </w:r>
      <w:r w:rsidR="00821259" w:rsidRPr="0094533F">
        <w:t>egistre</w:t>
      </w:r>
      <w:r w:rsidR="001A0CD8" w:rsidRPr="0094533F">
        <w:t> »</w:t>
      </w:r>
      <w:r w:rsidR="00821259" w:rsidRPr="0094533F">
        <w:t xml:space="preserve">) a été </w:t>
      </w:r>
      <w:r w:rsidR="006A2C62" w:rsidRPr="0094533F">
        <w:t xml:space="preserve">établi en </w:t>
      </w:r>
      <w:r w:rsidR="00821259" w:rsidRPr="0094533F">
        <w:t xml:space="preserve">2009. </w:t>
      </w:r>
      <w:r w:rsidR="00ED3CAD" w:rsidRPr="0094533F">
        <w:t>Bien qu</w:t>
      </w:r>
      <w:r w:rsidR="006A2C62" w:rsidRPr="0094533F">
        <w:t>’</w:t>
      </w:r>
      <w:r w:rsidR="00D6193D" w:rsidRPr="0094533F">
        <w:t xml:space="preserve">il </w:t>
      </w:r>
      <w:r w:rsidR="00990601" w:rsidRPr="0094533F">
        <w:t xml:space="preserve">soit </w:t>
      </w:r>
      <w:r w:rsidR="00D6193D" w:rsidRPr="0094533F">
        <w:t xml:space="preserve">novateur pour un </w:t>
      </w:r>
      <w:r w:rsidR="00D978C8" w:rsidRPr="0094533F">
        <w:t xml:space="preserve">instrument normatif </w:t>
      </w:r>
      <w:r w:rsidR="00D6193D" w:rsidRPr="0094533F">
        <w:t>d</w:t>
      </w:r>
      <w:r w:rsidR="006A2C62" w:rsidRPr="0094533F">
        <w:t>’</w:t>
      </w:r>
      <w:r w:rsidR="00D6193D" w:rsidRPr="0094533F">
        <w:t xml:space="preserve">inclure un mécanisme de liste </w:t>
      </w:r>
      <w:r w:rsidR="00AD4458" w:rsidRPr="0094533F">
        <w:t xml:space="preserve">pour le partage des </w:t>
      </w:r>
      <w:r w:rsidR="00D6193D" w:rsidRPr="0094533F">
        <w:t xml:space="preserve">bonnes pratiques, le </w:t>
      </w:r>
      <w:r w:rsidR="006A2C62" w:rsidRPr="0094533F">
        <w:t xml:space="preserve">Registre </w:t>
      </w:r>
      <w:r w:rsidR="00D6193D" w:rsidRPr="0094533F">
        <w:t xml:space="preserve">a été </w:t>
      </w:r>
      <w:r w:rsidR="006A2C62" w:rsidRPr="0094533F">
        <w:t xml:space="preserve">sous-utilisé par rapport </w:t>
      </w:r>
      <w:r w:rsidR="0055252C" w:rsidRPr="0094533F">
        <w:t xml:space="preserve">aux </w:t>
      </w:r>
      <w:r w:rsidR="00AD4458" w:rsidRPr="0094533F">
        <w:t xml:space="preserve">deux </w:t>
      </w:r>
      <w:r w:rsidR="006A2C62" w:rsidRPr="0094533F">
        <w:t xml:space="preserve">autres </w:t>
      </w:r>
      <w:r w:rsidR="00AD4458" w:rsidRPr="0094533F">
        <w:t xml:space="preserve">Listes de </w:t>
      </w:r>
      <w:r w:rsidR="006A2C62" w:rsidRPr="0094533F">
        <w:t xml:space="preserve">la Convention </w:t>
      </w:r>
      <w:r w:rsidR="009A4FA2" w:rsidRPr="0094533F">
        <w:t xml:space="preserve">: sur les </w:t>
      </w:r>
      <w:r w:rsidR="006A2C62" w:rsidRPr="0094533F">
        <w:t xml:space="preserve">631 éléments </w:t>
      </w:r>
      <w:r w:rsidR="009A4FA2" w:rsidRPr="0094533F">
        <w:t xml:space="preserve">actuellement </w:t>
      </w:r>
      <w:r w:rsidR="006A2C62" w:rsidRPr="0094533F">
        <w:t xml:space="preserve">inscrits sur les Listes, 530 </w:t>
      </w:r>
      <w:r w:rsidR="009A4FA2" w:rsidRPr="0094533F">
        <w:t xml:space="preserve">sont </w:t>
      </w:r>
      <w:r w:rsidR="006A2C62" w:rsidRPr="0094533F">
        <w:t xml:space="preserve">sur la Liste représentative, 72 sur la Liste de sauvegarde urgente, et seulement 29 </w:t>
      </w:r>
      <w:r w:rsidR="00AD4458" w:rsidRPr="0094533F">
        <w:t xml:space="preserve">sont inclus dans le </w:t>
      </w:r>
      <w:r w:rsidR="006A2C62" w:rsidRPr="0094533F">
        <w:t>Registre.</w:t>
      </w:r>
    </w:p>
    <w:p w14:paraId="4696B000" w14:textId="6063D546" w:rsidR="004E43C9" w:rsidRPr="0094533F" w:rsidRDefault="006A2C62" w:rsidP="00050067">
      <w:pPr>
        <w:pStyle w:val="1GAPara"/>
        <w:rPr>
          <w:rStyle w:val="hps"/>
        </w:rPr>
      </w:pPr>
      <w:r w:rsidRPr="0094533F">
        <w:t xml:space="preserve">Il y a eu une tentative </w:t>
      </w:r>
      <w:r w:rsidR="00022314" w:rsidRPr="0094533F">
        <w:t xml:space="preserve">antérieure </w:t>
      </w:r>
      <w:r w:rsidRPr="0094533F">
        <w:t>de rechercher d</w:t>
      </w:r>
      <w:r w:rsidR="00A86888" w:rsidRPr="0094533F">
        <w:t>’« autres moyens plus légers</w:t>
      </w:r>
      <w:r w:rsidR="00EF25A1">
        <w:t> </w:t>
      </w:r>
      <w:r w:rsidR="001A0CD8" w:rsidRPr="0094533F">
        <w:t>»</w:t>
      </w:r>
      <w:r w:rsidRPr="0094533F">
        <w:t xml:space="preserve"> de partager les bonnes pratiques de sauvegarde pour compléter le </w:t>
      </w:r>
      <w:r w:rsidR="00A86888" w:rsidRPr="0094533F">
        <w:t>R</w:t>
      </w:r>
      <w:r w:rsidRPr="0094533F">
        <w:t xml:space="preserve">egistre </w:t>
      </w:r>
      <w:r w:rsidR="0030554A" w:rsidRPr="0094533F">
        <w:t xml:space="preserve">(voir </w:t>
      </w:r>
      <w:r w:rsidR="00D452A3" w:rsidRPr="0094533F">
        <w:t>section A</w:t>
      </w:r>
      <w:r w:rsidR="0030554A" w:rsidRPr="0094533F">
        <w:t>)</w:t>
      </w:r>
      <w:r w:rsidR="009B6CB4" w:rsidRPr="0094533F">
        <w:t xml:space="preserve">. </w:t>
      </w:r>
      <w:r w:rsidRPr="0094533F">
        <w:t xml:space="preserve">La </w:t>
      </w:r>
      <w:r w:rsidR="00656D24" w:rsidRPr="0094533F">
        <w:t>réflexion globale sur les mécanismes d</w:t>
      </w:r>
      <w:r w:rsidRPr="0094533F">
        <w:t>’</w:t>
      </w:r>
      <w:r w:rsidR="00656D24" w:rsidRPr="0094533F">
        <w:t>inscription</w:t>
      </w:r>
      <w:r w:rsidR="00A86888" w:rsidRPr="0094533F">
        <w:t xml:space="preserve"> sur les listes</w:t>
      </w:r>
      <w:r w:rsidR="00656D24" w:rsidRPr="0094533F">
        <w:t xml:space="preserve"> de la Convention </w:t>
      </w:r>
      <w:r w:rsidR="00AD4458" w:rsidRPr="0094533F">
        <w:t>(</w:t>
      </w:r>
      <w:r w:rsidR="00656D24" w:rsidRPr="0094533F">
        <w:t xml:space="preserve">2018 </w:t>
      </w:r>
      <w:r w:rsidR="00AD4458" w:rsidRPr="0094533F">
        <w:t xml:space="preserve">à </w:t>
      </w:r>
      <w:r w:rsidR="00656D24" w:rsidRPr="0094533F">
        <w:t>2022</w:t>
      </w:r>
      <w:r w:rsidR="00AD4458" w:rsidRPr="0094533F">
        <w:t xml:space="preserve">) </w:t>
      </w:r>
      <w:r w:rsidR="0030554A" w:rsidRPr="0094533F">
        <w:t>incluait également la question du Registre mais a finalement</w:t>
      </w:r>
      <w:r w:rsidR="00A86888" w:rsidRPr="0094533F">
        <w:t xml:space="preserve"> conduit</w:t>
      </w:r>
      <w:r w:rsidR="0030554A" w:rsidRPr="0094533F">
        <w:t xml:space="preserve"> à une demande d</w:t>
      </w:r>
      <w:r w:rsidRPr="0094533F">
        <w:t>’</w:t>
      </w:r>
      <w:r w:rsidR="00AD4458" w:rsidRPr="0094533F">
        <w:t xml:space="preserve">entreprendre une réflexion distincte </w:t>
      </w:r>
      <w:r w:rsidR="00A86888" w:rsidRPr="0094533F">
        <w:t>–</w:t>
      </w:r>
      <w:r w:rsidR="00AD4458" w:rsidRPr="0094533F">
        <w:t xml:space="preserve"> </w:t>
      </w:r>
      <w:r w:rsidR="00A86888" w:rsidRPr="0094533F">
        <w:t>afin d’explorer les moyens permettant une meilleure et plus large mise en œuvre de l'article 18 de la Convention.</w:t>
      </w:r>
      <w:r w:rsidR="00656D24" w:rsidRPr="0094533F">
        <w:t xml:space="preserve"> </w:t>
      </w:r>
      <w:r w:rsidR="00A8388C" w:rsidRPr="0094533F">
        <w:rPr>
          <w:rStyle w:val="hps"/>
          <w:rFonts w:asciiTheme="minorBidi" w:hAnsiTheme="minorBidi" w:cstheme="minorBidi"/>
          <w:snapToGrid/>
        </w:rPr>
        <w:t xml:space="preserve">Cette nouvelle initiative a été rendue possible grâce à une contribution du Royaume de Suède en septembre 2021 sous la </w:t>
      </w:r>
      <w:r w:rsidR="00A8388C" w:rsidRPr="0094533F">
        <w:t>forme d</w:t>
      </w:r>
      <w:r w:rsidRPr="0094533F">
        <w:t>’</w:t>
      </w:r>
      <w:r w:rsidR="00A8388C" w:rsidRPr="0094533F">
        <w:t xml:space="preserve">une contribution supplémentaire au Programme </w:t>
      </w:r>
      <w:r w:rsidR="00BF14D6">
        <w:t>ordinaire</w:t>
      </w:r>
      <w:r w:rsidR="00A8388C" w:rsidRPr="0094533F">
        <w:t xml:space="preserve"> de l</w:t>
      </w:r>
      <w:r w:rsidRPr="0094533F">
        <w:t>’</w:t>
      </w:r>
      <w:r w:rsidR="00A8388C" w:rsidRPr="0094533F">
        <w:t xml:space="preserve">UNESCO (document </w:t>
      </w:r>
      <w:hyperlink r:id="rId9" w:history="1">
        <w:r w:rsidR="00A8388C" w:rsidRPr="0094533F">
          <w:rPr>
            <w:rStyle w:val="Lienhypertexte"/>
          </w:rPr>
          <w:t>LHE/21/16.COM/1</w:t>
        </w:r>
        <w:r w:rsidR="00293CD9" w:rsidRPr="0094533F">
          <w:rPr>
            <w:rStyle w:val="Lienhypertexte"/>
          </w:rPr>
          <w:t>4</w:t>
        </w:r>
      </w:hyperlink>
      <w:r w:rsidR="00A8388C" w:rsidRPr="0094533F">
        <w:t>).</w:t>
      </w:r>
    </w:p>
    <w:p w14:paraId="1DEAD42E" w14:textId="77777777" w:rsidR="004E43C9" w:rsidRPr="004C4558" w:rsidRDefault="006A2C62" w:rsidP="001D0973">
      <w:pPr>
        <w:pStyle w:val="COMTitleDecision"/>
        <w:rPr>
          <w:lang w:val="fr-FR"/>
        </w:rPr>
      </w:pPr>
      <w:r w:rsidRPr="004C4558">
        <w:rPr>
          <w:lang w:val="fr-FR"/>
        </w:rPr>
        <w:t>Contexte</w:t>
      </w:r>
    </w:p>
    <w:p w14:paraId="54DABCEE" w14:textId="49395A3E" w:rsidR="004E43C9" w:rsidRPr="0094533F" w:rsidRDefault="00D907E3" w:rsidP="001D0973">
      <w:pPr>
        <w:pStyle w:val="1GAPara"/>
        <w:numPr>
          <w:ilvl w:val="0"/>
          <w:numId w:val="0"/>
        </w:numPr>
        <w:ind w:left="567"/>
      </w:pPr>
      <w:r w:rsidRPr="0094533F">
        <w:rPr>
          <w:rStyle w:val="Sous-titreCar"/>
        </w:rPr>
        <w:t>D’autres moyens</w:t>
      </w:r>
      <w:r w:rsidR="006A2C62" w:rsidRPr="0094533F">
        <w:rPr>
          <w:rStyle w:val="Sous-titreCar"/>
        </w:rPr>
        <w:t xml:space="preserve"> plus légers </w:t>
      </w:r>
      <w:r w:rsidRPr="0094533F">
        <w:rPr>
          <w:rStyle w:val="Sous-titreCar"/>
        </w:rPr>
        <w:t>de partage des</w:t>
      </w:r>
      <w:r w:rsidR="00AE320C" w:rsidRPr="0094533F">
        <w:rPr>
          <w:rStyle w:val="Sous-titreCar"/>
        </w:rPr>
        <w:t xml:space="preserve"> bonnes pratiques de sauvegarde</w:t>
      </w:r>
    </w:p>
    <w:p w14:paraId="668ED698" w14:textId="4F918B71" w:rsidR="004E43C9" w:rsidRPr="0094533F" w:rsidRDefault="006A2C62" w:rsidP="00050067">
      <w:pPr>
        <w:pStyle w:val="1GAPara"/>
      </w:pPr>
      <w:r w:rsidRPr="0094533F">
        <w:t>Suite aux demandes du Comité à ses huitième (</w:t>
      </w:r>
      <w:r w:rsidR="00181087" w:rsidRPr="0094533F">
        <w:t xml:space="preserve">décision </w:t>
      </w:r>
      <w:hyperlink r:id="rId10" w:history="1">
        <w:r w:rsidRPr="0094533F">
          <w:rPr>
            <w:rStyle w:val="Lienhypertexte"/>
            <w:rFonts w:asciiTheme="minorBidi" w:hAnsiTheme="minorBidi" w:cstheme="minorBidi"/>
          </w:rPr>
          <w:t>8.COM</w:t>
        </w:r>
        <w:r w:rsidR="00D907E3" w:rsidRPr="0094533F">
          <w:rPr>
            <w:rStyle w:val="Lienhypertexte"/>
            <w:rFonts w:asciiTheme="minorBidi" w:hAnsiTheme="minorBidi" w:cstheme="minorBidi"/>
          </w:rPr>
          <w:t> </w:t>
        </w:r>
        <w:r w:rsidRPr="0094533F">
          <w:rPr>
            <w:rStyle w:val="Lienhypertexte"/>
            <w:rFonts w:asciiTheme="minorBidi" w:hAnsiTheme="minorBidi" w:cstheme="minorBidi"/>
          </w:rPr>
          <w:t>5.c.1</w:t>
        </w:r>
      </w:hyperlink>
      <w:r w:rsidR="00181087" w:rsidRPr="0094533F">
        <w:t>, paragraphe 5)</w:t>
      </w:r>
      <w:r w:rsidR="00ED791F" w:rsidRPr="0094533F">
        <w:t xml:space="preserve">, </w:t>
      </w:r>
      <w:r w:rsidR="00AB7C7C">
        <w:t>neuvième</w:t>
      </w:r>
      <w:r w:rsidR="00ED791F" w:rsidRPr="0094533F">
        <w:t xml:space="preserve"> (décision </w:t>
      </w:r>
      <w:hyperlink r:id="rId11" w:history="1">
        <w:r w:rsidR="00ED791F" w:rsidRPr="0094533F">
          <w:rPr>
            <w:rStyle w:val="Lienhypertexte"/>
            <w:rFonts w:asciiTheme="minorBidi" w:hAnsiTheme="minorBidi" w:cstheme="minorBidi"/>
          </w:rPr>
          <w:t>9.COM 9.b</w:t>
        </w:r>
      </w:hyperlink>
      <w:r w:rsidR="00ED791F" w:rsidRPr="0094533F">
        <w:t xml:space="preserve">) </w:t>
      </w:r>
      <w:r w:rsidRPr="0094533F">
        <w:t>et dixième (</w:t>
      </w:r>
      <w:r w:rsidR="00181087" w:rsidRPr="0094533F">
        <w:t xml:space="preserve">décision </w:t>
      </w:r>
      <w:hyperlink r:id="rId12" w:history="1">
        <w:r w:rsidRPr="0094533F">
          <w:rPr>
            <w:rStyle w:val="Lienhypertexte"/>
            <w:rFonts w:asciiTheme="minorBidi" w:hAnsiTheme="minorBidi" w:cstheme="minorBidi"/>
          </w:rPr>
          <w:t>10.COM</w:t>
        </w:r>
        <w:r w:rsidR="00D907E3" w:rsidRPr="0094533F">
          <w:rPr>
            <w:rStyle w:val="Lienhypertexte"/>
            <w:rFonts w:asciiTheme="minorBidi" w:hAnsiTheme="minorBidi" w:cstheme="minorBidi"/>
          </w:rPr>
          <w:t> </w:t>
        </w:r>
        <w:r w:rsidRPr="0094533F">
          <w:rPr>
            <w:rStyle w:val="Lienhypertexte"/>
            <w:rFonts w:asciiTheme="minorBidi" w:hAnsiTheme="minorBidi" w:cstheme="minorBidi"/>
          </w:rPr>
          <w:t>10</w:t>
        </w:r>
      </w:hyperlink>
      <w:r w:rsidRPr="0094533F">
        <w:t>, paragraphe 10) sessions</w:t>
      </w:r>
      <w:r w:rsidR="00181087" w:rsidRPr="0094533F">
        <w:t xml:space="preserve">, </w:t>
      </w:r>
      <w:r w:rsidR="00181087" w:rsidRPr="0094533F">
        <w:rPr>
          <w:rStyle w:val="hps"/>
        </w:rPr>
        <w:t xml:space="preserve">le </w:t>
      </w:r>
      <w:r w:rsidR="00181087" w:rsidRPr="0094533F">
        <w:t xml:space="preserve">Secrétariat a </w:t>
      </w:r>
      <w:r w:rsidR="00181087" w:rsidRPr="0094533F">
        <w:rPr>
          <w:rStyle w:val="hps"/>
        </w:rPr>
        <w:t xml:space="preserve">entrepris </w:t>
      </w:r>
      <w:r w:rsidR="0055252C" w:rsidRPr="0094533F">
        <w:rPr>
          <w:rStyle w:val="hps"/>
        </w:rPr>
        <w:t xml:space="preserve">en 2018 </w:t>
      </w:r>
      <w:r w:rsidR="00181087" w:rsidRPr="0094533F">
        <w:rPr>
          <w:rStyle w:val="hps"/>
        </w:rPr>
        <w:t>une enquête de consultation</w:t>
      </w:r>
      <w:r w:rsidR="00181087" w:rsidRPr="0094533F">
        <w:rPr>
          <w:rStyle w:val="Appelnotedebasdep"/>
        </w:rPr>
        <w:footnoteReference w:id="2"/>
      </w:r>
      <w:r w:rsidR="00181087" w:rsidRPr="0094533F">
        <w:rPr>
          <w:rStyle w:val="hps"/>
        </w:rPr>
        <w:t xml:space="preserve"> sur </w:t>
      </w:r>
      <w:r w:rsidR="00D907E3" w:rsidRPr="0094533F">
        <w:rPr>
          <w:rStyle w:val="hps"/>
        </w:rPr>
        <w:t>d’autres moyens</w:t>
      </w:r>
      <w:r w:rsidR="00181087" w:rsidRPr="0094533F">
        <w:rPr>
          <w:rStyle w:val="hps"/>
        </w:rPr>
        <w:t xml:space="preserve"> plus légers de partager les pratiques de sauvegarde du patrimoine culturel immatériel pour compléter le </w:t>
      </w:r>
      <w:r w:rsidR="0071359C" w:rsidRPr="0094533F">
        <w:rPr>
          <w:rStyle w:val="hps"/>
        </w:rPr>
        <w:t>Registre de bonnes</w:t>
      </w:r>
      <w:r w:rsidR="00181087" w:rsidRPr="0094533F">
        <w:rPr>
          <w:rStyle w:val="hps"/>
        </w:rPr>
        <w:t xml:space="preserve"> pratiques de sauvegarde. </w:t>
      </w:r>
      <w:r w:rsidR="00A3050A" w:rsidRPr="0094533F">
        <w:t xml:space="preserve">Les </w:t>
      </w:r>
      <w:r w:rsidR="00F75467" w:rsidRPr="0094533F">
        <w:t>résultats de l</w:t>
      </w:r>
      <w:r w:rsidRPr="0094533F">
        <w:t xml:space="preserve">’enquête ont </w:t>
      </w:r>
      <w:r w:rsidR="00A3050A" w:rsidRPr="0094533F">
        <w:t xml:space="preserve">mis en évidence les points </w:t>
      </w:r>
      <w:r w:rsidR="005B238E" w:rsidRPr="0094533F">
        <w:t>suivants :</w:t>
      </w:r>
    </w:p>
    <w:p w14:paraId="10CB60C9" w14:textId="3FD537BE" w:rsidR="004E43C9" w:rsidRPr="0094533F" w:rsidRDefault="00A3050A" w:rsidP="001D0973">
      <w:pPr>
        <w:pStyle w:val="COMPara"/>
      </w:pPr>
      <w:r w:rsidRPr="0094533F">
        <w:t xml:space="preserve">Les pratiques de sauvegarde sont utilisées et diffusées </w:t>
      </w:r>
      <w:r w:rsidR="006A2C62" w:rsidRPr="0094533F">
        <w:t>de diverses manières</w:t>
      </w:r>
      <w:r w:rsidRPr="0094533F">
        <w:t>, principalement au niveau local ou national, puis au niveau régional</w:t>
      </w:r>
      <w:r w:rsidR="005412A4">
        <w:t> </w:t>
      </w:r>
      <w:r w:rsidRPr="0094533F">
        <w:t>;</w:t>
      </w:r>
    </w:p>
    <w:p w14:paraId="654CB125" w14:textId="2A65FFB8" w:rsidR="004E43C9" w:rsidRPr="0094533F" w:rsidRDefault="006A2C62" w:rsidP="001D0973">
      <w:pPr>
        <w:pStyle w:val="COMPara"/>
      </w:pPr>
      <w:r w:rsidRPr="0094533F">
        <w:t xml:space="preserve">Il est nécessaire d’établir </w:t>
      </w:r>
      <w:r w:rsidR="00A3050A" w:rsidRPr="0094533F">
        <w:t>un mécanisme de filtrage et de validation plus léger par l</w:t>
      </w:r>
      <w:r w:rsidRPr="0094533F">
        <w:t>’</w:t>
      </w:r>
      <w:r w:rsidR="00A3050A" w:rsidRPr="0094533F">
        <w:t>intermédiaire de l</w:t>
      </w:r>
      <w:r w:rsidRPr="0094533F">
        <w:t>’</w:t>
      </w:r>
      <w:r w:rsidR="00A3050A" w:rsidRPr="0094533F">
        <w:t>UNESCO</w:t>
      </w:r>
      <w:r w:rsidR="005412A4">
        <w:t> </w:t>
      </w:r>
      <w:r w:rsidR="00D83491" w:rsidRPr="0094533F">
        <w:t>;</w:t>
      </w:r>
    </w:p>
    <w:p w14:paraId="4A34C623" w14:textId="50A104F8" w:rsidR="004E43C9" w:rsidRPr="0094533F" w:rsidRDefault="006A2C62" w:rsidP="001D0973">
      <w:pPr>
        <w:pStyle w:val="COMPara"/>
      </w:pPr>
      <w:r w:rsidRPr="0094533F">
        <w:t xml:space="preserve">Si les </w:t>
      </w:r>
      <w:r w:rsidR="00D907E3" w:rsidRPr="0094533F">
        <w:t xml:space="preserve">réseaux </w:t>
      </w:r>
      <w:r w:rsidRPr="0094533F">
        <w:t xml:space="preserve">sociaux sont les </w:t>
      </w:r>
      <w:r w:rsidR="0003559B" w:rsidRPr="0094533F">
        <w:t>canaux</w:t>
      </w:r>
      <w:r w:rsidRPr="0094533F">
        <w:t xml:space="preserve"> les plus fréquemment utilisés, il est intéressant de noter qu’ils sont </w:t>
      </w:r>
      <w:r w:rsidR="0003559B" w:rsidRPr="0094533F">
        <w:t xml:space="preserve">considérés comme </w:t>
      </w:r>
      <w:r w:rsidRPr="0094533F">
        <w:t>le moyen le moins significatif d’obtenir des informations de la part des autres</w:t>
      </w:r>
      <w:r w:rsidR="005412A4">
        <w:t> </w:t>
      </w:r>
      <w:r w:rsidR="0003559B" w:rsidRPr="0094533F">
        <w:t>;</w:t>
      </w:r>
    </w:p>
    <w:p w14:paraId="65A2038E" w14:textId="11D7628B" w:rsidR="004E43C9" w:rsidRPr="0094533F" w:rsidRDefault="006A2C62" w:rsidP="001D0973">
      <w:pPr>
        <w:pStyle w:val="COMPara"/>
      </w:pPr>
      <w:r w:rsidRPr="0094533F">
        <w:t xml:space="preserve">En ce qui concerne les nouveaux moyens de partager les pratiques de sauvegarde, la majorité des répondants ont suggéré qu’ils préféreraient </w:t>
      </w:r>
      <w:r w:rsidR="003A1F68" w:rsidRPr="0094533F">
        <w:t xml:space="preserve">conserver le </w:t>
      </w:r>
      <w:r w:rsidR="00D907E3" w:rsidRPr="0094533F">
        <w:t>R</w:t>
      </w:r>
      <w:r w:rsidR="003A1F68" w:rsidRPr="0094533F">
        <w:t xml:space="preserve">egistre de </w:t>
      </w:r>
      <w:r w:rsidR="001D61B5" w:rsidRPr="0094533F">
        <w:t xml:space="preserve">la Convention, mais avec </w:t>
      </w:r>
      <w:r w:rsidR="002A75C2" w:rsidRPr="0094533F">
        <w:t xml:space="preserve">un </w:t>
      </w:r>
      <w:r w:rsidRPr="0094533F">
        <w:t>mécanisme de filtrage et de validation plus léger.</w:t>
      </w:r>
    </w:p>
    <w:p w14:paraId="136F4C6F" w14:textId="0EEC336F" w:rsidR="004E43C9" w:rsidRPr="0094533F" w:rsidRDefault="006A2C62" w:rsidP="00050067">
      <w:pPr>
        <w:pStyle w:val="1GAPara"/>
        <w:rPr>
          <w:rStyle w:val="hps"/>
          <w:rFonts w:asciiTheme="minorBidi" w:hAnsiTheme="minorBidi" w:cstheme="minorBidi"/>
        </w:rPr>
      </w:pPr>
      <w:r w:rsidRPr="0094533F">
        <w:t xml:space="preserve">Les résultats de l’enquête </w:t>
      </w:r>
      <w:r w:rsidRPr="0094533F">
        <w:rPr>
          <w:rStyle w:val="hps"/>
        </w:rPr>
        <w:t xml:space="preserve">ont été présentés au Comité lors de sa quatorzième session, </w:t>
      </w:r>
      <w:r w:rsidR="00ED791F" w:rsidRPr="0094533F">
        <w:rPr>
          <w:rStyle w:val="hps"/>
        </w:rPr>
        <w:t xml:space="preserve">qui a pris la </w:t>
      </w:r>
      <w:r w:rsidRPr="0094533F">
        <w:rPr>
          <w:rStyle w:val="hps"/>
        </w:rPr>
        <w:t xml:space="preserve">décision de les prendre en considération dans la réflexion globale </w:t>
      </w:r>
      <w:r w:rsidR="00A827EF" w:rsidRPr="0094533F">
        <w:rPr>
          <w:rStyle w:val="hps"/>
        </w:rPr>
        <w:t xml:space="preserve">alors </w:t>
      </w:r>
      <w:r w:rsidRPr="0094533F">
        <w:rPr>
          <w:rStyle w:val="hps"/>
        </w:rPr>
        <w:t>en cours sur le mécanisme d’inscription</w:t>
      </w:r>
      <w:r w:rsidR="00D907E3" w:rsidRPr="0094533F">
        <w:rPr>
          <w:rStyle w:val="hps"/>
        </w:rPr>
        <w:t xml:space="preserve"> sur les listes</w:t>
      </w:r>
      <w:r w:rsidRPr="0094533F">
        <w:rPr>
          <w:rStyle w:val="hps"/>
        </w:rPr>
        <w:t xml:space="preserve"> de </w:t>
      </w:r>
      <w:r w:rsidR="00A827EF" w:rsidRPr="0094533F">
        <w:rPr>
          <w:rStyle w:val="hps"/>
        </w:rPr>
        <w:t xml:space="preserve">la </w:t>
      </w:r>
      <w:r w:rsidRPr="0094533F">
        <w:rPr>
          <w:rStyle w:val="hps"/>
        </w:rPr>
        <w:t xml:space="preserve">Convention (décisions </w:t>
      </w:r>
      <w:hyperlink r:id="rId13" w:history="1">
        <w:r w:rsidR="00ED791F" w:rsidRPr="0094533F">
          <w:rPr>
            <w:rStyle w:val="Lienhypertexte"/>
          </w:rPr>
          <w:t>13.COM</w:t>
        </w:r>
        <w:r w:rsidR="00D907E3" w:rsidRPr="0094533F">
          <w:rPr>
            <w:rStyle w:val="Lienhypertexte"/>
          </w:rPr>
          <w:t> </w:t>
        </w:r>
        <w:r w:rsidR="00ED791F" w:rsidRPr="0094533F">
          <w:rPr>
            <w:rStyle w:val="Lienhypertexte"/>
          </w:rPr>
          <w:t>5</w:t>
        </w:r>
      </w:hyperlink>
      <w:r w:rsidR="00ED791F" w:rsidRPr="0094533F">
        <w:rPr>
          <w:rStyle w:val="hps"/>
        </w:rPr>
        <w:t xml:space="preserve"> et </w:t>
      </w:r>
      <w:hyperlink r:id="rId14" w:history="1">
        <w:r w:rsidRPr="0094533F">
          <w:rPr>
            <w:rStyle w:val="Lienhypertexte"/>
          </w:rPr>
          <w:t>14.COM 5.b</w:t>
        </w:r>
      </w:hyperlink>
      <w:r w:rsidRPr="0094533F">
        <w:rPr>
          <w:rStyle w:val="hps"/>
        </w:rPr>
        <w:t>).</w:t>
      </w:r>
    </w:p>
    <w:p w14:paraId="2FD3FCBE" w14:textId="167DE100" w:rsidR="004E43C9" w:rsidRPr="0094533F" w:rsidRDefault="00ED006B" w:rsidP="004C4558">
      <w:pPr>
        <w:pStyle w:val="Sous-titre"/>
        <w:keepNext/>
      </w:pPr>
      <w:r w:rsidRPr="0094533F">
        <w:lastRenderedPageBreak/>
        <w:t xml:space="preserve">Réflexion globale sur les mécanismes </w:t>
      </w:r>
      <w:r w:rsidR="00D907E3" w:rsidRPr="0094533F">
        <w:t>d’inscription sur les listes</w:t>
      </w:r>
    </w:p>
    <w:p w14:paraId="7293C443" w14:textId="167AF77A" w:rsidR="004E43C9" w:rsidRPr="0094533F" w:rsidRDefault="006A2C62" w:rsidP="004C4558">
      <w:pPr>
        <w:pStyle w:val="1GAPara"/>
        <w:keepLines/>
      </w:pPr>
      <w:bookmarkStart w:id="3" w:name="_Hlk116750505"/>
      <w:r w:rsidRPr="0094533F">
        <w:t xml:space="preserve">La réflexion globale </w:t>
      </w:r>
      <w:r w:rsidR="00F665DA" w:rsidRPr="0094533F">
        <w:t>sur les mécanismes d</w:t>
      </w:r>
      <w:r w:rsidRPr="0094533F">
        <w:t>’</w:t>
      </w:r>
      <w:r w:rsidR="00F665DA" w:rsidRPr="0094533F">
        <w:t>inscription</w:t>
      </w:r>
      <w:r w:rsidR="00D907E3" w:rsidRPr="0094533F">
        <w:t xml:space="preserve"> sur les listes</w:t>
      </w:r>
      <w:r w:rsidR="00F665DA" w:rsidRPr="0094533F">
        <w:t>, qui s</w:t>
      </w:r>
      <w:r w:rsidRPr="0094533F">
        <w:t>’</w:t>
      </w:r>
      <w:r w:rsidR="00F665DA" w:rsidRPr="0094533F">
        <w:t xml:space="preserve">est déroulée de 2018 à 2021, a </w:t>
      </w:r>
      <w:r w:rsidR="005203C7" w:rsidRPr="0094533F">
        <w:t xml:space="preserve">conduit à des modifications des </w:t>
      </w:r>
      <w:r w:rsidR="00D907E3" w:rsidRPr="0094533F">
        <w:t>D</w:t>
      </w:r>
      <w:r w:rsidR="005203C7" w:rsidRPr="0094533F">
        <w:t xml:space="preserve">irectives opérationnelles </w:t>
      </w:r>
      <w:r w:rsidR="004E7F91" w:rsidRPr="0094533F">
        <w:t>par la neuvième session de l</w:t>
      </w:r>
      <w:r w:rsidRPr="0094533F">
        <w:t>’</w:t>
      </w:r>
      <w:r w:rsidR="004E7F91" w:rsidRPr="0094533F">
        <w:t>Assemblée générale (9.GA) en juillet 2022</w:t>
      </w:r>
      <w:r w:rsidR="0003559B" w:rsidRPr="0094533F">
        <w:t xml:space="preserve">. Les </w:t>
      </w:r>
      <w:r w:rsidR="00F665DA" w:rsidRPr="0094533F">
        <w:t xml:space="preserve">modifications </w:t>
      </w:r>
      <w:r w:rsidR="005203C7" w:rsidRPr="0094533F">
        <w:t xml:space="preserve">concrètes </w:t>
      </w:r>
      <w:r w:rsidR="00F665DA" w:rsidRPr="0094533F">
        <w:t xml:space="preserve">suivantes </w:t>
      </w:r>
      <w:r w:rsidR="0003559B" w:rsidRPr="0094533F">
        <w:t xml:space="preserve">ont été apportées en </w:t>
      </w:r>
      <w:r w:rsidR="00F665DA" w:rsidRPr="0094533F">
        <w:t xml:space="preserve">ce qui concerne le </w:t>
      </w:r>
      <w:r w:rsidR="0071359C" w:rsidRPr="0094533F">
        <w:t>R Registre de bonnes</w:t>
      </w:r>
      <w:r w:rsidR="00F665DA" w:rsidRPr="0094533F">
        <w:t xml:space="preserve"> pratiques </w:t>
      </w:r>
      <w:r w:rsidR="0003559B" w:rsidRPr="0094533F">
        <w:t xml:space="preserve">de </w:t>
      </w:r>
      <w:r w:rsidR="00F665DA" w:rsidRPr="0094533F">
        <w:t>sauvegarde (</w:t>
      </w:r>
      <w:r w:rsidR="00C65ED6" w:rsidRPr="0094533F">
        <w:t>résolution </w:t>
      </w:r>
      <w:hyperlink r:id="rId15" w:history="1">
        <w:r w:rsidR="00530AE5" w:rsidRPr="0094533F">
          <w:rPr>
            <w:rStyle w:val="Lienhypertexte"/>
          </w:rPr>
          <w:t>9.GA</w:t>
        </w:r>
        <w:r w:rsidR="0071359C" w:rsidRPr="0094533F">
          <w:rPr>
            <w:rStyle w:val="Lienhypertexte"/>
          </w:rPr>
          <w:t> </w:t>
        </w:r>
        <w:r w:rsidR="00530AE5" w:rsidRPr="0094533F">
          <w:rPr>
            <w:rStyle w:val="Lienhypertexte"/>
          </w:rPr>
          <w:t>9</w:t>
        </w:r>
      </w:hyperlink>
      <w:r w:rsidR="00530AE5" w:rsidRPr="0094533F">
        <w:t>)</w:t>
      </w:r>
      <w:r w:rsidR="005412A4">
        <w:t> </w:t>
      </w:r>
      <w:r w:rsidR="00F665DA" w:rsidRPr="0094533F">
        <w:t>:</w:t>
      </w:r>
    </w:p>
    <w:p w14:paraId="29DD23DF" w14:textId="23DB811F" w:rsidR="004E43C9" w:rsidRPr="0094533F" w:rsidRDefault="00C10F27" w:rsidP="001D0973">
      <w:pPr>
        <w:pStyle w:val="Paragraphedeliste"/>
        <w:ind w:left="1134" w:hanging="567"/>
      </w:pPr>
      <w:r w:rsidRPr="009B512D">
        <w:rPr>
          <w:u w:val="single"/>
        </w:rPr>
        <w:t>Suppression du critère P.9</w:t>
      </w:r>
      <w:r w:rsidRPr="0094533F">
        <w:t xml:space="preserve"> : il a été considéré qu</w:t>
      </w:r>
      <w:r w:rsidR="006A2C62" w:rsidRPr="0094533F">
        <w:t>’</w:t>
      </w:r>
      <w:r w:rsidRPr="0094533F">
        <w:t>il n</w:t>
      </w:r>
      <w:r w:rsidR="006A2C62" w:rsidRPr="0094533F">
        <w:t>’</w:t>
      </w:r>
      <w:r w:rsidRPr="0094533F">
        <w:t xml:space="preserve">y avait pas de clarté </w:t>
      </w:r>
      <w:r w:rsidR="0003559B" w:rsidRPr="0094533F">
        <w:t xml:space="preserve">quant à la </w:t>
      </w:r>
      <w:r w:rsidRPr="0094533F">
        <w:t>manière d</w:t>
      </w:r>
      <w:r w:rsidR="006A2C62" w:rsidRPr="0094533F">
        <w:t>’</w:t>
      </w:r>
      <w:r w:rsidRPr="0094533F">
        <w:t>évaluer les besoins des pays en développement. Ce critère a également été considéré comme donnant une impression erronée que les pays développés peuvent fournir de bons exemples aux pays en développement mais pas l</w:t>
      </w:r>
      <w:r w:rsidR="006A2C62" w:rsidRPr="0094533F">
        <w:t>’</w:t>
      </w:r>
      <w:r w:rsidRPr="0094533F">
        <w:t xml:space="preserve">inverse. </w:t>
      </w:r>
      <w:r w:rsidR="00B579C3" w:rsidRPr="0094533F">
        <w:t xml:space="preserve">Par conséquent, le </w:t>
      </w:r>
      <w:r w:rsidRPr="0094533F">
        <w:t xml:space="preserve">critère P.9 a été supprimé </w:t>
      </w:r>
      <w:r w:rsidR="00E02901" w:rsidRPr="0094533F">
        <w:t>(paragraphe 7 des Directives opérationnelles)</w:t>
      </w:r>
      <w:r w:rsidRPr="0094533F">
        <w:t>.</w:t>
      </w:r>
    </w:p>
    <w:p w14:paraId="23B5DA49" w14:textId="4B2AC19C" w:rsidR="004E43C9" w:rsidRPr="0094533F" w:rsidRDefault="00AB12AB" w:rsidP="001D0973">
      <w:pPr>
        <w:pStyle w:val="Paragraphedeliste"/>
        <w:ind w:left="1134" w:hanging="567"/>
      </w:pPr>
      <w:r w:rsidRPr="009B512D">
        <w:rPr>
          <w:u w:val="single"/>
        </w:rPr>
        <w:t>Inclusion de l</w:t>
      </w:r>
      <w:r w:rsidR="006A2C62" w:rsidRPr="009B512D">
        <w:rPr>
          <w:u w:val="single"/>
        </w:rPr>
        <w:t>’</w:t>
      </w:r>
      <w:r w:rsidRPr="009B512D">
        <w:rPr>
          <w:u w:val="single"/>
        </w:rPr>
        <w:t xml:space="preserve">expérience réussie de sauvegarde dans le </w:t>
      </w:r>
      <w:r w:rsidR="0071359C" w:rsidRPr="009B512D">
        <w:rPr>
          <w:u w:val="single"/>
        </w:rPr>
        <w:t>R</w:t>
      </w:r>
      <w:r w:rsidRPr="009B512D">
        <w:rPr>
          <w:u w:val="single"/>
        </w:rPr>
        <w:t>egistre</w:t>
      </w:r>
      <w:r w:rsidRPr="0094533F">
        <w:t xml:space="preserve"> : </w:t>
      </w:r>
      <w:r w:rsidR="00B21BC4" w:rsidRPr="0094533F">
        <w:t>Il est devenu possible pour l</w:t>
      </w:r>
      <w:r w:rsidR="006A2C62" w:rsidRPr="0094533F">
        <w:t>’</w:t>
      </w:r>
      <w:r w:rsidR="00B21BC4" w:rsidRPr="0094533F">
        <w:t>Organe d</w:t>
      </w:r>
      <w:r w:rsidR="006A2C62" w:rsidRPr="0094533F">
        <w:t>’</w:t>
      </w:r>
      <w:r w:rsidR="00B21BC4" w:rsidRPr="0094533F">
        <w:t xml:space="preserve">évaluation - après avoir </w:t>
      </w:r>
      <w:r w:rsidR="0003559B" w:rsidRPr="0094533F">
        <w:t xml:space="preserve">évalué </w:t>
      </w:r>
      <w:r w:rsidR="00B21BC4" w:rsidRPr="0094533F">
        <w:t xml:space="preserve">une demande de </w:t>
      </w:r>
      <w:r w:rsidR="0003559B" w:rsidRPr="0094533F">
        <w:t xml:space="preserve">transfert - </w:t>
      </w:r>
      <w:r w:rsidR="00B21BC4" w:rsidRPr="0094533F">
        <w:t>de recommander au Comité d</w:t>
      </w:r>
      <w:r w:rsidR="006A2C62" w:rsidRPr="0094533F">
        <w:t>’</w:t>
      </w:r>
      <w:r w:rsidR="00B21BC4" w:rsidRPr="0094533F">
        <w:t>inclure l</w:t>
      </w:r>
      <w:r w:rsidR="006A2C62" w:rsidRPr="0094533F">
        <w:t>’</w:t>
      </w:r>
      <w:r w:rsidR="00B21BC4" w:rsidRPr="0094533F">
        <w:t xml:space="preserve">expérience de sauvegarde réussie dans le </w:t>
      </w:r>
      <w:r w:rsidR="0071359C" w:rsidRPr="0094533F">
        <w:t>Registre de bonnes</w:t>
      </w:r>
      <w:r w:rsidR="00B21BC4" w:rsidRPr="0094533F">
        <w:t xml:space="preserve"> pratiques de sauvegarde (paragraphe 39.3 des Directives opérationnelles). L</w:t>
      </w:r>
      <w:r w:rsidR="006A2C62" w:rsidRPr="0094533F">
        <w:t>’</w:t>
      </w:r>
      <w:r w:rsidR="001F436D" w:rsidRPr="0094533F">
        <w:t xml:space="preserve">intention était de mieux </w:t>
      </w:r>
      <w:r w:rsidR="0071359C" w:rsidRPr="0094533F">
        <w:t>relier</w:t>
      </w:r>
      <w:r w:rsidR="001F436D" w:rsidRPr="0094533F">
        <w:t xml:space="preserve"> les Listes et le Registre et d</w:t>
      </w:r>
      <w:r w:rsidR="006A2C62" w:rsidRPr="0094533F">
        <w:t>’</w:t>
      </w:r>
      <w:r w:rsidR="001F436D" w:rsidRPr="0094533F">
        <w:t xml:space="preserve">enrichir les mécanismes </w:t>
      </w:r>
      <w:r w:rsidR="0071359C" w:rsidRPr="0094533F">
        <w:t>d’inscription sur les listes</w:t>
      </w:r>
      <w:r w:rsidR="001F436D" w:rsidRPr="0094533F">
        <w:t xml:space="preserve"> avec des exemples inspirants sans </w:t>
      </w:r>
      <w:r w:rsidR="00337D61" w:rsidRPr="0094533F">
        <w:t xml:space="preserve">nécessairement </w:t>
      </w:r>
      <w:r w:rsidR="001F436D" w:rsidRPr="0094533F">
        <w:t>passer par le processus normal de sélection des cas initiés par les Etats parties.</w:t>
      </w:r>
    </w:p>
    <w:p w14:paraId="1283E5CF" w14:textId="730CDE84" w:rsidR="004E43C9" w:rsidRPr="0094533F" w:rsidRDefault="006A2C62" w:rsidP="00050067">
      <w:pPr>
        <w:pStyle w:val="1GAPara"/>
      </w:pPr>
      <w:r w:rsidRPr="0094533F">
        <w:t xml:space="preserve">Dans le cadre de la réflexion globale sur les </w:t>
      </w:r>
      <w:r w:rsidR="00971377" w:rsidRPr="0094533F">
        <w:t>mécanismes d</w:t>
      </w:r>
      <w:r w:rsidRPr="0094533F">
        <w:t xml:space="preserve">’inscription </w:t>
      </w:r>
      <w:r w:rsidR="0071359C" w:rsidRPr="0094533F">
        <w:t xml:space="preserve">sur les listes </w:t>
      </w:r>
      <w:r w:rsidRPr="0094533F">
        <w:t xml:space="preserve">de la </w:t>
      </w:r>
      <w:r w:rsidR="00971377" w:rsidRPr="0094533F">
        <w:t>Convention</w:t>
      </w:r>
      <w:r w:rsidRPr="0094533F">
        <w:t xml:space="preserve">, la </w:t>
      </w:r>
      <w:r w:rsidR="00561EBF" w:rsidRPr="0094533F">
        <w:t xml:space="preserve">seizième session du Comité a lancé </w:t>
      </w:r>
      <w:r w:rsidR="00D82DFC" w:rsidRPr="0094533F">
        <w:t xml:space="preserve">en 2021 une </w:t>
      </w:r>
      <w:r w:rsidR="00561EBF" w:rsidRPr="0094533F">
        <w:t>nouvelle réflexion sur une mise en œuvre plus large de l</w:t>
      </w:r>
      <w:r w:rsidRPr="0094533F">
        <w:t>’</w:t>
      </w:r>
      <w:r w:rsidR="00561EBF" w:rsidRPr="0094533F">
        <w:t xml:space="preserve">article 18 de la Convention </w:t>
      </w:r>
      <w:r w:rsidR="008862AF" w:rsidRPr="0094533F">
        <w:t>(</w:t>
      </w:r>
      <w:r w:rsidR="008862AF" w:rsidRPr="0094533F">
        <w:rPr>
          <w:rStyle w:val="hps"/>
          <w:rFonts w:asciiTheme="minorBidi" w:hAnsiTheme="minorBidi" w:cstheme="minorBidi"/>
          <w:snapToGrid/>
        </w:rPr>
        <w:t xml:space="preserve">décision </w:t>
      </w:r>
      <w:hyperlink r:id="rId16" w:history="1">
        <w:r w:rsidR="008862AF" w:rsidRPr="0094533F">
          <w:rPr>
            <w:rStyle w:val="Lienhypertexte"/>
            <w:rFonts w:asciiTheme="minorBidi" w:hAnsiTheme="minorBidi" w:cstheme="minorBidi"/>
            <w:snapToGrid/>
          </w:rPr>
          <w:t>16.COM</w:t>
        </w:r>
        <w:r w:rsidR="0071359C" w:rsidRPr="0094533F">
          <w:rPr>
            <w:rStyle w:val="Lienhypertexte"/>
            <w:rFonts w:asciiTheme="minorBidi" w:hAnsiTheme="minorBidi" w:cstheme="minorBidi"/>
            <w:snapToGrid/>
          </w:rPr>
          <w:t> </w:t>
        </w:r>
        <w:r w:rsidR="008862AF" w:rsidRPr="0094533F">
          <w:rPr>
            <w:rStyle w:val="Lienhypertexte"/>
            <w:rFonts w:asciiTheme="minorBidi" w:hAnsiTheme="minorBidi" w:cstheme="minorBidi"/>
            <w:snapToGrid/>
          </w:rPr>
          <w:t>14</w:t>
        </w:r>
      </w:hyperlink>
      <w:r w:rsidR="008862AF" w:rsidRPr="0094533F">
        <w:rPr>
          <w:rStyle w:val="Lienhypertexte"/>
          <w:rFonts w:asciiTheme="minorBidi" w:hAnsiTheme="minorBidi" w:cstheme="minorBidi"/>
          <w:snapToGrid/>
          <w:color w:val="auto"/>
        </w:rPr>
        <w:t>)</w:t>
      </w:r>
      <w:r w:rsidR="00DE0861" w:rsidRPr="0094533F">
        <w:t xml:space="preserve">. </w:t>
      </w:r>
      <w:r w:rsidR="008862AF" w:rsidRPr="0094533F">
        <w:t>Compte tenu de la nature complexe et technique de la réflexion globale et sur la base des conseils des experts et du groupe de travail intergouvernemental à composition non limitée, le Comité a estimé que la réflexion globale n</w:t>
      </w:r>
      <w:r w:rsidRPr="0094533F">
        <w:t>’</w:t>
      </w:r>
      <w:r w:rsidR="008862AF" w:rsidRPr="0094533F">
        <w:t xml:space="preserve">avait pas </w:t>
      </w:r>
      <w:r w:rsidR="0062771A" w:rsidRPr="0094533F">
        <w:t>exploré tout le potentiel de l</w:t>
      </w:r>
      <w:r w:rsidRPr="0094533F">
        <w:t>’</w:t>
      </w:r>
      <w:r w:rsidR="0062771A" w:rsidRPr="0094533F">
        <w:t>article 18, car de nombreuses questions n</w:t>
      </w:r>
      <w:r w:rsidRPr="0094533F">
        <w:t>’</w:t>
      </w:r>
      <w:r w:rsidR="0062771A" w:rsidRPr="0094533F">
        <w:t>ont pas été abordées ou couvertes dans leur intégralité</w:t>
      </w:r>
      <w:r w:rsidR="008862AF" w:rsidRPr="00113498">
        <w:t>. L</w:t>
      </w:r>
      <w:r w:rsidRPr="00113498">
        <w:t>’</w:t>
      </w:r>
      <w:r w:rsidR="0004338B" w:rsidRPr="00113498">
        <w:t xml:space="preserve">idée </w:t>
      </w:r>
      <w:r w:rsidR="00D82DFC" w:rsidRPr="00113498">
        <w:t xml:space="preserve">était non seulement </w:t>
      </w:r>
      <w:r w:rsidR="0004338B" w:rsidRPr="00113498">
        <w:t xml:space="preserve">de continuer </w:t>
      </w:r>
      <w:r w:rsidR="0071359C" w:rsidRPr="00113498">
        <w:t>les discussions sur l</w:t>
      </w:r>
      <w:r w:rsidR="00D82DFC" w:rsidRPr="00113498">
        <w:t xml:space="preserve">es </w:t>
      </w:r>
      <w:r w:rsidR="0004338B" w:rsidRPr="00113498">
        <w:t xml:space="preserve">questions soulevées lors de la réflexion globale concernant la gestion du </w:t>
      </w:r>
      <w:r w:rsidR="0071359C" w:rsidRPr="00113498">
        <w:t>Registre de bonnes</w:t>
      </w:r>
      <w:r w:rsidR="0004338B" w:rsidRPr="00113498">
        <w:t xml:space="preserve"> pratiques de sauvegarde</w:t>
      </w:r>
      <w:r w:rsidR="00D82DFC" w:rsidRPr="00113498">
        <w:t xml:space="preserve">, mais </w:t>
      </w:r>
      <w:r w:rsidR="0071359C" w:rsidRPr="00113498">
        <w:t xml:space="preserve">également </w:t>
      </w:r>
      <w:r w:rsidR="0004338B" w:rsidRPr="00113498">
        <w:t>d</w:t>
      </w:r>
      <w:r w:rsidRPr="00113498">
        <w:t>’</w:t>
      </w:r>
      <w:r w:rsidR="00D82DFC" w:rsidRPr="00113498">
        <w:t>attirer l</w:t>
      </w:r>
      <w:r w:rsidRPr="00113498">
        <w:t>’</w:t>
      </w:r>
      <w:r w:rsidR="00D82DFC" w:rsidRPr="00113498">
        <w:t xml:space="preserve">attention sur la </w:t>
      </w:r>
      <w:r w:rsidR="0004338B" w:rsidRPr="00113498">
        <w:t>mise en œuvre de l</w:t>
      </w:r>
      <w:r w:rsidRPr="00113498">
        <w:t>’</w:t>
      </w:r>
      <w:r w:rsidR="0004338B" w:rsidRPr="00113498">
        <w:t>article 18 au-delà du registre.</w:t>
      </w:r>
    </w:p>
    <w:bookmarkEnd w:id="3"/>
    <w:p w14:paraId="6913EE05" w14:textId="1D5FFFC9" w:rsidR="004E43C9" w:rsidRPr="004C4558" w:rsidRDefault="006A2C62" w:rsidP="001D0973">
      <w:pPr>
        <w:pStyle w:val="COMTitleDecision"/>
        <w:rPr>
          <w:b w:val="0"/>
          <w:bCs w:val="0"/>
          <w:lang w:val="fr-FR"/>
        </w:rPr>
      </w:pPr>
      <w:r w:rsidRPr="0094533F">
        <w:rPr>
          <w:lang w:val="fr-FR"/>
        </w:rPr>
        <w:t xml:space="preserve">Sujets </w:t>
      </w:r>
      <w:r w:rsidR="00821259" w:rsidRPr="0094533F">
        <w:rPr>
          <w:lang w:val="fr-FR"/>
        </w:rPr>
        <w:t xml:space="preserve">à </w:t>
      </w:r>
      <w:r w:rsidR="0071359C" w:rsidRPr="0094533F">
        <w:rPr>
          <w:lang w:val="fr-FR"/>
        </w:rPr>
        <w:t>traiter dans le cadre de la réflexion</w:t>
      </w:r>
    </w:p>
    <w:p w14:paraId="3C9F1C05" w14:textId="06E47713" w:rsidR="004E43C9" w:rsidRPr="0094533F" w:rsidRDefault="006A2C62" w:rsidP="001D0973">
      <w:pPr>
        <w:pStyle w:val="1GAPara"/>
      </w:pPr>
      <w:r w:rsidRPr="0094533F">
        <w:t xml:space="preserve">Le </w:t>
      </w:r>
      <w:r w:rsidR="0071359C" w:rsidRPr="0094533F">
        <w:t>C</w:t>
      </w:r>
      <w:r w:rsidRPr="0094533F">
        <w:t xml:space="preserve">omité peut examiner les </w:t>
      </w:r>
      <w:r w:rsidR="00E16D5D" w:rsidRPr="0094533F">
        <w:t xml:space="preserve">trois sujets de </w:t>
      </w:r>
      <w:r w:rsidRPr="0094533F">
        <w:t>réflexion proposés suivants</w:t>
      </w:r>
      <w:r w:rsidR="005A45CC" w:rsidRPr="0094533F">
        <w:t>.</w:t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E91AA3" w:rsidRPr="004C4558" w14:paraId="67011FBD" w14:textId="77777777" w:rsidTr="004C4558">
        <w:tc>
          <w:tcPr>
            <w:tcW w:w="9066" w:type="dxa"/>
            <w:shd w:val="clear" w:color="auto" w:fill="DBE5F1" w:themeFill="accent1" w:themeFillTint="33"/>
          </w:tcPr>
          <w:p w14:paraId="3F02BC5D" w14:textId="05B8B819" w:rsidR="004E43C9" w:rsidRPr="0094533F" w:rsidRDefault="006A2C62" w:rsidP="00050067">
            <w:pPr>
              <w:pStyle w:val="1GAPara"/>
              <w:numPr>
                <w:ilvl w:val="0"/>
                <w:numId w:val="0"/>
              </w:numPr>
            </w:pPr>
            <w:r w:rsidRPr="0094533F">
              <w:t xml:space="preserve">Sujet 1 : Améliorer l’accès et augmenter la visibilité du </w:t>
            </w:r>
            <w:r w:rsidR="0071359C" w:rsidRPr="0094533F">
              <w:t>Registre de bonnes</w:t>
            </w:r>
            <w:r w:rsidRPr="0094533F">
              <w:t xml:space="preserve"> pratiques de sauvegarde.</w:t>
            </w:r>
          </w:p>
        </w:tc>
      </w:tr>
    </w:tbl>
    <w:p w14:paraId="312B7B57" w14:textId="10DB7C9E" w:rsidR="004E43C9" w:rsidRPr="0094533F" w:rsidRDefault="006A2C62" w:rsidP="001D0973">
      <w:pPr>
        <w:pStyle w:val="1GAPara"/>
        <w:spacing w:before="120"/>
      </w:pPr>
      <w:r w:rsidRPr="0094533F">
        <w:t xml:space="preserve">Le premier thème de réflexion vise à améliorer l’utilisation du Registre de </w:t>
      </w:r>
      <w:r w:rsidR="0071359C" w:rsidRPr="0094533F">
        <w:t>b</w:t>
      </w:r>
      <w:r w:rsidRPr="0094533F">
        <w:t xml:space="preserve">onnes </w:t>
      </w:r>
      <w:r w:rsidR="0071359C" w:rsidRPr="0094533F">
        <w:t>p</w:t>
      </w:r>
      <w:r w:rsidRPr="0094533F">
        <w:t xml:space="preserve">ratiques de </w:t>
      </w:r>
      <w:r w:rsidR="0071359C" w:rsidRPr="0094533F">
        <w:t>s</w:t>
      </w:r>
      <w:r w:rsidRPr="0094533F">
        <w:t>auvegarde lui-même.</w:t>
      </w:r>
      <w:r w:rsidR="005A45CC" w:rsidRPr="0094533F">
        <w:t xml:space="preserve"> Reprenant les questions </w:t>
      </w:r>
      <w:r w:rsidR="0071359C" w:rsidRPr="0094533F">
        <w:t xml:space="preserve">abordées </w:t>
      </w:r>
      <w:r w:rsidR="005A45CC" w:rsidRPr="0094533F">
        <w:t>dans le cadre de la réflexion globale sur les mécanismes d</w:t>
      </w:r>
      <w:r w:rsidRPr="0094533F">
        <w:t>’</w:t>
      </w:r>
      <w:r w:rsidR="005A45CC" w:rsidRPr="0094533F">
        <w:t>inscription</w:t>
      </w:r>
      <w:r w:rsidR="0071359C" w:rsidRPr="0094533F">
        <w:t xml:space="preserve"> sur les listes</w:t>
      </w:r>
      <w:r w:rsidR="005A45CC" w:rsidRPr="0094533F">
        <w:t xml:space="preserve"> de la Convention, la nouvelle réflexion pourrait aborder les points suivants :</w:t>
      </w:r>
    </w:p>
    <w:p w14:paraId="6C277EBC" w14:textId="165B375F" w:rsidR="004E43C9" w:rsidRPr="0094533F" w:rsidRDefault="006A2C62" w:rsidP="001D0973">
      <w:pPr>
        <w:pStyle w:val="COMPara"/>
      </w:pPr>
      <w:r w:rsidRPr="0094533F">
        <w:rPr>
          <w:b/>
          <w:bCs/>
        </w:rPr>
        <w:t xml:space="preserve">Réduire </w:t>
      </w:r>
      <w:r w:rsidR="00797501" w:rsidRPr="0094533F">
        <w:rPr>
          <w:b/>
          <w:bCs/>
        </w:rPr>
        <w:t xml:space="preserve">ou affiner </w:t>
      </w:r>
      <w:r w:rsidRPr="0094533F">
        <w:rPr>
          <w:b/>
          <w:bCs/>
        </w:rPr>
        <w:t xml:space="preserve">davantage </w:t>
      </w:r>
      <w:r w:rsidR="00D82DFC" w:rsidRPr="0094533F">
        <w:rPr>
          <w:b/>
          <w:bCs/>
        </w:rPr>
        <w:t xml:space="preserve">les </w:t>
      </w:r>
      <w:r w:rsidRPr="0094533F">
        <w:rPr>
          <w:b/>
          <w:bCs/>
        </w:rPr>
        <w:t xml:space="preserve">critères </w:t>
      </w:r>
      <w:r w:rsidR="00D82DFC" w:rsidRPr="0094533F">
        <w:t xml:space="preserve">du </w:t>
      </w:r>
      <w:r w:rsidR="0071359C" w:rsidRPr="0094533F">
        <w:t>Registre de bonnes</w:t>
      </w:r>
      <w:r w:rsidRPr="0094533F">
        <w:t xml:space="preserve"> pratiques de sauvegarde</w:t>
      </w:r>
      <w:r w:rsidR="00576D2B" w:rsidRPr="0094533F">
        <w:t xml:space="preserve">. En plus de la suppression du critère P.9, une simplification supplémentaire </w:t>
      </w:r>
      <w:r w:rsidR="00D82DFC" w:rsidRPr="0094533F">
        <w:t xml:space="preserve">pourrait </w:t>
      </w:r>
      <w:r w:rsidR="00576D2B" w:rsidRPr="0094533F">
        <w:t xml:space="preserve">être recherchée à </w:t>
      </w:r>
      <w:r w:rsidR="00D82DFC" w:rsidRPr="0094533F">
        <w:t xml:space="preserve">la lumière de </w:t>
      </w:r>
      <w:r w:rsidR="00576D2B" w:rsidRPr="0094533F">
        <w:t xml:space="preserve">la </w:t>
      </w:r>
      <w:r w:rsidR="00325492" w:rsidRPr="0094533F">
        <w:t xml:space="preserve">discussion </w:t>
      </w:r>
      <w:r w:rsidR="00576D2B" w:rsidRPr="0094533F">
        <w:t xml:space="preserve">du groupe de travail </w:t>
      </w:r>
      <w:r w:rsidR="00971377" w:rsidRPr="0094533F">
        <w:t>intergouvernemental à composition non limitée de la réflexion globale sur les mécanismes d</w:t>
      </w:r>
      <w:r w:rsidRPr="0094533F">
        <w:t>’</w:t>
      </w:r>
      <w:r w:rsidR="00971377" w:rsidRPr="0094533F">
        <w:t>inscription</w:t>
      </w:r>
      <w:r w:rsidR="0071359C" w:rsidRPr="0094533F">
        <w:t xml:space="preserve"> sur les listes</w:t>
      </w:r>
      <w:r w:rsidR="00971377" w:rsidRPr="0094533F">
        <w:t xml:space="preserve"> (</w:t>
      </w:r>
      <w:r w:rsidR="00325492" w:rsidRPr="0094533F">
        <w:t xml:space="preserve">document </w:t>
      </w:r>
      <w:hyperlink r:id="rId17" w:history="1">
        <w:r w:rsidR="00325492" w:rsidRPr="0094533F">
          <w:rPr>
            <w:rStyle w:val="Lienhypertexte"/>
          </w:rPr>
          <w:t>LHE/21/16.COM</w:t>
        </w:r>
        <w:r w:rsidR="0071359C" w:rsidRPr="0094533F">
          <w:rPr>
            <w:rStyle w:val="Lienhypertexte"/>
          </w:rPr>
          <w:t> </w:t>
        </w:r>
        <w:r w:rsidR="00325492" w:rsidRPr="0094533F">
          <w:rPr>
            <w:rStyle w:val="Lienhypertexte"/>
          </w:rPr>
          <w:t>WG/3</w:t>
        </w:r>
      </w:hyperlink>
      <w:r w:rsidR="00325492" w:rsidRPr="0094533F">
        <w:t>)</w:t>
      </w:r>
      <w:r w:rsidR="00D82DFC" w:rsidRPr="0094533F">
        <w:t xml:space="preserve">, </w:t>
      </w:r>
      <w:r w:rsidR="00576D2B" w:rsidRPr="0094533F">
        <w:t xml:space="preserve">qui a souligné que des </w:t>
      </w:r>
      <w:r w:rsidRPr="0094533F">
        <w:t xml:space="preserve">changements pourraient être apportés </w:t>
      </w:r>
      <w:r w:rsidR="00D82DFC" w:rsidRPr="0094533F">
        <w:t xml:space="preserve">aux </w:t>
      </w:r>
      <w:r w:rsidRPr="0094533F">
        <w:rPr>
          <w:rFonts w:cstheme="minorBidi"/>
        </w:rPr>
        <w:t xml:space="preserve">critères P.2, P. 6 et P.8 </w:t>
      </w:r>
      <w:r w:rsidR="00D82DFC" w:rsidRPr="0094533F">
        <w:rPr>
          <w:rFonts w:cstheme="minorBidi"/>
        </w:rPr>
        <w:t xml:space="preserve">car </w:t>
      </w:r>
      <w:r w:rsidRPr="0094533F">
        <w:rPr>
          <w:rFonts w:cstheme="minorBidi"/>
        </w:rPr>
        <w:t xml:space="preserve">ils sont considérés comme </w:t>
      </w:r>
      <w:r w:rsidR="0062771A" w:rsidRPr="0094533F">
        <w:rPr>
          <w:rFonts w:cstheme="minorBidi"/>
        </w:rPr>
        <w:t xml:space="preserve">redondants, soit </w:t>
      </w:r>
      <w:r w:rsidR="0071359C" w:rsidRPr="0094533F">
        <w:rPr>
          <w:rFonts w:cstheme="minorBidi"/>
        </w:rPr>
        <w:t>vis-à-vis de</w:t>
      </w:r>
      <w:r w:rsidR="0062771A" w:rsidRPr="0094533F">
        <w:rPr>
          <w:rFonts w:cstheme="minorBidi"/>
        </w:rPr>
        <w:t xml:space="preserve"> l</w:t>
      </w:r>
      <w:r w:rsidRPr="0094533F">
        <w:rPr>
          <w:rFonts w:cstheme="minorBidi"/>
        </w:rPr>
        <w:t>’</w:t>
      </w:r>
      <w:r w:rsidR="0062771A" w:rsidRPr="0094533F">
        <w:rPr>
          <w:rFonts w:cstheme="minorBidi"/>
        </w:rPr>
        <w:t xml:space="preserve">autre, soit </w:t>
      </w:r>
      <w:r w:rsidR="0071359C" w:rsidRPr="0094533F">
        <w:rPr>
          <w:rFonts w:cstheme="minorBidi"/>
        </w:rPr>
        <w:t>vis-à-vis</w:t>
      </w:r>
      <w:r w:rsidR="0062771A" w:rsidRPr="0094533F">
        <w:rPr>
          <w:rFonts w:cstheme="minorBidi"/>
        </w:rPr>
        <w:t xml:space="preserve"> du critère P.4 </w:t>
      </w:r>
      <w:r w:rsidR="00576D2B" w:rsidRPr="0094533F">
        <w:rPr>
          <w:rFonts w:cstheme="minorBidi"/>
        </w:rPr>
        <w:t xml:space="preserve">; </w:t>
      </w:r>
      <w:r w:rsidRPr="0094533F">
        <w:rPr>
          <w:rFonts w:cstheme="minorBidi"/>
        </w:rPr>
        <w:t xml:space="preserve">Si une proposition satisfait aux critères P.1 et P.4, on peut supposer que </w:t>
      </w:r>
      <w:r w:rsidR="0079184A" w:rsidRPr="0094533F">
        <w:rPr>
          <w:rFonts w:cstheme="minorBidi"/>
        </w:rPr>
        <w:t>la</w:t>
      </w:r>
      <w:r w:rsidRPr="0094533F">
        <w:rPr>
          <w:rFonts w:cstheme="minorBidi"/>
        </w:rPr>
        <w:t xml:space="preserve"> pratique de sauvegarde en question encouragera la coordination (critère P.2), servira de modèle (critère P.6) et sera susceptible d’</w:t>
      </w:r>
      <w:r w:rsidR="0079184A" w:rsidRPr="0094533F">
        <w:rPr>
          <w:rFonts w:cstheme="minorBidi"/>
        </w:rPr>
        <w:t xml:space="preserve">une </w:t>
      </w:r>
      <w:r w:rsidRPr="0094533F">
        <w:rPr>
          <w:rFonts w:cstheme="minorBidi"/>
        </w:rPr>
        <w:t xml:space="preserve">évaluation de </w:t>
      </w:r>
      <w:r w:rsidR="0079184A" w:rsidRPr="0094533F">
        <w:rPr>
          <w:rFonts w:cstheme="minorBidi"/>
        </w:rPr>
        <w:t xml:space="preserve">ses </w:t>
      </w:r>
      <w:r w:rsidRPr="0094533F">
        <w:rPr>
          <w:rFonts w:cstheme="minorBidi"/>
        </w:rPr>
        <w:t xml:space="preserve">résultats (critère </w:t>
      </w:r>
      <w:r w:rsidR="00576D2B" w:rsidRPr="0094533F">
        <w:rPr>
          <w:rFonts w:cstheme="minorBidi"/>
        </w:rPr>
        <w:t>P.8).</w:t>
      </w:r>
    </w:p>
    <w:p w14:paraId="4235F319" w14:textId="2F5873BD" w:rsidR="004E43C9" w:rsidRPr="0094533F" w:rsidRDefault="006A2C62" w:rsidP="004C4558">
      <w:pPr>
        <w:pStyle w:val="COMPara"/>
        <w:keepLines/>
        <w:ind w:left="1434" w:hanging="357"/>
      </w:pPr>
      <w:r w:rsidRPr="0094533F">
        <w:rPr>
          <w:b/>
          <w:bCs/>
        </w:rPr>
        <w:lastRenderedPageBreak/>
        <w:t xml:space="preserve">Accroître la visibilité du </w:t>
      </w:r>
      <w:r w:rsidR="00CF4A53" w:rsidRPr="0094533F">
        <w:rPr>
          <w:b/>
          <w:bCs/>
        </w:rPr>
        <w:t>Registre</w:t>
      </w:r>
      <w:r w:rsidR="00CF4A53" w:rsidRPr="0094533F">
        <w:t xml:space="preserve">. </w:t>
      </w:r>
      <w:r w:rsidR="003F1662" w:rsidRPr="0094533F">
        <w:t xml:space="preserve">Plusieurs experts et Etats ont proposé lors de la réflexion globale </w:t>
      </w:r>
      <w:r w:rsidR="00CF4A53" w:rsidRPr="0094533F">
        <w:t>de renommer le Registre</w:t>
      </w:r>
      <w:r w:rsidR="003F1662" w:rsidRPr="0094533F">
        <w:t>. L</w:t>
      </w:r>
      <w:r w:rsidRPr="0094533F">
        <w:t>’</w:t>
      </w:r>
      <w:r w:rsidR="00CF4A53" w:rsidRPr="0094533F">
        <w:t xml:space="preserve">idée </w:t>
      </w:r>
      <w:r w:rsidR="003F1662" w:rsidRPr="0094533F">
        <w:t xml:space="preserve">étant </w:t>
      </w:r>
      <w:r w:rsidR="00CF4A53" w:rsidRPr="0094533F">
        <w:t xml:space="preserve">de </w:t>
      </w:r>
      <w:r w:rsidR="003F1662" w:rsidRPr="0094533F">
        <w:t xml:space="preserve">mieux </w:t>
      </w:r>
      <w:r w:rsidR="0079184A" w:rsidRPr="0094533F">
        <w:t xml:space="preserve">refléter </w:t>
      </w:r>
      <w:r w:rsidR="00CF4A53" w:rsidRPr="0094533F">
        <w:t xml:space="preserve">son objectif et </w:t>
      </w:r>
      <w:r w:rsidR="0079184A" w:rsidRPr="0094533F">
        <w:t xml:space="preserve">de le </w:t>
      </w:r>
      <w:r w:rsidR="00CF4A53" w:rsidRPr="0094533F">
        <w:t xml:space="preserve">mettre </w:t>
      </w:r>
      <w:r w:rsidR="0079184A" w:rsidRPr="0094533F">
        <w:t xml:space="preserve">sur un </w:t>
      </w:r>
      <w:r w:rsidR="00CF4A53" w:rsidRPr="0094533F">
        <w:t>pied d</w:t>
      </w:r>
      <w:r w:rsidRPr="0094533F">
        <w:t>’</w:t>
      </w:r>
      <w:r w:rsidR="00CF4A53" w:rsidRPr="0094533F">
        <w:t>égalité avec les deux autres Listes.</w:t>
      </w:r>
      <w:r w:rsidR="003F1662" w:rsidRPr="0094533F">
        <w:t xml:space="preserve"> D</w:t>
      </w:r>
      <w:r w:rsidRPr="0094533F">
        <w:t>’</w:t>
      </w:r>
      <w:r w:rsidR="003F1662" w:rsidRPr="0094533F">
        <w:t>autres moyens d</w:t>
      </w:r>
      <w:r w:rsidRPr="0094533F">
        <w:t>’</w:t>
      </w:r>
      <w:r w:rsidR="003F1662" w:rsidRPr="0094533F">
        <w:t>accroître la visibilité et l</w:t>
      </w:r>
      <w:r w:rsidRPr="0094533F">
        <w:t>’</w:t>
      </w:r>
      <w:r w:rsidR="003F1662" w:rsidRPr="0094533F">
        <w:t>attractivité du Registre devraient également être explorés.</w:t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3500A0" w:rsidRPr="004C4558" w14:paraId="05EEA260" w14:textId="77777777" w:rsidTr="004C4558">
        <w:tc>
          <w:tcPr>
            <w:tcW w:w="9066" w:type="dxa"/>
            <w:shd w:val="clear" w:color="auto" w:fill="DBE5F1" w:themeFill="accent1" w:themeFillTint="33"/>
          </w:tcPr>
          <w:p w14:paraId="2ABBE937" w14:textId="4467FAA6" w:rsidR="004E43C9" w:rsidRPr="0094533F" w:rsidRDefault="006A2C62" w:rsidP="001D0973">
            <w:pPr>
              <w:pStyle w:val="1GAPara"/>
              <w:numPr>
                <w:ilvl w:val="0"/>
                <w:numId w:val="0"/>
              </w:numPr>
            </w:pPr>
            <w:r w:rsidRPr="0094533F">
              <w:t xml:space="preserve">Sujet 2 : Vers la création d’un </w:t>
            </w:r>
            <w:r w:rsidR="00122E1A" w:rsidRPr="0094533F">
              <w:t>« </w:t>
            </w:r>
            <w:r w:rsidRPr="0094533F">
              <w:t>observatoire</w:t>
            </w:r>
            <w:r w:rsidR="00122E1A" w:rsidRPr="0094533F">
              <w:t> »</w:t>
            </w:r>
            <w:r w:rsidRPr="0094533F">
              <w:t xml:space="preserve"> de partage de bonnes pratiques de sauvegarde</w:t>
            </w:r>
          </w:p>
        </w:tc>
      </w:tr>
    </w:tbl>
    <w:p w14:paraId="2ED7E39D" w14:textId="48EB66E2" w:rsidR="004E43C9" w:rsidRPr="0094533F" w:rsidRDefault="006A2C62" w:rsidP="001D0973">
      <w:pPr>
        <w:pStyle w:val="1GAPara"/>
        <w:spacing w:before="120"/>
      </w:pPr>
      <w:r w:rsidRPr="0094533F">
        <w:t xml:space="preserve">La </w:t>
      </w:r>
      <w:r w:rsidR="00405662" w:rsidRPr="0094533F">
        <w:t>réunion d</w:t>
      </w:r>
      <w:r w:rsidRPr="0094533F">
        <w:t>’</w:t>
      </w:r>
      <w:r w:rsidR="00405662" w:rsidRPr="0094533F">
        <w:t xml:space="preserve">experts de catégorie VI </w:t>
      </w:r>
      <w:r w:rsidR="00780A7B" w:rsidRPr="0094533F">
        <w:t xml:space="preserve">et le groupe de travail </w:t>
      </w:r>
      <w:r w:rsidR="004629CB" w:rsidRPr="0094533F">
        <w:t>sur les mécanismes d</w:t>
      </w:r>
      <w:r w:rsidRPr="0094533F">
        <w:t>’</w:t>
      </w:r>
      <w:r w:rsidR="004629CB" w:rsidRPr="0094533F">
        <w:t xml:space="preserve">inscription </w:t>
      </w:r>
      <w:r w:rsidR="009E3D42" w:rsidRPr="0094533F">
        <w:t xml:space="preserve">sur les listes </w:t>
      </w:r>
      <w:r w:rsidR="004629CB" w:rsidRPr="0094533F">
        <w:t xml:space="preserve">de la Convention </w:t>
      </w:r>
      <w:r w:rsidRPr="0094533F">
        <w:t xml:space="preserve">ont longuement discuté de </w:t>
      </w:r>
      <w:r w:rsidR="004629CB" w:rsidRPr="0094533F">
        <w:t>la création d</w:t>
      </w:r>
      <w:r w:rsidRPr="0094533F">
        <w:t>’</w:t>
      </w:r>
      <w:r w:rsidR="004629CB" w:rsidRPr="0094533F">
        <w:t xml:space="preserve">un </w:t>
      </w:r>
      <w:r w:rsidR="001A0CD8" w:rsidRPr="0094533F">
        <w:t>« </w:t>
      </w:r>
      <w:r w:rsidR="004629CB" w:rsidRPr="0094533F">
        <w:rPr>
          <w:b/>
          <w:bCs/>
        </w:rPr>
        <w:t xml:space="preserve">observatoire </w:t>
      </w:r>
      <w:r w:rsidR="000975F5" w:rsidRPr="0094533F">
        <w:rPr>
          <w:b/>
          <w:bCs/>
        </w:rPr>
        <w:t>de la sauvegarde du patrimoine culturel immatériel</w:t>
      </w:r>
      <w:r w:rsidR="001A0CD8" w:rsidRPr="0094533F">
        <w:t> »</w:t>
      </w:r>
      <w:r w:rsidR="004629CB" w:rsidRPr="0094533F">
        <w:t xml:space="preserve"> </w:t>
      </w:r>
      <w:r w:rsidR="0001054E" w:rsidRPr="0094533F">
        <w:t xml:space="preserve">en ligne </w:t>
      </w:r>
      <w:r w:rsidR="002218A7" w:rsidRPr="0094533F">
        <w:t>(</w:t>
      </w:r>
      <w:r w:rsidRPr="0094533F">
        <w:t xml:space="preserve">également appelé </w:t>
      </w:r>
      <w:r w:rsidR="001A0CD8" w:rsidRPr="0094533F">
        <w:t>« </w:t>
      </w:r>
      <w:r w:rsidR="002218A7" w:rsidRPr="0094533F">
        <w:t>plateforme indépendante</w:t>
      </w:r>
      <w:r w:rsidR="001A0CD8" w:rsidRPr="0094533F">
        <w:t> »</w:t>
      </w:r>
      <w:r w:rsidR="002218A7" w:rsidRPr="0094533F">
        <w:t>)</w:t>
      </w:r>
      <w:r w:rsidRPr="0094533F">
        <w:t xml:space="preserve">. Ces discussions n’ont pas été concluantes mais devraient </w:t>
      </w:r>
      <w:r w:rsidR="004629CB" w:rsidRPr="0094533F">
        <w:t>être considérées</w:t>
      </w:r>
      <w:r w:rsidR="00BB72B3" w:rsidRPr="0094533F">
        <w:t xml:space="preserve">, comme un second sujet, </w:t>
      </w:r>
      <w:r w:rsidR="004629CB" w:rsidRPr="0094533F">
        <w:t xml:space="preserve">dans le cadre de la nouvelle réflexion </w:t>
      </w:r>
      <w:r w:rsidR="00F37EE6" w:rsidRPr="0094533F">
        <w:t>avec les points de réflexion suivants</w:t>
      </w:r>
      <w:r w:rsidR="005412A4">
        <w:t> </w:t>
      </w:r>
      <w:r w:rsidR="00907624" w:rsidRPr="0094533F">
        <w:t>:</w:t>
      </w:r>
    </w:p>
    <w:p w14:paraId="2B43D45B" w14:textId="337B27DA" w:rsidR="004E43C9" w:rsidRPr="0094533F" w:rsidRDefault="006A2C62" w:rsidP="001D0973">
      <w:pPr>
        <w:pStyle w:val="COMPara"/>
      </w:pPr>
      <w:r w:rsidRPr="0094533F">
        <w:rPr>
          <w:b/>
          <w:bCs/>
        </w:rPr>
        <w:t>Objectifs fondamentaux</w:t>
      </w:r>
      <w:r w:rsidRPr="0094533F">
        <w:t xml:space="preserve">. L’objectif principal d’une telle plateforme en ligne </w:t>
      </w:r>
      <w:r w:rsidR="00175282" w:rsidRPr="0094533F">
        <w:t>pourrait être d</w:t>
      </w:r>
      <w:r w:rsidRPr="0094533F">
        <w:t>’</w:t>
      </w:r>
      <w:r w:rsidR="00175282" w:rsidRPr="0094533F">
        <w:t xml:space="preserve">encourager le </w:t>
      </w:r>
      <w:r w:rsidRPr="0094533F">
        <w:t xml:space="preserve">dialogue dans le but de </w:t>
      </w:r>
      <w:r w:rsidR="002A75C2" w:rsidRPr="0094533F">
        <w:t>partager les bonnes pratiques de sauvegarde (c</w:t>
      </w:r>
      <w:r w:rsidRPr="0094533F">
        <w:t>’</w:t>
      </w:r>
      <w:r w:rsidR="002A75C2" w:rsidRPr="0094533F">
        <w:t xml:space="preserve">est-à-dire la </w:t>
      </w:r>
      <w:r w:rsidRPr="0094533F">
        <w:t xml:space="preserve">communication, la collaboration, le renforcement des capacités </w:t>
      </w:r>
      <w:r w:rsidR="003F1B77" w:rsidRPr="0094533F">
        <w:t>et la durabilité</w:t>
      </w:r>
      <w:r w:rsidR="002A75C2" w:rsidRPr="0094533F">
        <w:t>)</w:t>
      </w:r>
      <w:r w:rsidRPr="0094533F">
        <w:t xml:space="preserve">. Un </w:t>
      </w:r>
      <w:r w:rsidR="00175282" w:rsidRPr="0094533F">
        <w:t xml:space="preserve">accent particulier pourrait être mis sur la facilitation du </w:t>
      </w:r>
      <w:r w:rsidRPr="0094533F">
        <w:t xml:space="preserve">partage des approches et des méthodologies de sauvegarde </w:t>
      </w:r>
      <w:r w:rsidR="0050522D" w:rsidRPr="0094533F">
        <w:t>entre toutes les parties prenantes et d</w:t>
      </w:r>
      <w:r w:rsidRPr="0094533F">
        <w:t>’</w:t>
      </w:r>
      <w:r w:rsidR="0050522D" w:rsidRPr="0094533F">
        <w:t>une manière plus directe</w:t>
      </w:r>
      <w:r w:rsidRPr="0094533F">
        <w:t>.</w:t>
      </w:r>
    </w:p>
    <w:p w14:paraId="64366420" w14:textId="4826C65E" w:rsidR="004E43C9" w:rsidRPr="0094533F" w:rsidRDefault="006A2C62" w:rsidP="001D0973">
      <w:pPr>
        <w:pStyle w:val="COMPara"/>
      </w:pPr>
      <w:r w:rsidRPr="0094533F">
        <w:rPr>
          <w:b/>
          <w:bCs/>
        </w:rPr>
        <w:t>Dialogue et communication entre les parties prenantes</w:t>
      </w:r>
      <w:r w:rsidRPr="0094533F">
        <w:t xml:space="preserve">. </w:t>
      </w:r>
      <w:r w:rsidR="006A645C" w:rsidRPr="0094533F">
        <w:t xml:space="preserve">En référence à la décision </w:t>
      </w:r>
      <w:hyperlink r:id="rId18" w:history="1">
        <w:r w:rsidR="006A645C" w:rsidRPr="0094533F">
          <w:rPr>
            <w:rStyle w:val="Lienhypertexte"/>
          </w:rPr>
          <w:t>16.COM</w:t>
        </w:r>
        <w:r w:rsidR="009E3D42" w:rsidRPr="0094533F">
          <w:rPr>
            <w:rStyle w:val="Lienhypertexte"/>
          </w:rPr>
          <w:t> </w:t>
        </w:r>
        <w:r w:rsidR="006A645C" w:rsidRPr="0094533F">
          <w:rPr>
            <w:rStyle w:val="Lienhypertexte"/>
          </w:rPr>
          <w:t>14</w:t>
        </w:r>
      </w:hyperlink>
      <w:r w:rsidR="006A645C" w:rsidRPr="0094533F">
        <w:t xml:space="preserve">, </w:t>
      </w:r>
      <w:r w:rsidR="00971377" w:rsidRPr="0094533F">
        <w:t xml:space="preserve">(paragraphe 9), </w:t>
      </w:r>
      <w:r w:rsidR="006A645C" w:rsidRPr="0094533F">
        <w:t xml:space="preserve">il </w:t>
      </w:r>
      <w:r w:rsidR="00907624" w:rsidRPr="0094533F">
        <w:t xml:space="preserve">est </w:t>
      </w:r>
      <w:r w:rsidR="006A645C" w:rsidRPr="0094533F">
        <w:t>important d</w:t>
      </w:r>
      <w:r w:rsidRPr="0094533F">
        <w:t>’</w:t>
      </w:r>
      <w:r w:rsidR="006A645C" w:rsidRPr="0094533F">
        <w:t xml:space="preserve">examiner comment </w:t>
      </w:r>
      <w:r w:rsidR="004629CB" w:rsidRPr="0094533F">
        <w:t xml:space="preserve">améliorer le dialogue et </w:t>
      </w:r>
      <w:r w:rsidR="009E3D42" w:rsidRPr="0094533F">
        <w:t>la communication</w:t>
      </w:r>
      <w:r w:rsidR="004629CB" w:rsidRPr="0094533F">
        <w:t xml:space="preserve"> </w:t>
      </w:r>
      <w:r w:rsidR="00907624" w:rsidRPr="0094533F">
        <w:t xml:space="preserve">entre les </w:t>
      </w:r>
      <w:r w:rsidR="004629CB" w:rsidRPr="0094533F">
        <w:t xml:space="preserve">parties prenantes de la Convention de manière </w:t>
      </w:r>
      <w:r w:rsidR="00907624" w:rsidRPr="0094533F">
        <w:t>concrète, par le biais d</w:t>
      </w:r>
      <w:r w:rsidRPr="0094533F">
        <w:t>’</w:t>
      </w:r>
      <w:r w:rsidR="00907624" w:rsidRPr="0094533F">
        <w:t>un observatoire</w:t>
      </w:r>
      <w:r w:rsidR="004629CB" w:rsidRPr="0094533F">
        <w:t>, en mettant l</w:t>
      </w:r>
      <w:r w:rsidRPr="0094533F">
        <w:t>’</w:t>
      </w:r>
      <w:r w:rsidR="004629CB" w:rsidRPr="0094533F">
        <w:t>accent sur les communautés, les groupes et, le cas échéant, les individus</w:t>
      </w:r>
      <w:r w:rsidR="00F37EE6" w:rsidRPr="0094533F">
        <w:t xml:space="preserve">. En tirant </w:t>
      </w:r>
      <w:r w:rsidRPr="0094533F">
        <w:t>parti du format en ligne</w:t>
      </w:r>
      <w:r w:rsidR="000975F5" w:rsidRPr="0094533F">
        <w:t xml:space="preserve">, diverses modalités </w:t>
      </w:r>
      <w:r w:rsidR="00907624" w:rsidRPr="0094533F">
        <w:t xml:space="preserve">pourraient être </w:t>
      </w:r>
      <w:r w:rsidR="000975F5" w:rsidRPr="0094533F">
        <w:t xml:space="preserve">explorées, telles que la participation des communautés par le biais de matériels audiovisuels, </w:t>
      </w:r>
      <w:r w:rsidR="00907624" w:rsidRPr="0094533F">
        <w:t xml:space="preserve">un </w:t>
      </w:r>
      <w:r w:rsidR="000975F5" w:rsidRPr="0094533F">
        <w:t xml:space="preserve">forum en ligne, </w:t>
      </w:r>
      <w:r w:rsidR="00907624" w:rsidRPr="0094533F">
        <w:t xml:space="preserve">un </w:t>
      </w:r>
      <w:r w:rsidR="00EB10B8" w:rsidRPr="0094533F">
        <w:t xml:space="preserve">dépôt </w:t>
      </w:r>
      <w:r w:rsidR="000975F5" w:rsidRPr="0094533F">
        <w:t xml:space="preserve">virtuel </w:t>
      </w:r>
      <w:r w:rsidR="00EB10B8" w:rsidRPr="0094533F">
        <w:t>d</w:t>
      </w:r>
      <w:r w:rsidRPr="0094533F">
        <w:t>’</w:t>
      </w:r>
      <w:r w:rsidR="00EB10B8" w:rsidRPr="0094533F">
        <w:t xml:space="preserve">informations </w:t>
      </w:r>
      <w:r w:rsidR="000975F5" w:rsidRPr="0094533F">
        <w:t xml:space="preserve">et des </w:t>
      </w:r>
      <w:r w:rsidR="00907624" w:rsidRPr="0094533F">
        <w:t>discussions</w:t>
      </w:r>
      <w:r w:rsidR="000975F5" w:rsidRPr="0094533F">
        <w:t xml:space="preserve"> thématiques via les </w:t>
      </w:r>
      <w:r w:rsidR="009E3D42" w:rsidRPr="0094533F">
        <w:t xml:space="preserve">réseaux </w:t>
      </w:r>
      <w:r w:rsidR="000975F5" w:rsidRPr="0094533F">
        <w:t>sociaux.</w:t>
      </w:r>
    </w:p>
    <w:p w14:paraId="15ABFAE4" w14:textId="76486B3B" w:rsidR="004E43C9" w:rsidRPr="0094533F" w:rsidRDefault="006A2C62" w:rsidP="001D0973">
      <w:pPr>
        <w:pStyle w:val="COMPara"/>
      </w:pPr>
      <w:r w:rsidRPr="0094533F">
        <w:t xml:space="preserve">Un tel observatoire </w:t>
      </w:r>
      <w:r w:rsidR="003F1662" w:rsidRPr="0094533F">
        <w:t xml:space="preserve">pourrait </w:t>
      </w:r>
      <w:r w:rsidRPr="0094533F">
        <w:t xml:space="preserve">également servir de plateforme pour la collecte </w:t>
      </w:r>
      <w:r w:rsidR="00A80F0E" w:rsidRPr="0094533F">
        <w:t xml:space="preserve">ou le </w:t>
      </w:r>
      <w:r w:rsidR="002A75C2" w:rsidRPr="0094533F">
        <w:t>partage d</w:t>
      </w:r>
      <w:r w:rsidRPr="0094533F">
        <w:t>’</w:t>
      </w:r>
      <w:r w:rsidR="001D61B5" w:rsidRPr="0094533F">
        <w:t xml:space="preserve">autres </w:t>
      </w:r>
      <w:r w:rsidR="00A80F0E" w:rsidRPr="0094533F">
        <w:t xml:space="preserve">informations </w:t>
      </w:r>
      <w:r w:rsidR="002A75C2" w:rsidRPr="0094533F">
        <w:t xml:space="preserve">relatives aux différents </w:t>
      </w:r>
      <w:r w:rsidR="00A80F0E" w:rsidRPr="0094533F">
        <w:t>mécanismes de la Convention</w:t>
      </w:r>
      <w:r w:rsidR="002A75C2" w:rsidRPr="0094533F">
        <w:t>, comme l</w:t>
      </w:r>
      <w:r w:rsidRPr="0094533F">
        <w:t>’</w:t>
      </w:r>
      <w:r w:rsidR="001D61B5" w:rsidRPr="0094533F">
        <w:t xml:space="preserve">a </w:t>
      </w:r>
      <w:r w:rsidR="002A75C2" w:rsidRPr="0094533F">
        <w:t xml:space="preserve">demandé </w:t>
      </w:r>
      <w:r w:rsidR="00A80F0E" w:rsidRPr="0094533F">
        <w:t xml:space="preserve">le </w:t>
      </w:r>
      <w:r w:rsidR="003675E5" w:rsidRPr="0094533F">
        <w:t xml:space="preserve">Comité (décision </w:t>
      </w:r>
      <w:hyperlink r:id="rId19" w:history="1">
        <w:r w:rsidR="003675E5" w:rsidRPr="0094533F">
          <w:rPr>
            <w:rStyle w:val="Lienhypertexte"/>
          </w:rPr>
          <w:t>5.EXT.COM</w:t>
        </w:r>
        <w:r w:rsidR="009E3D42" w:rsidRPr="0094533F">
          <w:rPr>
            <w:rStyle w:val="Lienhypertexte"/>
          </w:rPr>
          <w:t> </w:t>
        </w:r>
        <w:r w:rsidR="003675E5" w:rsidRPr="0094533F">
          <w:rPr>
            <w:rStyle w:val="Lienhypertexte"/>
          </w:rPr>
          <w:t>4</w:t>
        </w:r>
      </w:hyperlink>
      <w:r w:rsidR="003675E5" w:rsidRPr="0094533F">
        <w:t>, annexe I, paragraphe 10).</w:t>
      </w:r>
    </w:p>
    <w:p w14:paraId="01C4B973" w14:textId="5A77A15B" w:rsidR="004E43C9" w:rsidRPr="0094533F" w:rsidRDefault="006A2C62" w:rsidP="001D0973">
      <w:pPr>
        <w:pStyle w:val="COMPara"/>
      </w:pPr>
      <w:r w:rsidRPr="0094533F">
        <w:rPr>
          <w:b/>
          <w:bCs/>
        </w:rPr>
        <w:t xml:space="preserve">Mise en place administrative </w:t>
      </w:r>
      <w:r w:rsidRPr="0094533F">
        <w:t xml:space="preserve">: Une </w:t>
      </w:r>
      <w:r w:rsidR="003E21F0" w:rsidRPr="0094533F">
        <w:t xml:space="preserve">clarification est nécessaire en </w:t>
      </w:r>
      <w:r w:rsidR="00907624" w:rsidRPr="0094533F">
        <w:t xml:space="preserve">ce qui concerne </w:t>
      </w:r>
      <w:r w:rsidR="000975F5" w:rsidRPr="0094533F">
        <w:t xml:space="preserve">la mise en place administrative et les implications financières </w:t>
      </w:r>
      <w:r w:rsidR="00907624" w:rsidRPr="0094533F">
        <w:t xml:space="preserve">de </w:t>
      </w:r>
      <w:r w:rsidR="0001054E" w:rsidRPr="0094533F">
        <w:t xml:space="preserve">cet </w:t>
      </w:r>
      <w:r w:rsidR="000975F5" w:rsidRPr="0094533F">
        <w:t xml:space="preserve">observatoire </w:t>
      </w:r>
      <w:r w:rsidR="0001054E" w:rsidRPr="0094533F">
        <w:t xml:space="preserve">en ligne. </w:t>
      </w:r>
      <w:r w:rsidR="000975F5" w:rsidRPr="0094533F">
        <w:t xml:space="preserve">Un plan de base </w:t>
      </w:r>
      <w:r w:rsidR="00907624" w:rsidRPr="0094533F">
        <w:t xml:space="preserve">pourrait </w:t>
      </w:r>
      <w:r w:rsidR="000975F5" w:rsidRPr="0094533F">
        <w:t>être d</w:t>
      </w:r>
      <w:r w:rsidRPr="0094533F">
        <w:t>’</w:t>
      </w:r>
      <w:r w:rsidR="000975F5" w:rsidRPr="0094533F">
        <w:t xml:space="preserve">établir </w:t>
      </w:r>
      <w:r w:rsidR="00907624" w:rsidRPr="0094533F">
        <w:t>l</w:t>
      </w:r>
      <w:r w:rsidRPr="0094533F">
        <w:t>’</w:t>
      </w:r>
      <w:r w:rsidR="00907624" w:rsidRPr="0094533F">
        <w:t xml:space="preserve">observatoire </w:t>
      </w:r>
      <w:r w:rsidR="000975F5" w:rsidRPr="0094533F">
        <w:t xml:space="preserve">sur une base mondiale avec des </w:t>
      </w:r>
      <w:r w:rsidR="009E3D42" w:rsidRPr="0094533F">
        <w:t>« </w:t>
      </w:r>
      <w:r w:rsidR="000975F5" w:rsidRPr="0094533F">
        <w:t>salles</w:t>
      </w:r>
      <w:r w:rsidR="009E3D42" w:rsidRPr="0094533F">
        <w:t> »</w:t>
      </w:r>
      <w:r w:rsidR="000975F5" w:rsidRPr="0094533F">
        <w:t xml:space="preserve"> régionales</w:t>
      </w:r>
      <w:r w:rsidR="00907624" w:rsidRPr="0094533F">
        <w:t xml:space="preserve">, impliquant </w:t>
      </w:r>
      <w:r w:rsidR="00EB10B8" w:rsidRPr="0094533F">
        <w:t>toutes les parties prenantes de la Convention</w:t>
      </w:r>
      <w:r w:rsidR="000975F5" w:rsidRPr="0094533F">
        <w:t>.</w:t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3500A0" w:rsidRPr="004C4558" w14:paraId="0D2D06C8" w14:textId="77777777" w:rsidTr="004C4558">
        <w:tc>
          <w:tcPr>
            <w:tcW w:w="9066" w:type="dxa"/>
            <w:shd w:val="clear" w:color="auto" w:fill="DBE5F1" w:themeFill="accent1" w:themeFillTint="33"/>
          </w:tcPr>
          <w:p w14:paraId="730B223A" w14:textId="77777777" w:rsidR="004E43C9" w:rsidRPr="0094533F" w:rsidRDefault="006A2C62">
            <w:pPr>
              <w:pStyle w:val="COMParaDecision"/>
              <w:numPr>
                <w:ilvl w:val="0"/>
                <w:numId w:val="0"/>
              </w:numPr>
              <w:rPr>
                <w:u w:val="none"/>
                <w:lang w:val="fr-FR"/>
              </w:rPr>
            </w:pPr>
            <w:r w:rsidRPr="0094533F">
              <w:rPr>
                <w:u w:val="none"/>
                <w:lang w:val="fr-FR"/>
              </w:rPr>
              <w:t xml:space="preserve">Sujet 3 : </w:t>
            </w:r>
            <w:r w:rsidR="00D452A3" w:rsidRPr="0094533F">
              <w:rPr>
                <w:u w:val="none"/>
                <w:lang w:val="fr-FR"/>
              </w:rPr>
              <w:t xml:space="preserve">Toute autre question </w:t>
            </w:r>
            <w:r w:rsidR="00B35C2A" w:rsidRPr="0094533F">
              <w:rPr>
                <w:u w:val="none"/>
                <w:lang w:val="fr-FR"/>
              </w:rPr>
              <w:t>à identifier</w:t>
            </w:r>
          </w:p>
        </w:tc>
      </w:tr>
    </w:tbl>
    <w:p w14:paraId="1369ECDE" w14:textId="3A761971" w:rsidR="004E43C9" w:rsidRPr="0094533F" w:rsidRDefault="006A2C62" w:rsidP="001D0973">
      <w:pPr>
        <w:pStyle w:val="1GAPara"/>
        <w:numPr>
          <w:ilvl w:val="0"/>
          <w:numId w:val="0"/>
        </w:numPr>
        <w:spacing w:before="120"/>
        <w:ind w:left="567"/>
      </w:pPr>
      <w:r w:rsidRPr="0094533F">
        <w:t xml:space="preserve">Le troisième sujet est laissé délibérément ouvert afin de donner une chance aux experts qui participeront à la réunion de catégorie VI et/ou au groupe de travail intergouvernemental à composition non limitée </w:t>
      </w:r>
      <w:r w:rsidR="00E364EB" w:rsidRPr="0094533F">
        <w:t>d</w:t>
      </w:r>
      <w:r w:rsidRPr="0094533F">
        <w:t>’identifier d’</w:t>
      </w:r>
      <w:r w:rsidR="003F1B77" w:rsidRPr="0094533F">
        <w:t>autres questions relatives à l</w:t>
      </w:r>
      <w:r w:rsidRPr="0094533F">
        <w:t>’</w:t>
      </w:r>
      <w:r w:rsidR="003F1B77" w:rsidRPr="0094533F">
        <w:t>article 18 qui n</w:t>
      </w:r>
      <w:r w:rsidRPr="0094533F">
        <w:t>’</w:t>
      </w:r>
      <w:r w:rsidR="003F1B77" w:rsidRPr="0094533F">
        <w:t xml:space="preserve">ont pas encore été </w:t>
      </w:r>
      <w:r w:rsidR="009E3D42" w:rsidRPr="0094533F">
        <w:t>abordées</w:t>
      </w:r>
      <w:r w:rsidRPr="0094533F">
        <w:t>.</w:t>
      </w:r>
    </w:p>
    <w:p w14:paraId="61B0BBB1" w14:textId="22A42C82" w:rsidR="004E43C9" w:rsidRPr="0094533F" w:rsidRDefault="006A2C62" w:rsidP="001D0973">
      <w:pPr>
        <w:pStyle w:val="COMTitleDecision"/>
        <w:keepNext w:val="0"/>
        <w:rPr>
          <w:lang w:val="fr-FR"/>
        </w:rPr>
      </w:pPr>
      <w:r w:rsidRPr="0094533F">
        <w:rPr>
          <w:lang w:val="fr-FR"/>
        </w:rPr>
        <w:t>Processus de réflexion</w:t>
      </w:r>
      <w:r w:rsidR="00CC3E6F" w:rsidRPr="0094533F">
        <w:rPr>
          <w:lang w:val="fr-FR"/>
        </w:rPr>
        <w:t xml:space="preserve"> proposé</w:t>
      </w:r>
    </w:p>
    <w:p w14:paraId="541D543C" w14:textId="0D6957C3" w:rsidR="004E43C9" w:rsidRPr="0094533F" w:rsidRDefault="006A2C62" w:rsidP="002A334E">
      <w:pPr>
        <w:pStyle w:val="1GAPara"/>
      </w:pPr>
      <w:r w:rsidRPr="0094533F">
        <w:t xml:space="preserve">Sur la base de l’expérience acquise lors de la récente réflexion </w:t>
      </w:r>
      <w:r w:rsidR="009E3D42" w:rsidRPr="0094533F">
        <w:t xml:space="preserve">globale </w:t>
      </w:r>
      <w:r w:rsidRPr="0094533F">
        <w:t>sur le</w:t>
      </w:r>
      <w:r w:rsidR="009E3D42" w:rsidRPr="0094533F">
        <w:t>s</w:t>
      </w:r>
      <w:r w:rsidRPr="0094533F">
        <w:t xml:space="preserve"> mécanisme</w:t>
      </w:r>
      <w:r w:rsidR="009E3D42" w:rsidRPr="0094533F">
        <w:t>s</w:t>
      </w:r>
      <w:r w:rsidRPr="0094533F">
        <w:t xml:space="preserve"> </w:t>
      </w:r>
      <w:r w:rsidR="009E3D42" w:rsidRPr="0094533F">
        <w:t>d’inscription sur les</w:t>
      </w:r>
      <w:r w:rsidRPr="0094533F">
        <w:t xml:space="preserve"> listes de la Convention et afin de garantir que la nouvelle réflexion soit </w:t>
      </w:r>
      <w:r w:rsidR="00F75F86" w:rsidRPr="0094533F">
        <w:t xml:space="preserve">aussi </w:t>
      </w:r>
      <w:r w:rsidRPr="0094533F">
        <w:t xml:space="preserve">transparente et inclusive </w:t>
      </w:r>
      <w:r w:rsidR="00F75F86" w:rsidRPr="0094533F">
        <w:t>que possible</w:t>
      </w:r>
      <w:r w:rsidRPr="0094533F">
        <w:t xml:space="preserve">, il est proposé que le processus de réflexion suive une approche </w:t>
      </w:r>
      <w:r w:rsidR="009F151A" w:rsidRPr="0094533F">
        <w:t xml:space="preserve">en plusieurs étapes </w:t>
      </w:r>
      <w:r w:rsidR="0038635C" w:rsidRPr="0094533F">
        <w:t xml:space="preserve">(voir </w:t>
      </w:r>
      <w:r w:rsidR="00F75F86" w:rsidRPr="0094533F">
        <w:t>l</w:t>
      </w:r>
      <w:r w:rsidRPr="0094533F">
        <w:t>’</w:t>
      </w:r>
      <w:r w:rsidR="0038635C" w:rsidRPr="0094533F">
        <w:t>annexe pour un résumé du calendrier proposé</w:t>
      </w:r>
      <w:r w:rsidR="000D73C7" w:rsidRPr="0094533F">
        <w:t>)</w:t>
      </w:r>
      <w:r w:rsidR="005412A4">
        <w:t> </w:t>
      </w:r>
      <w:r w:rsidR="000D73C7" w:rsidRPr="0094533F">
        <w:t>:</w:t>
      </w:r>
    </w:p>
    <w:p w14:paraId="043560F6" w14:textId="0F85E83A" w:rsidR="004E43C9" w:rsidRPr="0094533F" w:rsidRDefault="006A2C62" w:rsidP="004C4558">
      <w:pPr>
        <w:pStyle w:val="Paragraphedeliste"/>
        <w:keepLines/>
        <w:numPr>
          <w:ilvl w:val="0"/>
          <w:numId w:val="50"/>
        </w:numPr>
        <w:ind w:left="1134" w:hanging="567"/>
      </w:pPr>
      <w:r w:rsidRPr="0094533F">
        <w:lastRenderedPageBreak/>
        <w:t xml:space="preserve">La première étape consisterait en une consultation d’experts par la convocation d’une </w:t>
      </w:r>
      <w:r w:rsidRPr="0094533F">
        <w:rPr>
          <w:u w:val="single"/>
        </w:rPr>
        <w:t xml:space="preserve">réunion de catégorie VI </w:t>
      </w:r>
      <w:r w:rsidRPr="0094533F">
        <w:t>au cours du premier semestre de 2023. L’</w:t>
      </w:r>
      <w:r w:rsidR="002807D0" w:rsidRPr="0094533F">
        <w:t xml:space="preserve">objectif principal </w:t>
      </w:r>
      <w:r w:rsidR="00F75F86" w:rsidRPr="0094533F">
        <w:t xml:space="preserve">serait </w:t>
      </w:r>
      <w:r w:rsidR="002807D0" w:rsidRPr="0094533F">
        <w:t xml:space="preserve">de </w:t>
      </w:r>
      <w:r w:rsidR="00613B1A" w:rsidRPr="0094533F">
        <w:t>d’établir les bases</w:t>
      </w:r>
      <w:r w:rsidR="002807D0" w:rsidRPr="0094533F">
        <w:t xml:space="preserve"> de la réunion d</w:t>
      </w:r>
      <w:r w:rsidRPr="0094533F">
        <w:t>’</w:t>
      </w:r>
      <w:r w:rsidR="002807D0" w:rsidRPr="0094533F">
        <w:t xml:space="preserve">un groupe de travail intergouvernemental à composition non limitée en consolidant les sujets de réflexion </w:t>
      </w:r>
      <w:r w:rsidR="0062771A" w:rsidRPr="0094533F">
        <w:t xml:space="preserve">identifiés </w:t>
      </w:r>
      <w:r w:rsidR="002807D0" w:rsidRPr="0094533F">
        <w:t xml:space="preserve">et en proposant des </w:t>
      </w:r>
      <w:r w:rsidR="00F75F86" w:rsidRPr="0094533F">
        <w:t>pistes</w:t>
      </w:r>
      <w:r w:rsidR="002807D0" w:rsidRPr="0094533F">
        <w:t xml:space="preserve"> concrètes. Les experts seraient sélectionnés pour s</w:t>
      </w:r>
      <w:r w:rsidRPr="0094533F">
        <w:t>’</w:t>
      </w:r>
      <w:r w:rsidR="002807D0" w:rsidRPr="0094533F">
        <w:t>assurer qu</w:t>
      </w:r>
      <w:r w:rsidRPr="0094533F">
        <w:t>’</w:t>
      </w:r>
      <w:r w:rsidR="00F75F86" w:rsidRPr="0094533F">
        <w:t xml:space="preserve">ils reflètent des </w:t>
      </w:r>
      <w:r w:rsidR="002807D0" w:rsidRPr="0094533F">
        <w:t xml:space="preserve">profils divers, en respectant </w:t>
      </w:r>
      <w:r w:rsidR="00F75F86" w:rsidRPr="0094533F">
        <w:t xml:space="preserve">un </w:t>
      </w:r>
      <w:r w:rsidR="002807D0" w:rsidRPr="0094533F">
        <w:t>équilibre géographique et de genre. Le Secrétariat prévoit de lancer un appel aux Etats parties afin d</w:t>
      </w:r>
      <w:r w:rsidRPr="0094533F">
        <w:t>’</w:t>
      </w:r>
      <w:r w:rsidR="002807D0" w:rsidRPr="0094533F">
        <w:t xml:space="preserve">identifier les experts adéquats, étant entendu que la sélection finale des participants </w:t>
      </w:r>
      <w:r w:rsidR="009E3D42" w:rsidRPr="0094533F">
        <w:t>demeure la prérogative</w:t>
      </w:r>
      <w:r w:rsidR="002807D0" w:rsidRPr="0094533F">
        <w:t xml:space="preserve"> d</w:t>
      </w:r>
      <w:r w:rsidR="009E3D42" w:rsidRPr="0094533F">
        <w:t>e la</w:t>
      </w:r>
      <w:r w:rsidR="002807D0" w:rsidRPr="0094533F">
        <w:t xml:space="preserve"> </w:t>
      </w:r>
      <w:r w:rsidR="009E3D42" w:rsidRPr="0094533F">
        <w:t xml:space="preserve">Directrice </w:t>
      </w:r>
      <w:r w:rsidR="002807D0" w:rsidRPr="0094533F">
        <w:t>général</w:t>
      </w:r>
      <w:r w:rsidR="009E3D42" w:rsidRPr="0094533F">
        <w:t>e</w:t>
      </w:r>
      <w:r w:rsidR="002807D0" w:rsidRPr="0094533F">
        <w:t xml:space="preserve"> de l</w:t>
      </w:r>
      <w:r w:rsidRPr="0094533F">
        <w:t>’</w:t>
      </w:r>
      <w:r w:rsidR="002807D0" w:rsidRPr="0094533F">
        <w:t>UNESCO</w:t>
      </w:r>
      <w:r w:rsidR="009E3D42" w:rsidRPr="0094533F">
        <w:t>, compte tenu de</w:t>
      </w:r>
      <w:r w:rsidR="002807D0" w:rsidRPr="0094533F">
        <w:t>la catégorie de la réunion.</w:t>
      </w:r>
    </w:p>
    <w:p w14:paraId="0ED564B5" w14:textId="19805495" w:rsidR="004E43C9" w:rsidRPr="0094533F" w:rsidRDefault="006A2C62" w:rsidP="002A334E">
      <w:pPr>
        <w:pStyle w:val="Paragraphedeliste"/>
        <w:numPr>
          <w:ilvl w:val="0"/>
          <w:numId w:val="50"/>
        </w:numPr>
        <w:ind w:left="1134" w:hanging="567"/>
      </w:pPr>
      <w:r w:rsidRPr="0094533F">
        <w:t xml:space="preserve">La deuxième étape serait la convocation d’un </w:t>
      </w:r>
      <w:r w:rsidRPr="0094533F">
        <w:rPr>
          <w:u w:val="single"/>
        </w:rPr>
        <w:t xml:space="preserve">groupe de travail intergouvernemental à </w:t>
      </w:r>
      <w:r w:rsidRPr="004C4558">
        <w:rPr>
          <w:u w:val="single"/>
        </w:rPr>
        <w:t>composition</w:t>
      </w:r>
      <w:r w:rsidRPr="0094533F">
        <w:rPr>
          <w:u w:val="single"/>
        </w:rPr>
        <w:t xml:space="preserve"> non limitée</w:t>
      </w:r>
      <w:r w:rsidRPr="004C4558">
        <w:t xml:space="preserve"> </w:t>
      </w:r>
      <w:r w:rsidRPr="0094533F">
        <w:t>au cours du second semestre de 2023</w:t>
      </w:r>
      <w:r w:rsidR="001D0562" w:rsidRPr="0094533F">
        <w:t>, qui pourrait être composé de plusieurs parties</w:t>
      </w:r>
      <w:r w:rsidRPr="0094533F">
        <w:t xml:space="preserve">. </w:t>
      </w:r>
      <w:r w:rsidR="001D0562" w:rsidRPr="0094533F">
        <w:t xml:space="preserve">Ce groupe de travail devrait </w:t>
      </w:r>
      <w:r w:rsidR="00F75F86" w:rsidRPr="0094533F">
        <w:t xml:space="preserve">engager de </w:t>
      </w:r>
      <w:r w:rsidR="001D0562" w:rsidRPr="0094533F">
        <w:t xml:space="preserve">nouvelles </w:t>
      </w:r>
      <w:r w:rsidR="00F75F86" w:rsidRPr="0094533F">
        <w:t xml:space="preserve">réflexions sur la </w:t>
      </w:r>
      <w:r w:rsidR="001D0562" w:rsidRPr="0094533F">
        <w:t xml:space="preserve">base des recommandations de la </w:t>
      </w:r>
      <w:r w:rsidR="009F151A" w:rsidRPr="0094533F">
        <w:t>réunion d</w:t>
      </w:r>
      <w:r w:rsidRPr="0094533F">
        <w:t>’</w:t>
      </w:r>
      <w:r w:rsidR="001D0562" w:rsidRPr="0094533F">
        <w:t xml:space="preserve">experts </w:t>
      </w:r>
      <w:r w:rsidR="00421FAA" w:rsidRPr="0094533F">
        <w:t xml:space="preserve">susmentionnée </w:t>
      </w:r>
      <w:r w:rsidR="009F151A" w:rsidRPr="0094533F">
        <w:t>et</w:t>
      </w:r>
      <w:r w:rsidR="00F75F86" w:rsidRPr="0094533F">
        <w:t>,</w:t>
      </w:r>
      <w:r w:rsidR="009F151A" w:rsidRPr="0094533F">
        <w:t xml:space="preserve"> le cas échéant, proposer des projets d</w:t>
      </w:r>
      <w:r w:rsidRPr="0094533F">
        <w:t>’</w:t>
      </w:r>
      <w:r w:rsidR="009F151A" w:rsidRPr="0094533F">
        <w:t xml:space="preserve">amendements </w:t>
      </w:r>
      <w:r w:rsidR="000473FE" w:rsidRPr="0094533F">
        <w:t xml:space="preserve">aux </w:t>
      </w:r>
      <w:r w:rsidR="009E3D42" w:rsidRPr="0094533F">
        <w:t>D</w:t>
      </w:r>
      <w:r w:rsidR="000473FE" w:rsidRPr="0094533F">
        <w:t>irectives opérationnelles.</w:t>
      </w:r>
    </w:p>
    <w:p w14:paraId="2B853518" w14:textId="41CB984F" w:rsidR="004E43C9" w:rsidRPr="0094533F" w:rsidRDefault="006A2C62" w:rsidP="002A334E">
      <w:pPr>
        <w:pStyle w:val="Paragraphedeliste"/>
        <w:numPr>
          <w:ilvl w:val="0"/>
          <w:numId w:val="50"/>
        </w:numPr>
        <w:ind w:left="1134" w:hanging="567"/>
      </w:pPr>
      <w:r w:rsidRPr="0094533F">
        <w:t xml:space="preserve">Prévue en novembre/décembre 2023, </w:t>
      </w:r>
      <w:r w:rsidR="0038635C" w:rsidRPr="0094533F">
        <w:t>la dix-huitième session du Comité sera l</w:t>
      </w:r>
      <w:r w:rsidRPr="0094533F">
        <w:t>’</w:t>
      </w:r>
      <w:r w:rsidR="0038635C" w:rsidRPr="0094533F">
        <w:t>occasion de faire le point sur les progrès accomplis</w:t>
      </w:r>
      <w:r w:rsidR="00FD2DBF" w:rsidRPr="0094533F">
        <w:t>, d</w:t>
      </w:r>
      <w:r w:rsidRPr="0094533F">
        <w:t>’</w:t>
      </w:r>
      <w:r w:rsidR="0038635C" w:rsidRPr="0094533F">
        <w:t xml:space="preserve">entreprendre des </w:t>
      </w:r>
      <w:r w:rsidR="00F75F86" w:rsidRPr="0094533F">
        <w:t>discussions</w:t>
      </w:r>
      <w:r w:rsidR="0038635C" w:rsidRPr="0094533F">
        <w:t xml:space="preserve"> intergouvernementales supplémentaires sur les sujets de réflexion </w:t>
      </w:r>
      <w:r w:rsidR="00FD2DBF" w:rsidRPr="0094533F">
        <w:t>et d</w:t>
      </w:r>
      <w:r w:rsidRPr="0094533F">
        <w:t>’</w:t>
      </w:r>
      <w:r w:rsidR="00FD2DBF" w:rsidRPr="0094533F">
        <w:t>ajuster le processus si nécessaire</w:t>
      </w:r>
      <w:r w:rsidR="0038635C" w:rsidRPr="0094533F">
        <w:t xml:space="preserve">. </w:t>
      </w:r>
      <w:r w:rsidR="00FD2DBF" w:rsidRPr="0094533F">
        <w:t xml:space="preserve">Cette session du Comité jouera </w:t>
      </w:r>
      <w:r w:rsidR="00F75F86" w:rsidRPr="0094533F">
        <w:t xml:space="preserve">également </w:t>
      </w:r>
      <w:r w:rsidR="00FD2DBF" w:rsidRPr="0094533F">
        <w:t xml:space="preserve">un rôle crucial </w:t>
      </w:r>
      <w:r w:rsidR="005855DB" w:rsidRPr="0094533F">
        <w:t>dans la finalisation des projets d</w:t>
      </w:r>
      <w:r w:rsidRPr="0094533F">
        <w:t>’</w:t>
      </w:r>
      <w:r w:rsidR="005855DB" w:rsidRPr="0094533F">
        <w:t xml:space="preserve">amendements aux </w:t>
      </w:r>
      <w:r w:rsidR="009E3D42" w:rsidRPr="0094533F">
        <w:t>D</w:t>
      </w:r>
      <w:r w:rsidR="005855DB" w:rsidRPr="0094533F">
        <w:t>irectives opérationnelles.</w:t>
      </w:r>
    </w:p>
    <w:p w14:paraId="30529C2E" w14:textId="6100A01A" w:rsidR="004E43C9" w:rsidRPr="0094533F" w:rsidRDefault="006A2C62" w:rsidP="002A334E">
      <w:pPr>
        <w:pStyle w:val="Paragraphedeliste"/>
        <w:numPr>
          <w:ilvl w:val="0"/>
          <w:numId w:val="50"/>
        </w:numPr>
        <w:ind w:left="1134" w:hanging="567"/>
      </w:pPr>
      <w:r w:rsidRPr="0094533F">
        <w:t>Pour l’</w:t>
      </w:r>
      <w:r w:rsidR="00B24805" w:rsidRPr="0094533F">
        <w:t>instant, l</w:t>
      </w:r>
      <w:r w:rsidRPr="0094533F">
        <w:t>’</w:t>
      </w:r>
      <w:r w:rsidR="00F75F86" w:rsidRPr="0094533F">
        <w:t xml:space="preserve">objectif est </w:t>
      </w:r>
      <w:r w:rsidR="002D121E" w:rsidRPr="0094533F">
        <w:t xml:space="preserve">de mener </w:t>
      </w:r>
      <w:r w:rsidR="00B24805" w:rsidRPr="0094533F">
        <w:t>la réflexion</w:t>
      </w:r>
      <w:r w:rsidR="002D121E" w:rsidRPr="0094533F">
        <w:t xml:space="preserve"> à terme</w:t>
      </w:r>
      <w:r w:rsidR="00B24805" w:rsidRPr="0094533F">
        <w:t xml:space="preserve"> lors de la dixième session de l</w:t>
      </w:r>
      <w:r w:rsidRPr="0094533F">
        <w:t>’</w:t>
      </w:r>
      <w:r w:rsidR="00B24805" w:rsidRPr="0094533F">
        <w:t xml:space="preserve">Assemblée générale, à la </w:t>
      </w:r>
      <w:r w:rsidR="007702F5" w:rsidRPr="0094533F">
        <w:t>mi-2024</w:t>
      </w:r>
      <w:r w:rsidR="00B24805" w:rsidRPr="0094533F">
        <w:t xml:space="preserve">. </w:t>
      </w:r>
      <w:r w:rsidR="007702F5" w:rsidRPr="0094533F">
        <w:t>Si la dix-huitième session du Comité en décide ainsi, cette session de l</w:t>
      </w:r>
      <w:r w:rsidRPr="0094533F">
        <w:t>’</w:t>
      </w:r>
      <w:r w:rsidR="007702F5" w:rsidRPr="0094533F">
        <w:t xml:space="preserve">Assemblée examinera </w:t>
      </w:r>
      <w:r w:rsidR="00777070" w:rsidRPr="0094533F">
        <w:t xml:space="preserve">alors </w:t>
      </w:r>
      <w:r w:rsidR="007702F5" w:rsidRPr="0094533F">
        <w:t>les projets d</w:t>
      </w:r>
      <w:r w:rsidRPr="0094533F">
        <w:t>’</w:t>
      </w:r>
      <w:r w:rsidR="007702F5" w:rsidRPr="0094533F">
        <w:t xml:space="preserve">amendements aux </w:t>
      </w:r>
      <w:r w:rsidR="002D121E" w:rsidRPr="0094533F">
        <w:t>D</w:t>
      </w:r>
      <w:r w:rsidR="007702F5" w:rsidRPr="0094533F">
        <w:t>irectives opérationnelles.</w:t>
      </w:r>
    </w:p>
    <w:p w14:paraId="6C3E6EF8" w14:textId="7398AACF" w:rsidR="004E43C9" w:rsidRPr="0094533F" w:rsidRDefault="006A2C62" w:rsidP="00050067">
      <w:pPr>
        <w:pStyle w:val="1GAPara"/>
      </w:pPr>
      <w:r w:rsidRPr="0094533F">
        <w:t>Le Comité souhaiter</w:t>
      </w:r>
      <w:r w:rsidR="002D121E" w:rsidRPr="0094533F">
        <w:t>a peut-être</w:t>
      </w:r>
      <w:r w:rsidRPr="0094533F">
        <w:t xml:space="preserve"> adopter la décision suivante</w:t>
      </w:r>
      <w:r w:rsidR="005412A4">
        <w:t> </w:t>
      </w:r>
    </w:p>
    <w:p w14:paraId="4A97D693" w14:textId="0E5A7133" w:rsidR="00AB2644" w:rsidRPr="0094533F" w:rsidRDefault="00AB2644" w:rsidP="00AB2644">
      <w:pPr>
        <w:pStyle w:val="GATitleResolution"/>
      </w:pPr>
      <w:r w:rsidRPr="0094533F">
        <w:t>PROJET DE DÉCISION 17.COM 10</w:t>
      </w:r>
    </w:p>
    <w:p w14:paraId="3E0FB472" w14:textId="77777777" w:rsidR="00AB2644" w:rsidRPr="0094533F" w:rsidRDefault="00AB2644" w:rsidP="00AB2644">
      <w:pPr>
        <w:pStyle w:val="COMPreambulaDecision"/>
      </w:pPr>
      <w:r w:rsidRPr="0094533F">
        <w:t>Le Comité,</w:t>
      </w:r>
    </w:p>
    <w:p w14:paraId="32340D44" w14:textId="717A4333" w:rsidR="004E43C9" w:rsidRPr="0094533F" w:rsidRDefault="006A2C62">
      <w:pPr>
        <w:pStyle w:val="COMParaDecision"/>
        <w:jc w:val="left"/>
        <w:rPr>
          <w:lang w:val="fr-FR"/>
        </w:rPr>
      </w:pPr>
      <w:r w:rsidRPr="0094533F">
        <w:rPr>
          <w:lang w:val="fr-FR"/>
        </w:rPr>
        <w:t xml:space="preserve">Ayant examiné le </w:t>
      </w:r>
      <w:r w:rsidRPr="0094533F">
        <w:rPr>
          <w:u w:val="none"/>
          <w:lang w:val="fr-FR"/>
        </w:rPr>
        <w:t>document LHE/22/17.COM/</w:t>
      </w:r>
      <w:r w:rsidR="00AB2644" w:rsidRPr="0094533F">
        <w:rPr>
          <w:u w:val="none"/>
          <w:lang w:val="fr-FR"/>
        </w:rPr>
        <w:t>10</w:t>
      </w:r>
      <w:r w:rsidRPr="0094533F">
        <w:rPr>
          <w:u w:val="none"/>
          <w:lang w:val="fr-FR"/>
        </w:rPr>
        <w:t xml:space="preserve"> </w:t>
      </w:r>
      <w:r w:rsidR="000473FE" w:rsidRPr="0094533F">
        <w:rPr>
          <w:u w:val="none"/>
          <w:lang w:val="fr-FR"/>
        </w:rPr>
        <w:t>et son annexe</w:t>
      </w:r>
      <w:r w:rsidRPr="0094533F">
        <w:rPr>
          <w:u w:val="none"/>
          <w:lang w:val="fr-FR"/>
        </w:rPr>
        <w:t>,</w:t>
      </w:r>
    </w:p>
    <w:p w14:paraId="11EDB635" w14:textId="6B398B01" w:rsidR="004E43C9" w:rsidRPr="0094533F" w:rsidRDefault="006A2C62">
      <w:pPr>
        <w:pStyle w:val="COMParaDecision"/>
        <w:rPr>
          <w:u w:val="none"/>
          <w:lang w:val="fr-FR"/>
        </w:rPr>
      </w:pPr>
      <w:r w:rsidRPr="0094533F">
        <w:rPr>
          <w:lang w:val="fr-FR"/>
        </w:rPr>
        <w:t>Rappelant</w:t>
      </w:r>
      <w:r w:rsidRPr="00862A6B">
        <w:rPr>
          <w:u w:val="none"/>
          <w:lang w:val="fr-FR"/>
        </w:rPr>
        <w:t xml:space="preserve"> la résolution </w:t>
      </w:r>
      <w:hyperlink r:id="rId20" w:history="1">
        <w:r w:rsidRPr="0094533F">
          <w:rPr>
            <w:rStyle w:val="Lienhypertexte"/>
            <w:rFonts w:asciiTheme="minorBidi" w:hAnsiTheme="minorBidi"/>
            <w:lang w:val="fr-FR"/>
          </w:rPr>
          <w:t>9.GA.9</w:t>
        </w:r>
      </w:hyperlink>
      <w:r w:rsidRPr="0094533F">
        <w:rPr>
          <w:u w:val="none"/>
          <w:lang w:val="fr-FR"/>
        </w:rPr>
        <w:t xml:space="preserve">, </w:t>
      </w:r>
      <w:r w:rsidR="00CF5A3B" w:rsidRPr="0094533F">
        <w:rPr>
          <w:u w:val="none"/>
          <w:lang w:val="fr-FR"/>
        </w:rPr>
        <w:t xml:space="preserve">ainsi que </w:t>
      </w:r>
      <w:r w:rsidR="000473FE" w:rsidRPr="0094533F">
        <w:rPr>
          <w:u w:val="none"/>
          <w:lang w:val="fr-FR"/>
        </w:rPr>
        <w:t xml:space="preserve">les </w:t>
      </w:r>
      <w:r w:rsidRPr="0094533F">
        <w:rPr>
          <w:u w:val="none"/>
          <w:lang w:val="fr-FR"/>
        </w:rPr>
        <w:t xml:space="preserve">décisions </w:t>
      </w:r>
      <w:hyperlink r:id="rId21" w:history="1">
        <w:r w:rsidR="00771DF8" w:rsidRPr="0094533F">
          <w:rPr>
            <w:rStyle w:val="Lienhypertexte"/>
            <w:rFonts w:asciiTheme="minorBidi" w:hAnsiTheme="minorBidi" w:cstheme="minorBidi"/>
            <w:lang w:val="fr-FR"/>
          </w:rPr>
          <w:t>8.COM 5.c.1</w:t>
        </w:r>
      </w:hyperlink>
      <w:r w:rsidR="00771DF8" w:rsidRPr="0094533F">
        <w:rPr>
          <w:rStyle w:val="Lienhypertexte"/>
          <w:rFonts w:asciiTheme="minorBidi" w:hAnsiTheme="minorBidi" w:cstheme="minorBidi"/>
          <w:u w:val="none"/>
          <w:lang w:val="fr-FR"/>
        </w:rPr>
        <w:t xml:space="preserve">, </w:t>
      </w:r>
      <w:hyperlink r:id="rId22" w:history="1">
        <w:r w:rsidR="00771DF8" w:rsidRPr="0094533F">
          <w:rPr>
            <w:rStyle w:val="Lienhypertexte"/>
            <w:lang w:val="fr-FR"/>
          </w:rPr>
          <w:t>9.COM 9.b</w:t>
        </w:r>
      </w:hyperlink>
      <w:r w:rsidR="00771DF8" w:rsidRPr="0094533F">
        <w:rPr>
          <w:u w:val="none"/>
          <w:lang w:val="fr-FR"/>
        </w:rPr>
        <w:t xml:space="preserve">, </w:t>
      </w:r>
      <w:hyperlink r:id="rId23" w:history="1">
        <w:r w:rsidR="00771DF8" w:rsidRPr="0094533F">
          <w:rPr>
            <w:rStyle w:val="Lienhypertexte"/>
            <w:lang w:val="fr-FR"/>
          </w:rPr>
          <w:t>10.COM 10</w:t>
        </w:r>
      </w:hyperlink>
      <w:r w:rsidR="00771DF8" w:rsidRPr="0094533F">
        <w:rPr>
          <w:u w:val="none"/>
          <w:lang w:val="fr-FR"/>
        </w:rPr>
        <w:t xml:space="preserve">, </w:t>
      </w:r>
      <w:hyperlink r:id="rId24" w:history="1">
        <w:r w:rsidR="007D0D86" w:rsidRPr="0094533F">
          <w:rPr>
            <w:rStyle w:val="Lienhypertexte"/>
            <w:lang w:val="fr-FR"/>
          </w:rPr>
          <w:t>13.COM 5</w:t>
        </w:r>
      </w:hyperlink>
      <w:r w:rsidR="007D0D86" w:rsidRPr="0094533F">
        <w:rPr>
          <w:u w:val="none"/>
          <w:lang w:val="fr-FR"/>
        </w:rPr>
        <w:t xml:space="preserve">, </w:t>
      </w:r>
      <w:hyperlink r:id="rId25" w:history="1">
        <w:r w:rsidR="00BA44C8" w:rsidRPr="0094533F">
          <w:rPr>
            <w:rStyle w:val="Lienhypertexte"/>
            <w:lang w:val="fr-FR"/>
          </w:rPr>
          <w:t>14.COM 5.b</w:t>
        </w:r>
      </w:hyperlink>
      <w:r w:rsidR="00BA44C8" w:rsidRPr="0094533F">
        <w:rPr>
          <w:rStyle w:val="Lienhypertexte"/>
          <w:u w:val="none"/>
          <w:lang w:val="fr-FR"/>
        </w:rPr>
        <w:t xml:space="preserve">, </w:t>
      </w:r>
      <w:hyperlink r:id="rId26" w:history="1">
        <w:r w:rsidR="000473FE" w:rsidRPr="0094533F">
          <w:rPr>
            <w:rStyle w:val="Lienhypertexte"/>
            <w:lang w:val="fr-FR"/>
          </w:rPr>
          <w:t>16.COM 14</w:t>
        </w:r>
      </w:hyperlink>
      <w:r w:rsidR="00DF1653" w:rsidRPr="0094533F">
        <w:rPr>
          <w:rStyle w:val="Lienhypertexte"/>
          <w:color w:val="auto"/>
          <w:u w:val="none"/>
          <w:lang w:val="fr-FR"/>
        </w:rPr>
        <w:t xml:space="preserve"> et </w:t>
      </w:r>
      <w:hyperlink r:id="rId27" w:history="1">
        <w:r w:rsidR="00DF1653" w:rsidRPr="0094533F">
          <w:rPr>
            <w:rStyle w:val="Lienhypertexte"/>
            <w:lang w:val="fr-FR"/>
          </w:rPr>
          <w:t>5.EXT.COM 4</w:t>
        </w:r>
      </w:hyperlink>
      <w:r w:rsidR="00F64E58" w:rsidRPr="0094533F">
        <w:rPr>
          <w:u w:val="none"/>
          <w:lang w:val="fr-FR"/>
        </w:rPr>
        <w:t>,</w:t>
      </w:r>
    </w:p>
    <w:p w14:paraId="61A01379" w14:textId="74A8A038" w:rsidR="004E43C9" w:rsidRPr="0094533F" w:rsidRDefault="00613B1A">
      <w:pPr>
        <w:pStyle w:val="COMParaDecision"/>
        <w:rPr>
          <w:u w:val="none"/>
          <w:lang w:val="fr-FR"/>
        </w:rPr>
      </w:pPr>
      <w:r w:rsidRPr="0094533F">
        <w:rPr>
          <w:lang w:val="fr-FR"/>
        </w:rPr>
        <w:t>Réitère</w:t>
      </w:r>
      <w:r w:rsidRPr="00183C4B">
        <w:rPr>
          <w:lang w:val="fr-FR"/>
        </w:rPr>
        <w:t xml:space="preserve"> sa gratitude</w:t>
      </w:r>
      <w:r w:rsidRPr="00183C4B">
        <w:rPr>
          <w:u w:val="none"/>
          <w:lang w:val="fr-FR"/>
        </w:rPr>
        <w:t xml:space="preserve"> </w:t>
      </w:r>
      <w:r w:rsidR="006A2C62" w:rsidRPr="0094533F">
        <w:rPr>
          <w:u w:val="none"/>
          <w:lang w:val="fr-FR"/>
        </w:rPr>
        <w:t xml:space="preserve">au Royaume de Suède pour avoir soutenu la réflexion </w:t>
      </w:r>
      <w:bookmarkStart w:id="4" w:name="_Hlk114748705"/>
      <w:r w:rsidR="006A2C62" w:rsidRPr="0094533F">
        <w:rPr>
          <w:u w:val="none"/>
          <w:lang w:val="fr-FR"/>
        </w:rPr>
        <w:t>pour une mise en œuvre plus large de l’article 18 de la Convention</w:t>
      </w:r>
      <w:r w:rsidR="005412A4">
        <w:rPr>
          <w:u w:val="none"/>
          <w:lang w:val="fr-FR"/>
        </w:rPr>
        <w:t> </w:t>
      </w:r>
      <w:r w:rsidR="006A2C62" w:rsidRPr="0094533F">
        <w:rPr>
          <w:u w:val="none"/>
          <w:lang w:val="fr-FR"/>
        </w:rPr>
        <w:t>;</w:t>
      </w:r>
      <w:bookmarkEnd w:id="4"/>
    </w:p>
    <w:p w14:paraId="5517E139" w14:textId="3A385D0C" w:rsidR="004E43C9" w:rsidRPr="0094533F" w:rsidRDefault="006A2C62">
      <w:pPr>
        <w:pStyle w:val="COMParaDecision"/>
        <w:rPr>
          <w:u w:val="none"/>
          <w:lang w:val="fr-FR"/>
        </w:rPr>
      </w:pPr>
      <w:r w:rsidRPr="0094533F">
        <w:rPr>
          <w:lang w:val="fr-FR"/>
        </w:rPr>
        <w:t xml:space="preserve">Établit </w:t>
      </w:r>
      <w:r w:rsidRPr="0094533F">
        <w:rPr>
          <w:u w:val="none"/>
          <w:lang w:val="fr-FR"/>
        </w:rPr>
        <w:t xml:space="preserve">les </w:t>
      </w:r>
      <w:r w:rsidR="006E57DD" w:rsidRPr="0094533F">
        <w:rPr>
          <w:u w:val="none"/>
          <w:lang w:val="fr-FR"/>
        </w:rPr>
        <w:t xml:space="preserve">principaux </w:t>
      </w:r>
      <w:r w:rsidR="00DD0EF3" w:rsidRPr="0094533F">
        <w:rPr>
          <w:u w:val="none"/>
          <w:lang w:val="fr-FR"/>
        </w:rPr>
        <w:t xml:space="preserve">thèmes </w:t>
      </w:r>
      <w:r w:rsidR="00613B1A" w:rsidRPr="0094533F">
        <w:rPr>
          <w:u w:val="none"/>
          <w:lang w:val="fr-FR"/>
        </w:rPr>
        <w:t xml:space="preserve">initiaux </w:t>
      </w:r>
      <w:r w:rsidR="00DD0EF3" w:rsidRPr="0094533F">
        <w:rPr>
          <w:u w:val="none"/>
          <w:lang w:val="fr-FR"/>
        </w:rPr>
        <w:t xml:space="preserve">de </w:t>
      </w:r>
      <w:r w:rsidR="00613B1A" w:rsidRPr="0094533F">
        <w:rPr>
          <w:u w:val="none"/>
          <w:lang w:val="fr-FR"/>
        </w:rPr>
        <w:t xml:space="preserve">la </w:t>
      </w:r>
      <w:r w:rsidR="00DD0EF3" w:rsidRPr="0094533F">
        <w:rPr>
          <w:u w:val="none"/>
          <w:lang w:val="fr-FR"/>
        </w:rPr>
        <w:t xml:space="preserve">réflexion </w:t>
      </w:r>
      <w:r w:rsidRPr="0094533F">
        <w:rPr>
          <w:u w:val="none"/>
          <w:lang w:val="fr-FR"/>
        </w:rPr>
        <w:t xml:space="preserve">comme </w:t>
      </w:r>
      <w:r w:rsidR="001C1C3D" w:rsidRPr="0094533F">
        <w:rPr>
          <w:u w:val="none"/>
          <w:lang w:val="fr-FR"/>
        </w:rPr>
        <w:t>suit</w:t>
      </w:r>
      <w:r w:rsidR="00BF14D6">
        <w:rPr>
          <w:u w:val="none"/>
          <w:lang w:val="fr-FR"/>
        </w:rPr>
        <w:t> :</w:t>
      </w:r>
    </w:p>
    <w:p w14:paraId="10282080" w14:textId="19968C05" w:rsidR="004E43C9" w:rsidRPr="0094533F" w:rsidRDefault="006A2C62" w:rsidP="004C4558">
      <w:pPr>
        <w:pStyle w:val="COMParaDecision"/>
        <w:numPr>
          <w:ilvl w:val="0"/>
          <w:numId w:val="10"/>
        </w:numPr>
        <w:ind w:left="1701" w:hanging="283"/>
        <w:rPr>
          <w:u w:val="none"/>
          <w:lang w:val="fr-FR"/>
        </w:rPr>
      </w:pPr>
      <w:r w:rsidRPr="0094533F">
        <w:rPr>
          <w:u w:val="none"/>
          <w:lang w:val="fr-FR"/>
        </w:rPr>
        <w:t xml:space="preserve">Sujet 1 : Améliorer l’accès et </w:t>
      </w:r>
      <w:r w:rsidR="001C1C3D" w:rsidRPr="0094533F">
        <w:rPr>
          <w:u w:val="none"/>
          <w:lang w:val="fr-FR"/>
        </w:rPr>
        <w:t xml:space="preserve">augmenter la visibilité du </w:t>
      </w:r>
      <w:r w:rsidR="0071359C" w:rsidRPr="0094533F">
        <w:rPr>
          <w:u w:val="none"/>
          <w:lang w:val="fr-FR"/>
        </w:rPr>
        <w:t>Registre de bonnes</w:t>
      </w:r>
      <w:r w:rsidR="001C1C3D" w:rsidRPr="0094533F">
        <w:rPr>
          <w:u w:val="none"/>
          <w:lang w:val="fr-FR"/>
        </w:rPr>
        <w:t xml:space="preserve"> pratiques de sauvegarde</w:t>
      </w:r>
    </w:p>
    <w:p w14:paraId="6E738B57" w14:textId="6AF36A10" w:rsidR="004E43C9" w:rsidRPr="0094533F" w:rsidRDefault="006A2C62" w:rsidP="004C4558">
      <w:pPr>
        <w:pStyle w:val="COMParaDecision"/>
        <w:numPr>
          <w:ilvl w:val="0"/>
          <w:numId w:val="10"/>
        </w:numPr>
        <w:ind w:left="1701" w:hanging="283"/>
        <w:rPr>
          <w:u w:val="none"/>
          <w:lang w:val="fr-FR"/>
        </w:rPr>
      </w:pPr>
      <w:r w:rsidRPr="0094533F">
        <w:rPr>
          <w:u w:val="none"/>
          <w:lang w:val="fr-FR"/>
        </w:rPr>
        <w:t xml:space="preserve">Sujet 2 : Vers la </w:t>
      </w:r>
      <w:r w:rsidR="001C1C3D" w:rsidRPr="0094533F">
        <w:rPr>
          <w:u w:val="none"/>
          <w:lang w:val="fr-FR"/>
        </w:rPr>
        <w:t>création d</w:t>
      </w:r>
      <w:r w:rsidRPr="0094533F">
        <w:rPr>
          <w:u w:val="none"/>
          <w:lang w:val="fr-FR"/>
        </w:rPr>
        <w:t>’</w:t>
      </w:r>
      <w:r w:rsidR="001C1C3D" w:rsidRPr="0094533F">
        <w:rPr>
          <w:u w:val="none"/>
          <w:lang w:val="fr-FR"/>
        </w:rPr>
        <w:t xml:space="preserve">un </w:t>
      </w:r>
      <w:r w:rsidR="001A0CD8" w:rsidRPr="0094533F">
        <w:rPr>
          <w:u w:val="none"/>
          <w:lang w:val="fr-FR"/>
        </w:rPr>
        <w:t>« </w:t>
      </w:r>
      <w:r w:rsidR="001C1C3D" w:rsidRPr="0094533F">
        <w:rPr>
          <w:u w:val="none"/>
          <w:lang w:val="fr-FR"/>
        </w:rPr>
        <w:t>observatoire</w:t>
      </w:r>
      <w:r w:rsidR="001A0CD8" w:rsidRPr="0094533F">
        <w:rPr>
          <w:u w:val="none"/>
          <w:lang w:val="fr-FR"/>
        </w:rPr>
        <w:t> »</w:t>
      </w:r>
      <w:r w:rsidRPr="0094533F">
        <w:rPr>
          <w:u w:val="none"/>
          <w:lang w:val="fr-FR"/>
        </w:rPr>
        <w:t xml:space="preserve"> de partage de </w:t>
      </w:r>
      <w:r w:rsidR="001C1C3D" w:rsidRPr="0094533F">
        <w:rPr>
          <w:u w:val="none"/>
          <w:lang w:val="fr-FR"/>
        </w:rPr>
        <w:t>bonnes pratiques de sauvegarde</w:t>
      </w:r>
    </w:p>
    <w:p w14:paraId="61B57553" w14:textId="3F864999" w:rsidR="004E43C9" w:rsidRPr="0094533F" w:rsidRDefault="006A2C62" w:rsidP="004C4558">
      <w:pPr>
        <w:pStyle w:val="COMParaDecision"/>
        <w:numPr>
          <w:ilvl w:val="0"/>
          <w:numId w:val="10"/>
        </w:numPr>
        <w:ind w:left="1701" w:hanging="283"/>
        <w:rPr>
          <w:u w:val="none"/>
          <w:lang w:val="fr-FR"/>
        </w:rPr>
      </w:pPr>
      <w:r w:rsidRPr="0094533F">
        <w:rPr>
          <w:u w:val="none"/>
          <w:lang w:val="fr-FR"/>
        </w:rPr>
        <w:t xml:space="preserve">Sujet 3 : </w:t>
      </w:r>
      <w:r w:rsidR="004B1A36" w:rsidRPr="0094533F">
        <w:rPr>
          <w:u w:val="none"/>
          <w:lang w:val="fr-FR"/>
        </w:rPr>
        <w:t xml:space="preserve">Toute autre question à </w:t>
      </w:r>
      <w:r w:rsidRPr="0094533F">
        <w:rPr>
          <w:u w:val="none"/>
          <w:lang w:val="fr-FR"/>
        </w:rPr>
        <w:t>identifier</w:t>
      </w:r>
    </w:p>
    <w:p w14:paraId="0962E093" w14:textId="12454310" w:rsidR="004E43C9" w:rsidRPr="0094533F" w:rsidRDefault="006A2C62">
      <w:pPr>
        <w:pStyle w:val="COMParaDecision"/>
        <w:rPr>
          <w:u w:val="none"/>
          <w:lang w:val="fr-FR"/>
        </w:rPr>
      </w:pPr>
      <w:r w:rsidRPr="0094533F">
        <w:rPr>
          <w:lang w:val="fr-FR"/>
        </w:rPr>
        <w:t>Demande</w:t>
      </w:r>
      <w:r w:rsidRPr="004C4558">
        <w:rPr>
          <w:u w:val="none"/>
          <w:lang w:val="fr-FR"/>
        </w:rPr>
        <w:t xml:space="preserve"> </w:t>
      </w:r>
      <w:r w:rsidR="00F75F86" w:rsidRPr="0094533F">
        <w:rPr>
          <w:u w:val="none"/>
          <w:lang w:val="fr-FR"/>
        </w:rPr>
        <w:t xml:space="preserve">au </w:t>
      </w:r>
      <w:r w:rsidRPr="0094533F">
        <w:rPr>
          <w:u w:val="none"/>
          <w:lang w:val="fr-FR"/>
        </w:rPr>
        <w:t xml:space="preserve">Secrétariat </w:t>
      </w:r>
      <w:r w:rsidR="00F75F86" w:rsidRPr="0094533F">
        <w:rPr>
          <w:u w:val="none"/>
          <w:lang w:val="fr-FR"/>
        </w:rPr>
        <w:t xml:space="preserve">de </w:t>
      </w:r>
      <w:r w:rsidR="00C82C91" w:rsidRPr="0094533F">
        <w:rPr>
          <w:u w:val="none"/>
          <w:lang w:val="fr-FR"/>
        </w:rPr>
        <w:t>convoquer la réunion d</w:t>
      </w:r>
      <w:r w:rsidRPr="0094533F">
        <w:rPr>
          <w:u w:val="none"/>
          <w:lang w:val="fr-FR"/>
        </w:rPr>
        <w:t>’</w:t>
      </w:r>
      <w:r w:rsidR="00C82C91" w:rsidRPr="0094533F">
        <w:rPr>
          <w:u w:val="none"/>
          <w:lang w:val="fr-FR"/>
        </w:rPr>
        <w:t xml:space="preserve">experts de catégorie VI au cours du premier semestre de 2023 en vue </w:t>
      </w:r>
      <w:r w:rsidR="00613B1A" w:rsidRPr="0094533F">
        <w:rPr>
          <w:u w:val="none"/>
          <w:lang w:val="fr-FR"/>
        </w:rPr>
        <w:t>d’établir les bases de la réunion du</w:t>
      </w:r>
      <w:r w:rsidR="00C82C91" w:rsidRPr="0094533F">
        <w:rPr>
          <w:u w:val="none"/>
          <w:lang w:val="fr-FR"/>
        </w:rPr>
        <w:t xml:space="preserve"> groupe de travail intergouvernemental à composition non limitée</w:t>
      </w:r>
      <w:r w:rsidR="00613B1A" w:rsidRPr="0094533F">
        <w:rPr>
          <w:u w:val="none"/>
          <w:lang w:val="fr-FR"/>
        </w:rPr>
        <w:t>,</w:t>
      </w:r>
      <w:r w:rsidR="00C82C91" w:rsidRPr="0094533F">
        <w:rPr>
          <w:u w:val="none"/>
          <w:lang w:val="fr-FR"/>
        </w:rPr>
        <w:t xml:space="preserve"> qui sera convoqué</w:t>
      </w:r>
      <w:r w:rsidR="00613B1A" w:rsidRPr="0094533F">
        <w:rPr>
          <w:u w:val="none"/>
          <w:lang w:val="fr-FR"/>
        </w:rPr>
        <w:t>e</w:t>
      </w:r>
      <w:r w:rsidR="00C82C91" w:rsidRPr="0094533F">
        <w:rPr>
          <w:u w:val="none"/>
          <w:lang w:val="fr-FR"/>
        </w:rPr>
        <w:t xml:space="preserve"> au cours du second semestre de 2023</w:t>
      </w:r>
      <w:r w:rsidR="00613B1A" w:rsidRPr="0094533F">
        <w:rPr>
          <w:u w:val="none"/>
          <w:lang w:val="fr-FR"/>
        </w:rPr>
        <w:t>,</w:t>
      </w:r>
      <w:r w:rsidR="00C82C91" w:rsidRPr="0094533F">
        <w:rPr>
          <w:u w:val="none"/>
          <w:lang w:val="fr-FR"/>
        </w:rPr>
        <w:t xml:space="preserve"> et de le faire en tenant compte des </w:t>
      </w:r>
      <w:r w:rsidRPr="0094533F">
        <w:rPr>
          <w:u w:val="none"/>
          <w:lang w:val="fr-FR"/>
        </w:rPr>
        <w:t xml:space="preserve">recommandations formulées </w:t>
      </w:r>
      <w:r w:rsidR="00C82C91" w:rsidRPr="0094533F">
        <w:rPr>
          <w:u w:val="none"/>
          <w:lang w:val="fr-FR"/>
        </w:rPr>
        <w:t xml:space="preserve">et des discussions tenues dans le cadre de </w:t>
      </w:r>
      <w:r w:rsidRPr="0094533F">
        <w:rPr>
          <w:u w:val="none"/>
          <w:lang w:val="fr-FR"/>
        </w:rPr>
        <w:t xml:space="preserve">la réflexion </w:t>
      </w:r>
      <w:r w:rsidR="00613B1A" w:rsidRPr="0094533F">
        <w:rPr>
          <w:u w:val="none"/>
          <w:lang w:val="fr-FR"/>
        </w:rPr>
        <w:t xml:space="preserve">globale </w:t>
      </w:r>
      <w:r w:rsidRPr="0094533F">
        <w:rPr>
          <w:u w:val="none"/>
          <w:lang w:val="fr-FR"/>
        </w:rPr>
        <w:t>sur les mécanismes d’inscription</w:t>
      </w:r>
      <w:r w:rsidR="00613B1A" w:rsidRPr="0094533F">
        <w:rPr>
          <w:u w:val="none"/>
          <w:lang w:val="fr-FR"/>
        </w:rPr>
        <w:t xml:space="preserve"> sur les listes</w:t>
      </w:r>
      <w:r w:rsidRPr="0094533F">
        <w:rPr>
          <w:u w:val="none"/>
          <w:lang w:val="fr-FR"/>
        </w:rPr>
        <w:t xml:space="preserve"> de la Convention de 2003</w:t>
      </w:r>
      <w:r w:rsidR="005412A4">
        <w:rPr>
          <w:u w:val="none"/>
          <w:lang w:val="fr-FR"/>
        </w:rPr>
        <w:t> </w:t>
      </w:r>
      <w:r w:rsidR="00C82C91" w:rsidRPr="0094533F">
        <w:rPr>
          <w:u w:val="none"/>
          <w:lang w:val="fr-FR"/>
        </w:rPr>
        <w:t>;</w:t>
      </w:r>
    </w:p>
    <w:p w14:paraId="314E1EB3" w14:textId="28FC8C33" w:rsidR="004E43C9" w:rsidRPr="0094533F" w:rsidRDefault="006A2C62">
      <w:pPr>
        <w:pStyle w:val="COMParaDecision"/>
        <w:rPr>
          <w:u w:val="none"/>
          <w:lang w:val="fr-FR" w:eastAsia="zh-CN"/>
        </w:rPr>
      </w:pPr>
      <w:r w:rsidRPr="0094533F">
        <w:rPr>
          <w:lang w:val="fr-FR" w:eastAsia="zh-CN"/>
        </w:rPr>
        <w:t xml:space="preserve">Prend </w:t>
      </w:r>
      <w:r w:rsidR="00CF5A3B" w:rsidRPr="0094533F">
        <w:rPr>
          <w:lang w:val="fr-FR" w:eastAsia="zh-CN"/>
        </w:rPr>
        <w:t>note</w:t>
      </w:r>
      <w:r w:rsidR="00CF5A3B" w:rsidRPr="009F677E">
        <w:rPr>
          <w:u w:val="none"/>
          <w:lang w:val="fr-FR" w:eastAsia="zh-CN"/>
        </w:rPr>
        <w:t xml:space="preserve"> </w:t>
      </w:r>
      <w:r w:rsidR="00CF5A3B" w:rsidRPr="0094533F">
        <w:rPr>
          <w:u w:val="none"/>
          <w:lang w:val="fr-FR" w:eastAsia="zh-CN"/>
        </w:rPr>
        <w:t xml:space="preserve">du calendrier provisoire de la réflexion </w:t>
      </w:r>
      <w:r w:rsidR="000E78EE" w:rsidRPr="0094533F">
        <w:rPr>
          <w:u w:val="none"/>
          <w:lang w:val="fr-FR" w:eastAsia="zh-CN"/>
        </w:rPr>
        <w:t xml:space="preserve">sur une </w:t>
      </w:r>
      <w:r w:rsidR="00CF5A3B" w:rsidRPr="0094533F">
        <w:rPr>
          <w:u w:val="none"/>
          <w:lang w:val="fr-FR" w:eastAsia="zh-CN"/>
        </w:rPr>
        <w:t>mise en œuvre plus large de l</w:t>
      </w:r>
      <w:r w:rsidRPr="0094533F">
        <w:rPr>
          <w:u w:val="none"/>
          <w:lang w:val="fr-FR" w:eastAsia="zh-CN"/>
        </w:rPr>
        <w:t>’</w:t>
      </w:r>
      <w:r w:rsidR="00CF5A3B" w:rsidRPr="0094533F">
        <w:rPr>
          <w:u w:val="none"/>
          <w:lang w:val="fr-FR" w:eastAsia="zh-CN"/>
        </w:rPr>
        <w:t>article 18 de la Convention</w:t>
      </w:r>
      <w:r w:rsidR="005412A4">
        <w:rPr>
          <w:u w:val="none"/>
          <w:lang w:val="fr-FR" w:eastAsia="zh-CN"/>
        </w:rPr>
        <w:t> </w:t>
      </w:r>
      <w:r w:rsidR="00CF5A3B" w:rsidRPr="0094533F">
        <w:rPr>
          <w:u w:val="none"/>
          <w:lang w:val="fr-FR" w:eastAsia="zh-CN"/>
        </w:rPr>
        <w:t>;</w:t>
      </w:r>
    </w:p>
    <w:p w14:paraId="1CFC94D1" w14:textId="32D698F7" w:rsidR="004E43C9" w:rsidRPr="0094533F" w:rsidRDefault="006A2C62" w:rsidP="004C4558">
      <w:pPr>
        <w:pStyle w:val="COMParaDecision"/>
        <w:keepLines/>
        <w:ind w:left="1281" w:hanging="357"/>
        <w:rPr>
          <w:u w:val="none"/>
          <w:lang w:val="fr-FR"/>
        </w:rPr>
      </w:pPr>
      <w:r w:rsidRPr="0094533F">
        <w:rPr>
          <w:lang w:val="fr-FR"/>
        </w:rPr>
        <w:lastRenderedPageBreak/>
        <w:t>Demande</w:t>
      </w:r>
      <w:r w:rsidRPr="00C25991">
        <w:rPr>
          <w:u w:val="none"/>
          <w:lang w:val="fr-FR"/>
        </w:rPr>
        <w:t xml:space="preserve"> </w:t>
      </w:r>
      <w:r w:rsidRPr="0094533F">
        <w:rPr>
          <w:u w:val="none"/>
          <w:lang w:val="fr-FR"/>
        </w:rPr>
        <w:t xml:space="preserve">que le Secrétariat fasse rapport sur les résultats de la </w:t>
      </w:r>
      <w:r w:rsidR="000E78EE" w:rsidRPr="0094533F">
        <w:rPr>
          <w:u w:val="none"/>
          <w:lang w:val="fr-FR"/>
        </w:rPr>
        <w:t>réunion d</w:t>
      </w:r>
      <w:r w:rsidRPr="0094533F">
        <w:rPr>
          <w:u w:val="none"/>
          <w:lang w:val="fr-FR"/>
        </w:rPr>
        <w:t xml:space="preserve">’experts de catégorie VI ainsi que sur </w:t>
      </w:r>
      <w:r w:rsidR="000E78EE" w:rsidRPr="0094533F">
        <w:rPr>
          <w:u w:val="none"/>
          <w:lang w:val="fr-FR"/>
        </w:rPr>
        <w:t xml:space="preserve">les </w:t>
      </w:r>
      <w:r w:rsidR="009B154F" w:rsidRPr="0094533F">
        <w:rPr>
          <w:u w:val="none"/>
          <w:lang w:val="fr-FR"/>
        </w:rPr>
        <w:t xml:space="preserve">progrès </w:t>
      </w:r>
      <w:r w:rsidR="00990601" w:rsidRPr="0094533F">
        <w:rPr>
          <w:u w:val="none"/>
          <w:lang w:val="fr-FR"/>
        </w:rPr>
        <w:t xml:space="preserve">réalisés dans la </w:t>
      </w:r>
      <w:r w:rsidR="00777070" w:rsidRPr="0094533F">
        <w:rPr>
          <w:u w:val="none"/>
          <w:lang w:val="fr-FR"/>
        </w:rPr>
        <w:t xml:space="preserve">préparation </w:t>
      </w:r>
      <w:r w:rsidRPr="0094533F">
        <w:rPr>
          <w:u w:val="none"/>
          <w:lang w:val="fr-FR"/>
        </w:rPr>
        <w:t>du groupe de travail intergouvernemental à composition non limitée</w:t>
      </w:r>
      <w:r w:rsidR="000E78EE" w:rsidRPr="0094533F">
        <w:rPr>
          <w:u w:val="none"/>
          <w:lang w:val="fr-FR"/>
        </w:rPr>
        <w:t>, pour examen par la dix-huitième session du Comité</w:t>
      </w:r>
      <w:r w:rsidR="00CE10E3" w:rsidRPr="0094533F">
        <w:rPr>
          <w:u w:val="none"/>
          <w:lang w:val="fr-FR"/>
        </w:rPr>
        <w:t>.</w:t>
      </w:r>
    </w:p>
    <w:p w14:paraId="20E5DCF6" w14:textId="77777777" w:rsidR="004012C0" w:rsidRPr="0094533F" w:rsidRDefault="004012C0">
      <w:pPr>
        <w:spacing w:after="0"/>
        <w:rPr>
          <w:rFonts w:ascii="Arial" w:eastAsia="SimSun" w:hAnsi="Arial" w:cs="Arial"/>
          <w:szCs w:val="22"/>
          <w:u w:val="single"/>
          <w:lang w:val="fr-FR"/>
        </w:rPr>
      </w:pPr>
      <w:r w:rsidRPr="0094533F">
        <w:rPr>
          <w:lang w:val="fr-FR"/>
        </w:rPr>
        <w:br w:type="page"/>
      </w:r>
    </w:p>
    <w:p w14:paraId="2D5A8456" w14:textId="41E0BE12" w:rsidR="004E43C9" w:rsidRPr="0094533F" w:rsidRDefault="006A2C62" w:rsidP="004C4558">
      <w:pPr>
        <w:spacing w:before="120"/>
        <w:jc w:val="center"/>
        <w:rPr>
          <w:rFonts w:ascii="Arial" w:hAnsi="Arial" w:cs="Arial"/>
          <w:bCs/>
          <w:sz w:val="24"/>
          <w:lang w:val="fr-FR"/>
        </w:rPr>
      </w:pPr>
      <w:r w:rsidRPr="004C4558">
        <w:rPr>
          <w:rFonts w:ascii="Arial" w:hAnsi="Arial" w:cs="Arial"/>
          <w:b/>
          <w:sz w:val="24"/>
          <w:u w:val="single"/>
          <w:lang w:val="fr-FR"/>
        </w:rPr>
        <w:lastRenderedPageBreak/>
        <w:t>A</w:t>
      </w:r>
      <w:r w:rsidR="000F4660" w:rsidRPr="0094533F">
        <w:rPr>
          <w:rFonts w:ascii="Arial" w:hAnsi="Arial" w:cs="Arial"/>
          <w:b/>
          <w:sz w:val="24"/>
          <w:u w:val="single"/>
          <w:lang w:val="fr-FR"/>
        </w:rPr>
        <w:t>NNEXE</w:t>
      </w:r>
    </w:p>
    <w:p w14:paraId="0493AF36" w14:textId="77777777" w:rsidR="004E43C9" w:rsidRPr="0094533F" w:rsidRDefault="006A2C62">
      <w:pPr>
        <w:spacing w:after="0"/>
        <w:jc w:val="center"/>
        <w:rPr>
          <w:rFonts w:ascii="Arial" w:eastAsiaTheme="majorEastAsia" w:hAnsi="Arial" w:cs="Arial"/>
          <w:iCs/>
          <w:sz w:val="24"/>
          <w:lang w:val="fr-FR"/>
        </w:rPr>
      </w:pPr>
      <w:r w:rsidRPr="0094533F">
        <w:rPr>
          <w:rFonts w:ascii="Arial" w:eastAsiaTheme="majorEastAsia" w:hAnsi="Arial" w:cs="Arial"/>
          <w:iCs/>
          <w:sz w:val="24"/>
          <w:lang w:val="fr-FR"/>
        </w:rPr>
        <w:t>Calendrier provisoire de la réflexion sur</w:t>
      </w:r>
    </w:p>
    <w:p w14:paraId="30B56789" w14:textId="0703018C" w:rsidR="004E43C9" w:rsidRPr="0094533F" w:rsidRDefault="006A2C62" w:rsidP="004C4558">
      <w:pPr>
        <w:spacing w:after="360"/>
        <w:jc w:val="center"/>
        <w:rPr>
          <w:rFonts w:ascii="Arial" w:hAnsi="Arial" w:cs="Arial"/>
          <w:bCs/>
          <w:sz w:val="24"/>
          <w:u w:val="single"/>
          <w:lang w:val="fr-FR"/>
        </w:rPr>
      </w:pPr>
      <w:r w:rsidRPr="0094533F">
        <w:rPr>
          <w:rFonts w:ascii="Arial" w:eastAsiaTheme="majorEastAsia" w:hAnsi="Arial" w:cs="Arial"/>
          <w:iCs/>
          <w:sz w:val="24"/>
          <w:lang w:val="fr-FR"/>
        </w:rPr>
        <w:t xml:space="preserve">la mise en œuvre </w:t>
      </w:r>
      <w:r w:rsidR="001A0CD8" w:rsidRPr="0094533F">
        <w:rPr>
          <w:rFonts w:ascii="Arial" w:eastAsiaTheme="majorEastAsia" w:hAnsi="Arial" w:cs="Arial"/>
          <w:iCs/>
          <w:sz w:val="24"/>
          <w:lang w:val="fr-FR"/>
        </w:rPr>
        <w:t>plus large</w:t>
      </w:r>
      <w:r w:rsidRPr="0094533F">
        <w:rPr>
          <w:rFonts w:ascii="Arial" w:eastAsiaTheme="majorEastAsia" w:hAnsi="Arial" w:cs="Arial"/>
          <w:iCs/>
          <w:sz w:val="24"/>
          <w:lang w:val="fr-FR"/>
        </w:rPr>
        <w:t xml:space="preserve"> de l’article 18 de la convention de 2003</w:t>
      </w:r>
    </w:p>
    <w:tbl>
      <w:tblPr>
        <w:tblStyle w:val="TableauGrille4-Accentuation1"/>
        <w:tblpPr w:leftFromText="141" w:rightFromText="141" w:vertAnchor="page" w:horzAnchor="margin" w:tblpXSpec="center" w:tblpY="2881"/>
        <w:tblW w:w="9351" w:type="dxa"/>
        <w:tblLook w:val="04A0" w:firstRow="1" w:lastRow="0" w:firstColumn="1" w:lastColumn="0" w:noHBand="0" w:noVBand="1"/>
      </w:tblPr>
      <w:tblGrid>
        <w:gridCol w:w="2405"/>
        <w:gridCol w:w="3473"/>
        <w:gridCol w:w="3473"/>
      </w:tblGrid>
      <w:tr w:rsidR="004012C0" w:rsidRPr="0094533F" w14:paraId="2F6BC8F0" w14:textId="77777777" w:rsidTr="00BF1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A51C019" w14:textId="77777777" w:rsidR="004E43C9" w:rsidRPr="0094533F" w:rsidRDefault="006A2C62">
            <w:pPr>
              <w:spacing w:after="0"/>
              <w:jc w:val="center"/>
              <w:rPr>
                <w:rFonts w:ascii="Arial" w:hAnsi="Arial" w:cs="Arial"/>
                <w:szCs w:val="22"/>
                <w:lang w:val="fr-FR"/>
              </w:rPr>
            </w:pPr>
            <w:r w:rsidRPr="0094533F">
              <w:rPr>
                <w:rFonts w:ascii="Arial" w:hAnsi="Arial" w:cs="Arial"/>
                <w:szCs w:val="22"/>
                <w:lang w:val="fr-FR"/>
              </w:rPr>
              <w:t>ANNÉE</w:t>
            </w:r>
          </w:p>
        </w:tc>
        <w:tc>
          <w:tcPr>
            <w:tcW w:w="3473" w:type="dxa"/>
          </w:tcPr>
          <w:p w14:paraId="6D4343F0" w14:textId="77777777" w:rsidR="004E43C9" w:rsidRPr="0094533F" w:rsidRDefault="006A2C6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fr-FR"/>
              </w:rPr>
            </w:pPr>
            <w:r w:rsidRPr="0094533F">
              <w:rPr>
                <w:rFonts w:ascii="Arial" w:hAnsi="Arial" w:cs="Arial"/>
                <w:szCs w:val="22"/>
                <w:lang w:val="fr-FR"/>
              </w:rPr>
              <w:t>RÉUNION</w:t>
            </w:r>
          </w:p>
        </w:tc>
        <w:tc>
          <w:tcPr>
            <w:tcW w:w="3473" w:type="dxa"/>
          </w:tcPr>
          <w:p w14:paraId="48924B9E" w14:textId="77777777" w:rsidR="004E43C9" w:rsidRPr="0094533F" w:rsidRDefault="006A2C6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fr-FR"/>
              </w:rPr>
            </w:pPr>
            <w:r w:rsidRPr="0094533F">
              <w:rPr>
                <w:rFonts w:ascii="Arial" w:hAnsi="Arial" w:cs="Arial"/>
                <w:szCs w:val="22"/>
                <w:lang w:val="fr-FR"/>
              </w:rPr>
              <w:t>NOTE</w:t>
            </w:r>
          </w:p>
        </w:tc>
      </w:tr>
      <w:tr w:rsidR="009C4B9C" w:rsidRPr="0094533F" w14:paraId="528EB01C" w14:textId="77777777" w:rsidTr="00BF1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CCFB314" w14:textId="408C948D" w:rsidR="007E70C6" w:rsidRPr="0094533F" w:rsidRDefault="006A2C62">
            <w:pPr>
              <w:spacing w:after="0"/>
              <w:jc w:val="center"/>
              <w:rPr>
                <w:rFonts w:ascii="Arial" w:hAnsi="Arial" w:cs="Arial"/>
                <w:b w:val="0"/>
                <w:bCs w:val="0"/>
                <w:szCs w:val="22"/>
                <w:lang w:val="fr-FR"/>
              </w:rPr>
            </w:pPr>
            <w:r w:rsidRPr="0094533F">
              <w:rPr>
                <w:rFonts w:ascii="Arial" w:hAnsi="Arial" w:cs="Arial"/>
                <w:szCs w:val="22"/>
                <w:lang w:val="fr-FR"/>
              </w:rPr>
              <w:t xml:space="preserve">13 au </w:t>
            </w:r>
            <w:r w:rsidR="007E70C6" w:rsidRPr="0094533F">
              <w:rPr>
                <w:rFonts w:ascii="Arial" w:hAnsi="Arial" w:cs="Arial"/>
                <w:szCs w:val="22"/>
                <w:lang w:val="fr-FR"/>
              </w:rPr>
              <w:t>18 </w:t>
            </w:r>
            <w:r w:rsidRPr="0094533F">
              <w:rPr>
                <w:rFonts w:ascii="Arial" w:hAnsi="Arial" w:cs="Arial"/>
                <w:szCs w:val="22"/>
                <w:lang w:val="fr-FR"/>
              </w:rPr>
              <w:t>décembre 2021</w:t>
            </w:r>
          </w:p>
          <w:p w14:paraId="55085F2D" w14:textId="47160F29" w:rsidR="004E43C9" w:rsidRPr="004C4558" w:rsidRDefault="007E70C6">
            <w:pPr>
              <w:spacing w:after="0"/>
              <w:jc w:val="center"/>
              <w:rPr>
                <w:rFonts w:ascii="Arial" w:hAnsi="Arial" w:cs="Arial"/>
                <w:b w:val="0"/>
                <w:bCs w:val="0"/>
                <w:szCs w:val="22"/>
                <w:lang w:val="fr-FR"/>
              </w:rPr>
            </w:pPr>
            <w:r w:rsidRPr="0094533F">
              <w:rPr>
                <w:rFonts w:ascii="Arial" w:hAnsi="Arial" w:cs="Arial"/>
                <w:szCs w:val="22"/>
                <w:lang w:val="fr-FR"/>
              </w:rPr>
              <w:t>(En ligne)</w:t>
            </w:r>
          </w:p>
        </w:tc>
        <w:tc>
          <w:tcPr>
            <w:tcW w:w="3473" w:type="dxa"/>
            <w:vAlign w:val="center"/>
          </w:tcPr>
          <w:p w14:paraId="3D381FD5" w14:textId="77777777" w:rsidR="004E43C9" w:rsidRPr="0094533F" w:rsidRDefault="006A2C6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fr-FR"/>
              </w:rPr>
            </w:pPr>
            <w:r w:rsidRPr="0094533F">
              <w:rPr>
                <w:rFonts w:ascii="Arial" w:hAnsi="Arial" w:cs="Arial"/>
                <w:szCs w:val="22"/>
                <w:lang w:val="fr-FR"/>
              </w:rPr>
              <w:t>Seizième session du Comité (</w:t>
            </w:r>
            <w:r w:rsidR="009C4B9C" w:rsidRPr="0094533F">
              <w:rPr>
                <w:rFonts w:ascii="Arial" w:hAnsi="Arial" w:cs="Arial"/>
                <w:szCs w:val="22"/>
                <w:lang w:val="fr-FR"/>
              </w:rPr>
              <w:t>16.COM</w:t>
            </w:r>
            <w:r w:rsidRPr="0094533F">
              <w:rPr>
                <w:rFonts w:ascii="Arial" w:hAnsi="Arial" w:cs="Arial"/>
                <w:szCs w:val="22"/>
                <w:lang w:val="fr-FR"/>
              </w:rPr>
              <w:t>)</w:t>
            </w:r>
          </w:p>
        </w:tc>
        <w:tc>
          <w:tcPr>
            <w:tcW w:w="3473" w:type="dxa"/>
            <w:vAlign w:val="center"/>
          </w:tcPr>
          <w:p w14:paraId="2D2A0A18" w14:textId="77777777" w:rsidR="004E43C9" w:rsidRPr="0094533F" w:rsidRDefault="006A2C6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fr-FR"/>
              </w:rPr>
            </w:pPr>
            <w:r w:rsidRPr="0094533F">
              <w:rPr>
                <w:rFonts w:ascii="Arial" w:hAnsi="Arial" w:cs="Arial"/>
                <w:szCs w:val="22"/>
                <w:lang w:val="fr-FR"/>
              </w:rPr>
              <w:t>Initiation de la réflexion</w:t>
            </w:r>
          </w:p>
          <w:p w14:paraId="40D1FAC8" w14:textId="6C2BAAD4" w:rsidR="004E43C9" w:rsidRPr="0094533F" w:rsidRDefault="007E70C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fr-FR"/>
              </w:rPr>
            </w:pPr>
            <w:r w:rsidRPr="0094533F">
              <w:rPr>
                <w:rFonts w:ascii="Arial" w:hAnsi="Arial" w:cs="Arial"/>
                <w:szCs w:val="22"/>
                <w:lang w:val="fr-FR"/>
              </w:rPr>
              <w:t>d</w:t>
            </w:r>
            <w:r w:rsidR="006A2C62" w:rsidRPr="0094533F">
              <w:rPr>
                <w:rFonts w:ascii="Arial" w:hAnsi="Arial" w:cs="Arial"/>
                <w:szCs w:val="22"/>
                <w:lang w:val="fr-FR"/>
              </w:rPr>
              <w:t xml:space="preserve">écision </w:t>
            </w:r>
            <w:hyperlink r:id="rId28" w:history="1">
              <w:r w:rsidR="006A2C62" w:rsidRPr="0094533F">
                <w:rPr>
                  <w:rStyle w:val="Lienhypertexte"/>
                  <w:rFonts w:ascii="Arial" w:hAnsi="Arial" w:cs="Arial"/>
                  <w:szCs w:val="22"/>
                  <w:lang w:val="fr-FR"/>
                </w:rPr>
                <w:t>16.COM</w:t>
              </w:r>
              <w:r w:rsidR="00613B1A" w:rsidRPr="0094533F">
                <w:rPr>
                  <w:rStyle w:val="Lienhypertexte"/>
                  <w:rFonts w:ascii="Arial" w:hAnsi="Arial" w:cs="Arial"/>
                  <w:szCs w:val="22"/>
                  <w:lang w:val="fr-FR"/>
                </w:rPr>
                <w:t> </w:t>
              </w:r>
              <w:r w:rsidR="006A2C62" w:rsidRPr="0094533F">
                <w:rPr>
                  <w:rStyle w:val="Lienhypertexte"/>
                  <w:rFonts w:ascii="Arial" w:hAnsi="Arial" w:cs="Arial"/>
                  <w:szCs w:val="22"/>
                  <w:lang w:val="fr-FR"/>
                </w:rPr>
                <w:t>14</w:t>
              </w:r>
            </w:hyperlink>
          </w:p>
        </w:tc>
      </w:tr>
      <w:tr w:rsidR="009C4B9C" w:rsidRPr="0094533F" w14:paraId="6F76E505" w14:textId="77777777" w:rsidTr="00BF14D6">
        <w:trPr>
          <w:trHeight w:val="1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15E55411" w14:textId="62457D67" w:rsidR="007E70C6" w:rsidRPr="0094533F" w:rsidRDefault="006A2C62">
            <w:pPr>
              <w:spacing w:after="0"/>
              <w:jc w:val="center"/>
              <w:rPr>
                <w:rFonts w:ascii="Arial" w:hAnsi="Arial" w:cs="Arial"/>
                <w:b w:val="0"/>
                <w:bCs w:val="0"/>
                <w:szCs w:val="22"/>
                <w:lang w:val="fr-FR"/>
              </w:rPr>
            </w:pPr>
            <w:r w:rsidRPr="0094533F">
              <w:rPr>
                <w:rFonts w:ascii="Arial" w:hAnsi="Arial" w:cs="Arial"/>
                <w:szCs w:val="22"/>
                <w:lang w:val="fr-FR"/>
              </w:rPr>
              <w:t>5 au 7 juillet 2022,</w:t>
            </w:r>
          </w:p>
          <w:p w14:paraId="4706F9C3" w14:textId="50EC577E" w:rsidR="004E43C9" w:rsidRPr="0094533F" w:rsidRDefault="006A2C62">
            <w:pPr>
              <w:spacing w:after="0"/>
              <w:jc w:val="center"/>
              <w:rPr>
                <w:rFonts w:ascii="Arial" w:hAnsi="Arial" w:cs="Arial"/>
                <w:szCs w:val="22"/>
                <w:lang w:val="fr-FR"/>
              </w:rPr>
            </w:pPr>
            <w:r w:rsidRPr="0094533F">
              <w:rPr>
                <w:rFonts w:ascii="Arial" w:hAnsi="Arial" w:cs="Arial"/>
                <w:szCs w:val="22"/>
                <w:lang w:val="fr-FR"/>
              </w:rPr>
              <w:t>(Siège de l’UNESCO)</w:t>
            </w:r>
          </w:p>
        </w:tc>
        <w:tc>
          <w:tcPr>
            <w:tcW w:w="3473" w:type="dxa"/>
            <w:vAlign w:val="center"/>
          </w:tcPr>
          <w:p w14:paraId="71A894A4" w14:textId="1D849F74" w:rsidR="004E43C9" w:rsidRPr="0094533F" w:rsidRDefault="006A2C6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fr-FR"/>
              </w:rPr>
            </w:pPr>
            <w:r w:rsidRPr="0094533F">
              <w:rPr>
                <w:rFonts w:ascii="Arial" w:hAnsi="Arial" w:cs="Arial"/>
                <w:szCs w:val="22"/>
                <w:lang w:val="fr-FR"/>
              </w:rPr>
              <w:t>Neuvième session de l’Assemblée générale (</w:t>
            </w:r>
            <w:r w:rsidR="009C4B9C" w:rsidRPr="0094533F">
              <w:rPr>
                <w:rFonts w:ascii="Arial" w:hAnsi="Arial" w:cs="Arial"/>
                <w:szCs w:val="22"/>
                <w:lang w:val="fr-FR"/>
              </w:rPr>
              <w:t>9.GA</w:t>
            </w:r>
            <w:r w:rsidRPr="0094533F">
              <w:rPr>
                <w:rFonts w:ascii="Arial" w:hAnsi="Arial" w:cs="Arial"/>
                <w:szCs w:val="22"/>
                <w:lang w:val="fr-FR"/>
              </w:rPr>
              <w:t>)</w:t>
            </w:r>
          </w:p>
        </w:tc>
        <w:tc>
          <w:tcPr>
            <w:tcW w:w="3473" w:type="dxa"/>
            <w:vAlign w:val="center"/>
          </w:tcPr>
          <w:p w14:paraId="6B5B3982" w14:textId="24758BB2" w:rsidR="004E43C9" w:rsidRPr="0094533F" w:rsidRDefault="00613B1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fr-FR"/>
              </w:rPr>
            </w:pPr>
            <w:r w:rsidRPr="0094533F">
              <w:rPr>
                <w:rFonts w:ascii="Arial" w:hAnsi="Arial" w:cs="Arial"/>
                <w:szCs w:val="22"/>
                <w:lang w:val="fr-FR"/>
              </w:rPr>
              <w:t xml:space="preserve">Prenant </w:t>
            </w:r>
            <w:r w:rsidR="006A2C62" w:rsidRPr="0094533F">
              <w:rPr>
                <w:rFonts w:ascii="Arial" w:hAnsi="Arial" w:cs="Arial"/>
                <w:szCs w:val="22"/>
                <w:lang w:val="fr-FR"/>
              </w:rPr>
              <w:t>note de la réflexion</w:t>
            </w:r>
          </w:p>
          <w:p w14:paraId="25BA19A7" w14:textId="1EE8B1F6" w:rsidR="004E43C9" w:rsidRPr="0094533F" w:rsidRDefault="007E70C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fr-FR"/>
              </w:rPr>
            </w:pPr>
            <w:r w:rsidRPr="0094533F">
              <w:rPr>
                <w:rFonts w:ascii="Arial" w:hAnsi="Arial" w:cs="Arial"/>
                <w:szCs w:val="22"/>
                <w:lang w:val="fr-FR"/>
              </w:rPr>
              <w:t>r</w:t>
            </w:r>
            <w:r w:rsidR="006A2C62" w:rsidRPr="0094533F">
              <w:rPr>
                <w:rFonts w:ascii="Arial" w:hAnsi="Arial" w:cs="Arial"/>
                <w:szCs w:val="22"/>
                <w:lang w:val="fr-FR"/>
              </w:rPr>
              <w:t xml:space="preserve">ésolution </w:t>
            </w:r>
            <w:hyperlink r:id="rId29" w:history="1">
              <w:r w:rsidR="006A2C62" w:rsidRPr="0094533F">
                <w:rPr>
                  <w:rStyle w:val="Lienhypertexte"/>
                  <w:rFonts w:ascii="Arial" w:hAnsi="Arial" w:cs="Arial"/>
                  <w:szCs w:val="22"/>
                  <w:lang w:val="fr-FR"/>
                </w:rPr>
                <w:t>9.GA</w:t>
              </w:r>
              <w:r w:rsidR="00613B1A" w:rsidRPr="0094533F">
                <w:rPr>
                  <w:rStyle w:val="Lienhypertexte"/>
                  <w:rFonts w:ascii="Arial" w:hAnsi="Arial" w:cs="Arial"/>
                  <w:szCs w:val="22"/>
                  <w:lang w:val="fr-FR"/>
                </w:rPr>
                <w:t> </w:t>
              </w:r>
              <w:r w:rsidR="006A2C62" w:rsidRPr="0094533F">
                <w:rPr>
                  <w:rStyle w:val="Lienhypertexte"/>
                  <w:rFonts w:ascii="Arial" w:hAnsi="Arial" w:cs="Arial"/>
                  <w:szCs w:val="22"/>
                  <w:lang w:val="fr-FR"/>
                </w:rPr>
                <w:t>9</w:t>
              </w:r>
            </w:hyperlink>
          </w:p>
        </w:tc>
      </w:tr>
      <w:tr w:rsidR="004012C0" w:rsidRPr="0094533F" w14:paraId="56C959CD" w14:textId="77777777" w:rsidTr="00BF1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1EF74A27" w14:textId="55FAE6E8" w:rsidR="004E43C9" w:rsidRPr="0094533F" w:rsidRDefault="00183965">
            <w:pPr>
              <w:spacing w:after="0"/>
              <w:jc w:val="center"/>
              <w:rPr>
                <w:rFonts w:ascii="Arial" w:hAnsi="Arial" w:cs="Arial"/>
                <w:b w:val="0"/>
                <w:bCs w:val="0"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fr-FR"/>
              </w:rPr>
              <w:t xml:space="preserve">28 novembre au </w:t>
            </w:r>
            <w:r w:rsidR="006A2C62" w:rsidRPr="0094533F">
              <w:rPr>
                <w:rFonts w:ascii="Arial" w:hAnsi="Arial" w:cs="Arial"/>
                <w:szCs w:val="22"/>
                <w:lang w:val="fr-FR"/>
              </w:rPr>
              <w:t>3</w:t>
            </w:r>
            <w:r w:rsidR="00BF14D6">
              <w:rPr>
                <w:rFonts w:ascii="Arial" w:hAnsi="Arial" w:cs="Arial"/>
                <w:szCs w:val="22"/>
                <w:lang w:val="fr-FR"/>
              </w:rPr>
              <w:t> </w:t>
            </w:r>
            <w:r w:rsidR="006A2C62" w:rsidRPr="0094533F">
              <w:rPr>
                <w:rFonts w:ascii="Arial" w:hAnsi="Arial" w:cs="Arial"/>
                <w:szCs w:val="22"/>
                <w:lang w:val="fr-FR"/>
              </w:rPr>
              <w:t>décembre 2022</w:t>
            </w:r>
          </w:p>
          <w:p w14:paraId="0FE46A46" w14:textId="77777777" w:rsidR="004E43C9" w:rsidRPr="0094533F" w:rsidRDefault="006A2C62">
            <w:pPr>
              <w:spacing w:after="0"/>
              <w:jc w:val="center"/>
              <w:rPr>
                <w:rFonts w:ascii="Arial" w:hAnsi="Arial" w:cs="Arial"/>
                <w:b w:val="0"/>
                <w:bCs w:val="0"/>
                <w:szCs w:val="22"/>
                <w:lang w:val="fr-FR"/>
              </w:rPr>
            </w:pPr>
            <w:r w:rsidRPr="0094533F">
              <w:rPr>
                <w:rFonts w:ascii="Arial" w:hAnsi="Arial" w:cs="Arial"/>
                <w:szCs w:val="22"/>
                <w:lang w:val="fr-FR"/>
              </w:rPr>
              <w:t>(Rabat, Royaume du Maroc)</w:t>
            </w:r>
          </w:p>
        </w:tc>
        <w:tc>
          <w:tcPr>
            <w:tcW w:w="3473" w:type="dxa"/>
            <w:vAlign w:val="center"/>
          </w:tcPr>
          <w:p w14:paraId="48CDCA6F" w14:textId="77777777" w:rsidR="004E43C9" w:rsidRPr="0094533F" w:rsidRDefault="006A2C6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fr-FR"/>
              </w:rPr>
            </w:pPr>
            <w:r w:rsidRPr="0094533F">
              <w:rPr>
                <w:rFonts w:ascii="Arial" w:hAnsi="Arial" w:cs="Arial"/>
                <w:szCs w:val="22"/>
                <w:lang w:val="fr-FR"/>
              </w:rPr>
              <w:t>Dix-septième session du Comité (</w:t>
            </w:r>
            <w:r w:rsidR="004012C0" w:rsidRPr="0094533F">
              <w:rPr>
                <w:rFonts w:ascii="Arial" w:hAnsi="Arial" w:cs="Arial"/>
                <w:szCs w:val="22"/>
                <w:lang w:val="fr-FR"/>
              </w:rPr>
              <w:t>17.COM</w:t>
            </w:r>
            <w:r w:rsidRPr="0094533F">
              <w:rPr>
                <w:rFonts w:ascii="Arial" w:hAnsi="Arial" w:cs="Arial"/>
                <w:szCs w:val="22"/>
                <w:lang w:val="fr-FR"/>
              </w:rPr>
              <w:t>)</w:t>
            </w:r>
          </w:p>
        </w:tc>
        <w:tc>
          <w:tcPr>
            <w:tcW w:w="3473" w:type="dxa"/>
            <w:vAlign w:val="center"/>
          </w:tcPr>
          <w:p w14:paraId="19DBD759" w14:textId="77777777" w:rsidR="004E43C9" w:rsidRPr="0094533F" w:rsidRDefault="006A2C6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fr-FR"/>
              </w:rPr>
            </w:pPr>
            <w:r w:rsidRPr="0094533F">
              <w:rPr>
                <w:rFonts w:ascii="Arial" w:hAnsi="Arial" w:cs="Arial"/>
                <w:szCs w:val="22"/>
                <w:lang w:val="fr-FR"/>
              </w:rPr>
              <w:t>Discussion intergouvernementale préliminaire pour identifier les sujets de réflexion</w:t>
            </w:r>
          </w:p>
          <w:p w14:paraId="21E12EB3" w14:textId="0CF8B299" w:rsidR="004E43C9" w:rsidRPr="004C4558" w:rsidRDefault="006A2C6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fr-FR"/>
              </w:rPr>
            </w:pPr>
            <w:r w:rsidRPr="004C4558">
              <w:rPr>
                <w:rFonts w:ascii="Arial" w:hAnsi="Arial" w:cs="Arial"/>
                <w:szCs w:val="22"/>
                <w:lang w:val="fr-FR"/>
              </w:rPr>
              <w:t>[</w:t>
            </w:r>
            <w:r w:rsidR="007E70C6" w:rsidRPr="0094533F">
              <w:rPr>
                <w:rFonts w:ascii="Arial" w:hAnsi="Arial" w:cs="Arial"/>
                <w:szCs w:val="22"/>
                <w:lang w:val="fr-FR"/>
              </w:rPr>
              <w:t>d</w:t>
            </w:r>
            <w:r w:rsidRPr="004C4558">
              <w:rPr>
                <w:rFonts w:ascii="Arial" w:hAnsi="Arial" w:cs="Arial"/>
                <w:szCs w:val="22"/>
                <w:lang w:val="fr-FR"/>
              </w:rPr>
              <w:t>écision 17.COM</w:t>
            </w:r>
            <w:r w:rsidR="005412A4">
              <w:rPr>
                <w:rFonts w:ascii="Arial" w:hAnsi="Arial" w:cs="Arial"/>
                <w:szCs w:val="22"/>
                <w:lang w:val="fr-FR"/>
              </w:rPr>
              <w:t> </w:t>
            </w:r>
            <w:r w:rsidRPr="004C4558">
              <w:rPr>
                <w:rFonts w:ascii="Arial" w:hAnsi="Arial" w:cs="Arial"/>
                <w:szCs w:val="22"/>
                <w:lang w:val="fr-FR"/>
              </w:rPr>
              <w:t>12]</w:t>
            </w:r>
          </w:p>
        </w:tc>
      </w:tr>
      <w:tr w:rsidR="004012C0" w:rsidRPr="004C4558" w14:paraId="7A3F8C4A" w14:textId="77777777" w:rsidTr="00BF14D6">
        <w:trPr>
          <w:trHeight w:val="1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0586DFF9" w14:textId="77777777" w:rsidR="004E43C9" w:rsidRPr="004C4558" w:rsidRDefault="006A2C62">
            <w:pPr>
              <w:spacing w:after="0"/>
              <w:jc w:val="center"/>
              <w:rPr>
                <w:rFonts w:ascii="Arial" w:hAnsi="Arial" w:cs="Arial"/>
                <w:szCs w:val="22"/>
                <w:lang w:val="fr-FR"/>
              </w:rPr>
            </w:pPr>
            <w:r w:rsidRPr="004C4558">
              <w:rPr>
                <w:rFonts w:ascii="Arial" w:hAnsi="Arial" w:cs="Arial"/>
                <w:szCs w:val="22"/>
                <w:lang w:val="fr-FR"/>
              </w:rPr>
              <w:t>Premier semestre 2023</w:t>
            </w:r>
          </w:p>
        </w:tc>
        <w:tc>
          <w:tcPr>
            <w:tcW w:w="3473" w:type="dxa"/>
            <w:vAlign w:val="center"/>
          </w:tcPr>
          <w:p w14:paraId="224B0669" w14:textId="64005A0B" w:rsidR="004E43C9" w:rsidRPr="0094533F" w:rsidRDefault="006A2C6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fr-FR"/>
              </w:rPr>
            </w:pPr>
            <w:r w:rsidRPr="0094533F">
              <w:rPr>
                <w:rFonts w:ascii="Arial" w:hAnsi="Arial" w:cs="Arial"/>
                <w:szCs w:val="22"/>
                <w:lang w:val="fr-FR"/>
              </w:rPr>
              <w:t>Réunion d’experts de catégorie</w:t>
            </w:r>
            <w:r w:rsidR="00BF14D6">
              <w:rPr>
                <w:rFonts w:ascii="Arial" w:hAnsi="Arial" w:cs="Arial"/>
                <w:szCs w:val="22"/>
                <w:lang w:val="fr-FR"/>
              </w:rPr>
              <w:t> </w:t>
            </w:r>
            <w:r w:rsidRPr="0094533F">
              <w:rPr>
                <w:rFonts w:ascii="Arial" w:hAnsi="Arial" w:cs="Arial"/>
                <w:szCs w:val="22"/>
                <w:lang w:val="fr-FR"/>
              </w:rPr>
              <w:t>VI</w:t>
            </w:r>
          </w:p>
        </w:tc>
        <w:tc>
          <w:tcPr>
            <w:tcW w:w="3473" w:type="dxa"/>
            <w:vAlign w:val="center"/>
          </w:tcPr>
          <w:p w14:paraId="3341B167" w14:textId="22AED1C6" w:rsidR="004E43C9" w:rsidRPr="0094533F" w:rsidRDefault="006A2C6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fr-FR"/>
              </w:rPr>
            </w:pPr>
            <w:r w:rsidRPr="0094533F">
              <w:rPr>
                <w:rFonts w:ascii="Arial" w:hAnsi="Arial" w:cs="Arial"/>
                <w:szCs w:val="22"/>
                <w:lang w:val="fr-FR"/>
              </w:rPr>
              <w:t xml:space="preserve">Discussion technique pour </w:t>
            </w:r>
            <w:r w:rsidR="00613B1A" w:rsidRPr="0094533F">
              <w:rPr>
                <w:rFonts w:ascii="Arial" w:hAnsi="Arial" w:cs="Arial"/>
                <w:szCs w:val="22"/>
                <w:lang w:val="fr-FR"/>
              </w:rPr>
              <w:t xml:space="preserve">établir </w:t>
            </w:r>
            <w:r w:rsidRPr="0094533F">
              <w:rPr>
                <w:rFonts w:ascii="Arial" w:hAnsi="Arial" w:cs="Arial"/>
                <w:szCs w:val="22"/>
                <w:lang w:val="fr-FR"/>
              </w:rPr>
              <w:t>les bases d’une discussion intergouvernementale</w:t>
            </w:r>
          </w:p>
        </w:tc>
      </w:tr>
      <w:tr w:rsidR="004012C0" w:rsidRPr="004C4558" w14:paraId="19ABEE45" w14:textId="77777777" w:rsidTr="00BF1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2F5E4D9" w14:textId="77777777" w:rsidR="004E43C9" w:rsidRPr="004C4558" w:rsidRDefault="006A2C62">
            <w:pPr>
              <w:spacing w:after="0"/>
              <w:jc w:val="center"/>
              <w:rPr>
                <w:rFonts w:ascii="Arial" w:hAnsi="Arial" w:cs="Arial"/>
                <w:szCs w:val="22"/>
                <w:lang w:val="fr-FR"/>
              </w:rPr>
            </w:pPr>
            <w:r w:rsidRPr="004C4558">
              <w:rPr>
                <w:rFonts w:ascii="Arial" w:hAnsi="Arial" w:cs="Arial"/>
                <w:szCs w:val="22"/>
                <w:lang w:val="fr-FR"/>
              </w:rPr>
              <w:t>Second semestre 2023</w:t>
            </w:r>
          </w:p>
        </w:tc>
        <w:tc>
          <w:tcPr>
            <w:tcW w:w="3473" w:type="dxa"/>
            <w:vAlign w:val="center"/>
          </w:tcPr>
          <w:p w14:paraId="5E593D4F" w14:textId="77777777" w:rsidR="004E43C9" w:rsidRPr="0094533F" w:rsidRDefault="006A2C6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fr-FR"/>
              </w:rPr>
            </w:pPr>
            <w:r w:rsidRPr="0094533F">
              <w:rPr>
                <w:rFonts w:ascii="Arial" w:hAnsi="Arial" w:cs="Arial"/>
                <w:szCs w:val="22"/>
                <w:lang w:val="fr-FR"/>
              </w:rPr>
              <w:t>Groupe de travail intergouvernemental à composition non limitée</w:t>
            </w:r>
          </w:p>
        </w:tc>
        <w:tc>
          <w:tcPr>
            <w:tcW w:w="3473" w:type="dxa"/>
            <w:vAlign w:val="center"/>
          </w:tcPr>
          <w:p w14:paraId="2091EFDE" w14:textId="27B25972" w:rsidR="004E43C9" w:rsidRPr="0094533F" w:rsidRDefault="004012C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fr-FR"/>
              </w:rPr>
            </w:pPr>
            <w:r w:rsidRPr="0094533F">
              <w:rPr>
                <w:rFonts w:ascii="Arial" w:hAnsi="Arial" w:cs="Arial"/>
                <w:szCs w:val="22"/>
                <w:lang w:val="fr-FR"/>
              </w:rPr>
              <w:t>Discussion intergouvernementale et accord sur d</w:t>
            </w:r>
            <w:r w:rsidR="006A2C62" w:rsidRPr="0094533F">
              <w:rPr>
                <w:rFonts w:ascii="Arial" w:hAnsi="Arial" w:cs="Arial"/>
                <w:szCs w:val="22"/>
                <w:lang w:val="fr-FR"/>
              </w:rPr>
              <w:t xml:space="preserve">’éventuels </w:t>
            </w:r>
            <w:r w:rsidRPr="0094533F">
              <w:rPr>
                <w:rFonts w:ascii="Arial" w:hAnsi="Arial" w:cs="Arial"/>
                <w:szCs w:val="22"/>
                <w:lang w:val="fr-FR"/>
              </w:rPr>
              <w:t xml:space="preserve">amendements aux </w:t>
            </w:r>
            <w:r w:rsidR="00613B1A" w:rsidRPr="0094533F">
              <w:rPr>
                <w:rFonts w:ascii="Arial" w:hAnsi="Arial" w:cs="Arial"/>
                <w:szCs w:val="22"/>
                <w:lang w:val="fr-FR"/>
              </w:rPr>
              <w:t>D</w:t>
            </w:r>
            <w:r w:rsidRPr="0094533F">
              <w:rPr>
                <w:rFonts w:ascii="Arial" w:hAnsi="Arial" w:cs="Arial"/>
                <w:szCs w:val="22"/>
                <w:lang w:val="fr-FR"/>
              </w:rPr>
              <w:t>irectives opérationnelles</w:t>
            </w:r>
          </w:p>
        </w:tc>
      </w:tr>
      <w:tr w:rsidR="004012C0" w:rsidRPr="004C4558" w14:paraId="4CFF539F" w14:textId="77777777" w:rsidTr="00BF14D6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3E07FA4" w14:textId="77777777" w:rsidR="004E43C9" w:rsidRPr="004C4558" w:rsidRDefault="006A2C62">
            <w:pPr>
              <w:spacing w:after="0"/>
              <w:jc w:val="center"/>
              <w:rPr>
                <w:rFonts w:ascii="Arial" w:hAnsi="Arial" w:cs="Arial"/>
                <w:szCs w:val="22"/>
                <w:lang w:val="fr-FR"/>
              </w:rPr>
            </w:pPr>
            <w:r w:rsidRPr="004C4558">
              <w:rPr>
                <w:rFonts w:ascii="Arial" w:hAnsi="Arial" w:cs="Arial"/>
                <w:szCs w:val="22"/>
                <w:lang w:val="fr-FR"/>
              </w:rPr>
              <w:t>Novembre/décembre 2023</w:t>
            </w:r>
          </w:p>
        </w:tc>
        <w:tc>
          <w:tcPr>
            <w:tcW w:w="3473" w:type="dxa"/>
            <w:vAlign w:val="center"/>
          </w:tcPr>
          <w:p w14:paraId="068DA7B9" w14:textId="77777777" w:rsidR="004E43C9" w:rsidRPr="0094533F" w:rsidRDefault="006A2C6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fr-FR"/>
              </w:rPr>
            </w:pPr>
            <w:r w:rsidRPr="0094533F">
              <w:rPr>
                <w:rFonts w:ascii="Arial" w:hAnsi="Arial" w:cs="Arial"/>
                <w:szCs w:val="22"/>
                <w:lang w:val="fr-FR"/>
              </w:rPr>
              <w:t>Dix-huitième session du Comité (</w:t>
            </w:r>
            <w:r w:rsidR="009C4B9C" w:rsidRPr="0094533F">
              <w:rPr>
                <w:rFonts w:ascii="Arial" w:hAnsi="Arial" w:cs="Arial"/>
                <w:szCs w:val="22"/>
                <w:lang w:val="fr-FR"/>
              </w:rPr>
              <w:t>18.COM</w:t>
            </w:r>
            <w:r w:rsidRPr="0094533F">
              <w:rPr>
                <w:rFonts w:ascii="Arial" w:hAnsi="Arial" w:cs="Arial"/>
                <w:szCs w:val="22"/>
                <w:lang w:val="fr-FR"/>
              </w:rPr>
              <w:t>)</w:t>
            </w:r>
          </w:p>
        </w:tc>
        <w:tc>
          <w:tcPr>
            <w:tcW w:w="3473" w:type="dxa"/>
            <w:vAlign w:val="center"/>
          </w:tcPr>
          <w:p w14:paraId="0368227A" w14:textId="001E2CF4" w:rsidR="004E43C9" w:rsidRPr="0094533F" w:rsidRDefault="006A2C6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fr-FR"/>
              </w:rPr>
            </w:pPr>
            <w:r w:rsidRPr="0094533F">
              <w:rPr>
                <w:rFonts w:ascii="Arial" w:hAnsi="Arial" w:cs="Arial"/>
                <w:szCs w:val="22"/>
                <w:lang w:val="fr-FR"/>
              </w:rPr>
              <w:t xml:space="preserve">Accord sur les amendements aux </w:t>
            </w:r>
            <w:r w:rsidR="00613B1A" w:rsidRPr="0094533F">
              <w:rPr>
                <w:rFonts w:ascii="Arial" w:hAnsi="Arial" w:cs="Arial"/>
                <w:szCs w:val="22"/>
                <w:lang w:val="fr-FR"/>
              </w:rPr>
              <w:t>D</w:t>
            </w:r>
            <w:r w:rsidR="00C05C83" w:rsidRPr="0094533F">
              <w:rPr>
                <w:rFonts w:ascii="Arial" w:hAnsi="Arial" w:cs="Arial"/>
                <w:szCs w:val="22"/>
                <w:lang w:val="fr-FR"/>
              </w:rPr>
              <w:t xml:space="preserve">irectives opérationnelles à </w:t>
            </w:r>
            <w:r w:rsidRPr="0094533F">
              <w:rPr>
                <w:rFonts w:ascii="Arial" w:hAnsi="Arial" w:cs="Arial"/>
                <w:szCs w:val="22"/>
                <w:lang w:val="fr-FR"/>
              </w:rPr>
              <w:t xml:space="preserve">recommander à </w:t>
            </w:r>
            <w:r w:rsidR="00C05C83" w:rsidRPr="0094533F">
              <w:rPr>
                <w:rFonts w:ascii="Arial" w:hAnsi="Arial" w:cs="Arial"/>
                <w:szCs w:val="22"/>
                <w:lang w:val="fr-FR"/>
              </w:rPr>
              <w:t xml:space="preserve">la </w:t>
            </w:r>
            <w:r w:rsidRPr="0094533F">
              <w:rPr>
                <w:rFonts w:ascii="Arial" w:hAnsi="Arial" w:cs="Arial"/>
                <w:szCs w:val="22"/>
                <w:lang w:val="fr-FR"/>
              </w:rPr>
              <w:t>10.GA</w:t>
            </w:r>
          </w:p>
        </w:tc>
      </w:tr>
      <w:tr w:rsidR="004012C0" w:rsidRPr="004C4558" w14:paraId="3796088B" w14:textId="77777777" w:rsidTr="00BF1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A37E887" w14:textId="77777777" w:rsidR="004E43C9" w:rsidRPr="004C4558" w:rsidRDefault="006A2C62">
            <w:pPr>
              <w:spacing w:after="0"/>
              <w:jc w:val="center"/>
              <w:rPr>
                <w:rFonts w:ascii="Arial" w:hAnsi="Arial" w:cs="Arial"/>
                <w:szCs w:val="22"/>
                <w:lang w:val="fr-FR"/>
              </w:rPr>
            </w:pPr>
            <w:r w:rsidRPr="004C4558">
              <w:rPr>
                <w:rFonts w:ascii="Arial" w:hAnsi="Arial" w:cs="Arial"/>
                <w:szCs w:val="22"/>
                <w:lang w:val="fr-FR"/>
              </w:rPr>
              <w:t>Juin 2024</w:t>
            </w:r>
          </w:p>
        </w:tc>
        <w:tc>
          <w:tcPr>
            <w:tcW w:w="3473" w:type="dxa"/>
            <w:vAlign w:val="center"/>
          </w:tcPr>
          <w:p w14:paraId="4DE08737" w14:textId="7FFD0ED5" w:rsidR="004E43C9" w:rsidRPr="0094533F" w:rsidRDefault="006A2C6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fr-FR"/>
              </w:rPr>
            </w:pPr>
            <w:r w:rsidRPr="0094533F">
              <w:rPr>
                <w:rFonts w:ascii="Arial" w:hAnsi="Arial" w:cs="Arial"/>
                <w:szCs w:val="22"/>
                <w:lang w:val="fr-FR"/>
              </w:rPr>
              <w:t>Dixième session de l’Assemblée générale (</w:t>
            </w:r>
            <w:r w:rsidR="00384982" w:rsidRPr="0094533F">
              <w:rPr>
                <w:rFonts w:ascii="Arial" w:hAnsi="Arial" w:cs="Arial"/>
                <w:szCs w:val="22"/>
                <w:lang w:val="fr-FR"/>
              </w:rPr>
              <w:t>10</w:t>
            </w:r>
            <w:r w:rsidR="004012C0" w:rsidRPr="0094533F">
              <w:rPr>
                <w:rFonts w:ascii="Arial" w:hAnsi="Arial" w:cs="Arial"/>
                <w:szCs w:val="22"/>
                <w:lang w:val="fr-FR"/>
              </w:rPr>
              <w:t>.GA</w:t>
            </w:r>
            <w:r w:rsidRPr="0094533F">
              <w:rPr>
                <w:rFonts w:ascii="Arial" w:hAnsi="Arial" w:cs="Arial"/>
                <w:szCs w:val="22"/>
                <w:lang w:val="fr-FR"/>
              </w:rPr>
              <w:t>)</w:t>
            </w:r>
          </w:p>
        </w:tc>
        <w:tc>
          <w:tcPr>
            <w:tcW w:w="3473" w:type="dxa"/>
            <w:vAlign w:val="center"/>
          </w:tcPr>
          <w:p w14:paraId="39B032B4" w14:textId="20AF4B82" w:rsidR="004E43C9" w:rsidRPr="0094533F" w:rsidRDefault="006A2C6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fr-FR"/>
              </w:rPr>
            </w:pPr>
            <w:r w:rsidRPr="0094533F">
              <w:rPr>
                <w:rFonts w:ascii="Arial" w:hAnsi="Arial" w:cs="Arial"/>
                <w:szCs w:val="22"/>
                <w:lang w:val="fr-FR"/>
              </w:rPr>
              <w:t>Adoption des amendements aux D</w:t>
            </w:r>
            <w:r w:rsidR="00613B1A" w:rsidRPr="0094533F">
              <w:rPr>
                <w:rFonts w:ascii="Arial" w:hAnsi="Arial" w:cs="Arial"/>
                <w:szCs w:val="22"/>
                <w:lang w:val="fr-FR"/>
              </w:rPr>
              <w:t>irectives opérationnelles</w:t>
            </w:r>
          </w:p>
        </w:tc>
      </w:tr>
    </w:tbl>
    <w:p w14:paraId="11D29E95" w14:textId="77777777" w:rsidR="004012C0" w:rsidRPr="0094533F" w:rsidRDefault="004012C0" w:rsidP="00E878E8">
      <w:pPr>
        <w:pStyle w:val="COMParaDecision"/>
        <w:numPr>
          <w:ilvl w:val="0"/>
          <w:numId w:val="0"/>
        </w:numPr>
        <w:rPr>
          <w:u w:val="none"/>
          <w:lang w:val="fr-FR"/>
        </w:rPr>
      </w:pPr>
    </w:p>
    <w:sectPr w:rsidR="004012C0" w:rsidRPr="0094533F" w:rsidSect="002938F2">
      <w:headerReference w:type="even" r:id="rId30"/>
      <w:headerReference w:type="default" r:id="rId31"/>
      <w:headerReference w:type="first" r:id="rId32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5A00" w14:textId="77777777" w:rsidR="00B50AFB" w:rsidRDefault="00B50AFB" w:rsidP="002938F2">
      <w:r>
        <w:separator/>
      </w:r>
    </w:p>
    <w:p w14:paraId="78249E45" w14:textId="77777777" w:rsidR="00B50AFB" w:rsidRDefault="00B50AFB"/>
  </w:endnote>
  <w:endnote w:type="continuationSeparator" w:id="0">
    <w:p w14:paraId="25D9B4BC" w14:textId="77777777" w:rsidR="00B50AFB" w:rsidRDefault="00B50AFB" w:rsidP="002938F2">
      <w:r>
        <w:continuationSeparator/>
      </w:r>
    </w:p>
    <w:p w14:paraId="2BF74A71" w14:textId="77777777" w:rsidR="00B50AFB" w:rsidRDefault="00B50A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64B0" w14:textId="77777777" w:rsidR="00B50AFB" w:rsidRDefault="00B50AFB" w:rsidP="00E22831">
      <w:r>
        <w:separator/>
      </w:r>
    </w:p>
  </w:footnote>
  <w:footnote w:type="continuationSeparator" w:id="0">
    <w:p w14:paraId="1069D196" w14:textId="77777777" w:rsidR="00B50AFB" w:rsidRDefault="00B50AFB" w:rsidP="00E22831">
      <w:r>
        <w:continuationSeparator/>
      </w:r>
    </w:p>
  </w:footnote>
  <w:footnote w:type="continuationNotice" w:id="1">
    <w:p w14:paraId="241D0A55" w14:textId="77777777" w:rsidR="00B50AFB" w:rsidRDefault="00B50AFB">
      <w:pPr>
        <w:spacing w:after="0"/>
      </w:pPr>
    </w:p>
  </w:footnote>
  <w:footnote w:id="2">
    <w:p w14:paraId="7D7CB479" w14:textId="76042847" w:rsidR="004E43C9" w:rsidRPr="004C4558" w:rsidRDefault="006A2C62">
      <w:pPr>
        <w:pStyle w:val="Notedebasdepage"/>
        <w:rPr>
          <w:rFonts w:asciiTheme="minorBidi" w:hAnsiTheme="minorBidi" w:cstheme="minorBidi"/>
          <w:sz w:val="18"/>
          <w:szCs w:val="18"/>
        </w:rPr>
      </w:pPr>
      <w:r w:rsidRPr="004C4558">
        <w:rPr>
          <w:rStyle w:val="Appelnotedebasdep"/>
          <w:rFonts w:asciiTheme="minorBidi" w:hAnsiTheme="minorBidi" w:cstheme="minorBidi"/>
          <w:sz w:val="18"/>
          <w:szCs w:val="18"/>
        </w:rPr>
        <w:footnoteRef/>
      </w:r>
      <w:r w:rsidRPr="004C4558">
        <w:rPr>
          <w:rFonts w:asciiTheme="minorBidi" w:hAnsiTheme="minorBidi" w:cstheme="minorBidi"/>
          <w:sz w:val="18"/>
          <w:szCs w:val="18"/>
        </w:rPr>
        <w:tab/>
      </w:r>
      <w:r w:rsidRPr="004C4558">
        <w:rPr>
          <w:rFonts w:asciiTheme="minorBidi" w:hAnsiTheme="minorBidi" w:cstheme="minorBidi"/>
          <w:noProof/>
          <w:sz w:val="18"/>
          <w:szCs w:val="18"/>
        </w:rPr>
        <w:t xml:space="preserve">Pour </w:t>
      </w:r>
      <w:r w:rsidRPr="004C4558">
        <w:rPr>
          <w:rFonts w:asciiTheme="minorBidi" w:hAnsiTheme="minorBidi" w:cstheme="minorBidi"/>
          <w:sz w:val="18"/>
          <w:szCs w:val="18"/>
        </w:rPr>
        <w:t xml:space="preserve">le résumé et le rapport de l'enquête, voir </w:t>
      </w:r>
      <w:hyperlink r:id="rId1" w:history="1">
        <w:r w:rsidRPr="004C4558">
          <w:rPr>
            <w:rStyle w:val="Lienhypertexte"/>
            <w:rFonts w:asciiTheme="minorBidi" w:hAnsiTheme="minorBidi" w:cstheme="minorBidi"/>
            <w:sz w:val="18"/>
            <w:szCs w:val="18"/>
          </w:rPr>
          <w:t>ici</w:t>
        </w:r>
      </w:hyperlink>
      <w:r w:rsidRPr="004C4558">
        <w:rPr>
          <w:rFonts w:asciiTheme="minorBidi" w:hAnsiTheme="minorBidi" w:cstheme="minorBid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C19B" w14:textId="3EA6F540" w:rsidR="004E43C9" w:rsidRDefault="006A2C62">
    <w:pPr>
      <w:pStyle w:val="En-tte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LHE/22/17</w:t>
    </w:r>
    <w:r w:rsidR="007E4E37">
      <w:rPr>
        <w:rFonts w:ascii="Arial" w:hAnsi="Arial" w:cs="Arial"/>
        <w:sz w:val="20"/>
        <w:szCs w:val="20"/>
      </w:rPr>
      <w:t>.COM/1</w:t>
    </w:r>
    <w:r w:rsidR="00AB2644">
      <w:rPr>
        <w:rFonts w:ascii="Arial" w:hAnsi="Arial" w:cs="Arial"/>
        <w:sz w:val="20"/>
        <w:szCs w:val="20"/>
      </w:rPr>
      <w:t>0</w:t>
    </w:r>
    <w:r w:rsidR="007E4E37">
      <w:rPr>
        <w:rFonts w:ascii="Arial" w:hAnsi="Arial" w:cs="Arial"/>
        <w:sz w:val="20"/>
        <w:szCs w:val="20"/>
      </w:rPr>
      <w:t xml:space="preserve"> </w:t>
    </w:r>
    <w:r w:rsidR="00B6167A" w:rsidRPr="00D81948">
      <w:rPr>
        <w:rFonts w:ascii="Arial" w:hAnsi="Arial" w:cs="Arial"/>
        <w:sz w:val="20"/>
        <w:szCs w:val="20"/>
      </w:rPr>
      <w:t xml:space="preserve">- page </w:t>
    </w:r>
    <w:r w:rsidR="00B6167A" w:rsidRPr="00D81948">
      <w:rPr>
        <w:rStyle w:val="Numrodepage"/>
        <w:rFonts w:ascii="Arial" w:hAnsi="Arial" w:cs="Arial"/>
        <w:sz w:val="20"/>
        <w:szCs w:val="20"/>
      </w:rPr>
      <w:fldChar w:fldCharType="begin"/>
    </w:r>
    <w:r w:rsidR="00B6167A" w:rsidRPr="00D81948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="00B6167A" w:rsidRPr="00D81948">
      <w:rPr>
        <w:rStyle w:val="Numrodepage"/>
        <w:rFonts w:ascii="Arial" w:hAnsi="Arial" w:cs="Arial"/>
        <w:sz w:val="20"/>
        <w:szCs w:val="20"/>
      </w:rPr>
      <w:fldChar w:fldCharType="separate"/>
    </w:r>
    <w:r w:rsidR="00570814">
      <w:rPr>
        <w:rStyle w:val="Numrodepage"/>
        <w:rFonts w:ascii="Arial" w:hAnsi="Arial" w:cs="Arial"/>
        <w:noProof/>
        <w:sz w:val="20"/>
        <w:szCs w:val="20"/>
      </w:rPr>
      <w:t>2</w:t>
    </w:r>
    <w:r w:rsidR="00B6167A" w:rsidRPr="00D81948">
      <w:rPr>
        <w:rStyle w:val="Numrodepage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22D30" w14:textId="0342CD12" w:rsidR="004E43C9" w:rsidRDefault="006A2C62">
    <w:pPr>
      <w:pStyle w:val="En-tte"/>
      <w:ind w:left="2544" w:firstLine="3828"/>
      <w:jc w:val="right"/>
      <w:rPr>
        <w:rFonts w:ascii="Arial" w:hAnsi="Arial" w:cs="Arial"/>
      </w:rPr>
    </w:pPr>
    <w:r>
      <w:rPr>
        <w:rFonts w:ascii="Arial" w:hAnsi="Arial" w:cs="Arial"/>
        <w:sz w:val="20"/>
        <w:szCs w:val="20"/>
        <w:lang w:val="en-US"/>
      </w:rPr>
      <w:t>LHE/22/17</w:t>
    </w:r>
    <w:r w:rsidR="007E4E37">
      <w:rPr>
        <w:rFonts w:ascii="Arial" w:hAnsi="Arial" w:cs="Arial"/>
        <w:sz w:val="20"/>
        <w:szCs w:val="20"/>
        <w:lang w:val="en-US"/>
      </w:rPr>
      <w:t>.COM/1</w:t>
    </w:r>
    <w:r w:rsidR="00AB2644">
      <w:rPr>
        <w:rFonts w:ascii="Arial" w:hAnsi="Arial" w:cs="Arial"/>
        <w:sz w:val="20"/>
        <w:szCs w:val="20"/>
        <w:lang w:val="en-US"/>
      </w:rPr>
      <w:t>0</w:t>
    </w:r>
    <w:r w:rsidR="007E4E37">
      <w:rPr>
        <w:rFonts w:ascii="Arial" w:hAnsi="Arial" w:cs="Arial"/>
        <w:sz w:val="20"/>
        <w:szCs w:val="20"/>
        <w:lang w:val="en-US"/>
      </w:rPr>
      <w:t xml:space="preserve"> </w:t>
    </w:r>
    <w:r w:rsidR="001E4EEB" w:rsidRPr="00EF563B">
      <w:rPr>
        <w:rFonts w:ascii="Arial" w:hAnsi="Arial" w:cs="Arial"/>
        <w:sz w:val="20"/>
        <w:szCs w:val="20"/>
        <w:lang w:val="en-US"/>
      </w:rPr>
      <w:t xml:space="preserve">- page </w:t>
    </w:r>
    <w:r w:rsidR="001E4EEB" w:rsidRPr="00EF563B">
      <w:rPr>
        <w:rStyle w:val="Numrodepage"/>
        <w:rFonts w:ascii="Arial" w:hAnsi="Arial" w:cs="Arial"/>
        <w:sz w:val="20"/>
        <w:szCs w:val="20"/>
      </w:rPr>
      <w:fldChar w:fldCharType="begin"/>
    </w:r>
    <w:r w:rsidR="001E4EEB" w:rsidRPr="00EF563B">
      <w:rPr>
        <w:rStyle w:val="Numrodepage"/>
        <w:rFonts w:ascii="Arial" w:hAnsi="Arial" w:cs="Arial"/>
        <w:sz w:val="20"/>
        <w:szCs w:val="20"/>
        <w:lang w:val="en-US"/>
      </w:rPr>
      <w:instrText xml:space="preserve"> </w:instrText>
    </w:r>
    <w:r w:rsidR="001E4EEB">
      <w:rPr>
        <w:rStyle w:val="Numrodepage"/>
        <w:rFonts w:ascii="Arial" w:hAnsi="Arial" w:cs="Arial"/>
        <w:sz w:val="20"/>
        <w:szCs w:val="20"/>
        <w:lang w:val="en-US"/>
      </w:rPr>
      <w:instrText>PAGE</w:instrText>
    </w:r>
    <w:r w:rsidR="001E4EEB" w:rsidRPr="00EF563B">
      <w:rPr>
        <w:rStyle w:val="Numrodepage"/>
        <w:rFonts w:ascii="Arial" w:hAnsi="Arial" w:cs="Arial"/>
        <w:sz w:val="20"/>
        <w:szCs w:val="20"/>
        <w:lang w:val="en-US"/>
      </w:rPr>
      <w:instrText xml:space="preserve"> </w:instrText>
    </w:r>
    <w:r w:rsidR="001E4EEB" w:rsidRPr="00EF563B">
      <w:rPr>
        <w:rStyle w:val="Numrodepage"/>
        <w:rFonts w:ascii="Arial" w:hAnsi="Arial" w:cs="Arial"/>
        <w:sz w:val="20"/>
        <w:szCs w:val="20"/>
      </w:rPr>
      <w:fldChar w:fldCharType="separate"/>
    </w:r>
    <w:r w:rsidR="00570814">
      <w:rPr>
        <w:rStyle w:val="Numrodepage"/>
        <w:rFonts w:ascii="Arial" w:hAnsi="Arial" w:cs="Arial"/>
        <w:noProof/>
        <w:sz w:val="20"/>
        <w:szCs w:val="20"/>
        <w:lang w:val="en-US"/>
      </w:rPr>
      <w:t>3</w:t>
    </w:r>
    <w:r w:rsidR="001E4EEB" w:rsidRPr="00EF563B">
      <w:rPr>
        <w:rStyle w:val="Numrodepage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5455" w14:textId="16A2257C" w:rsidR="004E43C9" w:rsidRDefault="0064601B">
    <w:pPr>
      <w:pStyle w:val="En-tte"/>
    </w:pPr>
    <w:r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59264" behindDoc="0" locked="0" layoutInCell="1" allowOverlap="1" wp14:anchorId="6584D339" wp14:editId="33A80EFE">
          <wp:simplePos x="0" y="0"/>
          <wp:positionH relativeFrom="column">
            <wp:posOffset>0</wp:posOffset>
          </wp:positionH>
          <wp:positionV relativeFrom="paragraph">
            <wp:posOffset>158750</wp:posOffset>
          </wp:positionV>
          <wp:extent cx="1657350" cy="13919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95F4CD" w14:textId="77777777" w:rsidR="004E43C9" w:rsidRDefault="00F228E9">
    <w:pPr>
      <w:pStyle w:val="En-tte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>
      <w:rPr>
        <w:rFonts w:ascii="Arial" w:hAnsi="Arial" w:cs="Arial"/>
        <w:b/>
        <w:sz w:val="44"/>
        <w:szCs w:val="44"/>
        <w:lang w:val="pt-PT"/>
      </w:rPr>
      <w:t xml:space="preserve">17 </w:t>
    </w:r>
    <w:r w:rsidR="007E4E37" w:rsidRPr="00483688">
      <w:rPr>
        <w:rFonts w:ascii="Arial" w:hAnsi="Arial" w:cs="Arial"/>
        <w:b/>
        <w:sz w:val="44"/>
        <w:szCs w:val="44"/>
        <w:lang w:val="pt-PT"/>
      </w:rPr>
      <w:t>COM</w:t>
    </w:r>
  </w:p>
  <w:p w14:paraId="37DD57F5" w14:textId="77777777" w:rsidR="004E43C9" w:rsidRDefault="006A2C62">
    <w:pPr>
      <w:spacing w:after="0"/>
      <w:jc w:val="right"/>
      <w:rPr>
        <w:rFonts w:ascii="Arial" w:hAnsi="Arial" w:cs="Arial"/>
        <w:b/>
        <w:szCs w:val="22"/>
        <w:lang w:val="pt-PT"/>
      </w:rPr>
    </w:pPr>
    <w:r w:rsidRPr="00483688">
      <w:rPr>
        <w:rFonts w:ascii="Arial" w:hAnsi="Arial" w:cs="Arial"/>
        <w:b/>
        <w:szCs w:val="22"/>
        <w:lang w:val="pt-PT"/>
      </w:rPr>
      <w:t>LHE/22/17</w:t>
    </w:r>
    <w:r w:rsidR="00B6167A" w:rsidRPr="00483688">
      <w:rPr>
        <w:rFonts w:ascii="Arial" w:hAnsi="Arial" w:cs="Arial"/>
        <w:b/>
        <w:szCs w:val="22"/>
        <w:lang w:val="pt-PT"/>
      </w:rPr>
      <w:t>.</w:t>
    </w:r>
    <w:r w:rsidR="007E4E37" w:rsidRPr="00483688">
      <w:rPr>
        <w:rFonts w:ascii="Arial" w:hAnsi="Arial" w:cs="Arial"/>
        <w:b/>
        <w:szCs w:val="22"/>
        <w:lang w:val="pt-PT"/>
      </w:rPr>
      <w:t>COM/10</w:t>
    </w:r>
  </w:p>
  <w:p w14:paraId="418412AB" w14:textId="39A7B188" w:rsidR="004E43C9" w:rsidRDefault="006A2C62">
    <w:pPr>
      <w:spacing w:after="0"/>
      <w:jc w:val="right"/>
      <w:rPr>
        <w:rFonts w:ascii="Arial" w:eastAsiaTheme="minorEastAsia" w:hAnsi="Arial" w:cs="Arial"/>
        <w:b/>
        <w:szCs w:val="22"/>
        <w:lang w:val="pt-PT" w:eastAsia="ko-KR"/>
      </w:rPr>
    </w:pPr>
    <w:r w:rsidRPr="00483688">
      <w:rPr>
        <w:rFonts w:ascii="Arial" w:hAnsi="Arial" w:cs="Arial"/>
        <w:b/>
        <w:szCs w:val="22"/>
        <w:lang w:val="pt-PT"/>
      </w:rPr>
      <w:t xml:space="preserve">Paris, </w:t>
    </w:r>
    <w:r w:rsidR="00AB2644">
      <w:rPr>
        <w:rFonts w:ascii="Arial" w:hAnsi="Arial" w:cs="Arial"/>
        <w:b/>
        <w:szCs w:val="22"/>
        <w:lang w:val="pt-PT"/>
      </w:rPr>
      <w:t xml:space="preserve">le </w:t>
    </w:r>
    <w:r w:rsidR="007667B4">
      <w:rPr>
        <w:rFonts w:ascii="Arial" w:hAnsi="Arial" w:cs="Arial"/>
        <w:b/>
        <w:szCs w:val="22"/>
        <w:lang w:val="pt-PT"/>
      </w:rPr>
      <w:t xml:space="preserve">31 octobre </w:t>
    </w:r>
    <w:r w:rsidR="00FD1941" w:rsidRPr="00483688">
      <w:rPr>
        <w:rFonts w:ascii="Arial" w:hAnsi="Arial" w:cs="Arial"/>
        <w:b/>
        <w:szCs w:val="22"/>
        <w:lang w:val="pt-PT"/>
      </w:rPr>
      <w:t>2022</w:t>
    </w:r>
  </w:p>
  <w:p w14:paraId="02CCFA99" w14:textId="7191C2F7" w:rsidR="004E43C9" w:rsidRDefault="006A2C62">
    <w:pPr>
      <w:jc w:val="right"/>
      <w:rPr>
        <w:rFonts w:ascii="Arial" w:hAnsi="Arial" w:cs="Arial"/>
        <w:b/>
        <w:szCs w:val="22"/>
      </w:rPr>
    </w:pPr>
    <w:r w:rsidRPr="00D81948">
      <w:rPr>
        <w:rFonts w:ascii="Arial" w:hAnsi="Arial" w:cs="Arial"/>
        <w:b/>
        <w:szCs w:val="22"/>
      </w:rPr>
      <w:t xml:space="preserve">Original : </w:t>
    </w:r>
    <w:r w:rsidR="0064601B">
      <w:rPr>
        <w:rFonts w:ascii="Arial" w:hAnsi="Arial" w:cs="Arial"/>
        <w:b/>
        <w:szCs w:val="22"/>
      </w:rPr>
      <w:t>a</w:t>
    </w:r>
    <w:r w:rsidR="00CD1AE4">
      <w:rPr>
        <w:rFonts w:ascii="Arial" w:hAnsi="Arial" w:cs="Arial"/>
        <w:b/>
        <w:szCs w:val="22"/>
      </w:rPr>
      <w:t>nglais</w:t>
    </w:r>
  </w:p>
  <w:p w14:paraId="0CB67635" w14:textId="77777777" w:rsidR="00B6167A" w:rsidRPr="00D81948" w:rsidRDefault="00B6167A" w:rsidP="0064601B">
    <w:pPr>
      <w:pStyle w:val="En-tte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7FDD"/>
    <w:multiLevelType w:val="hybridMultilevel"/>
    <w:tmpl w:val="CA583924"/>
    <w:lvl w:ilvl="0" w:tplc="B194ECE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1E1D6D65"/>
    <w:multiLevelType w:val="hybridMultilevel"/>
    <w:tmpl w:val="0D782164"/>
    <w:lvl w:ilvl="0" w:tplc="818A09EC">
      <w:start w:val="1"/>
      <w:numFmt w:val="bullet"/>
      <w:pStyle w:val="COMPar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C3471B"/>
    <w:multiLevelType w:val="hybridMultilevel"/>
    <w:tmpl w:val="54D2778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196BF0"/>
    <w:multiLevelType w:val="hybridMultilevel"/>
    <w:tmpl w:val="2750A7A2"/>
    <w:lvl w:ilvl="0" w:tplc="5C6E51A4">
      <w:start w:val="1"/>
      <w:numFmt w:val="decimal"/>
      <w:pStyle w:val="1GAPara"/>
      <w:lvlText w:val="%1.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26040"/>
    <w:multiLevelType w:val="hybridMultilevel"/>
    <w:tmpl w:val="7FAEBEA8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7DF2BBC"/>
    <w:multiLevelType w:val="multilevel"/>
    <w:tmpl w:val="300CC7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2BF6A42"/>
    <w:multiLevelType w:val="hybridMultilevel"/>
    <w:tmpl w:val="790674DC"/>
    <w:lvl w:ilvl="0" w:tplc="4DD6915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B8C6F86"/>
    <w:multiLevelType w:val="hybridMultilevel"/>
    <w:tmpl w:val="2C6EE282"/>
    <w:lvl w:ilvl="0" w:tplc="4752784E">
      <w:start w:val="1"/>
      <w:numFmt w:val="upperLetter"/>
      <w:pStyle w:val="COMTitleDecision"/>
      <w:lvlText w:val="%1.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7046C74"/>
    <w:multiLevelType w:val="hybridMultilevel"/>
    <w:tmpl w:val="1812E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E222AC">
      <w:start w:val="1"/>
      <w:numFmt w:val="lowerLetter"/>
      <w:pStyle w:val="Paragraphedeliste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03630"/>
    <w:multiLevelType w:val="hybridMultilevel"/>
    <w:tmpl w:val="3416BF5A"/>
    <w:lvl w:ilvl="0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6644D900">
      <w:numFmt w:val="bullet"/>
      <w:lvlText w:val=""/>
      <w:lvlJc w:val="left"/>
      <w:pPr>
        <w:ind w:left="2877" w:hanging="360"/>
      </w:pPr>
      <w:rPr>
        <w:rFonts w:ascii="Wingdings" w:eastAsia="Times New Roman" w:hAnsi="Wingdings" w:cs="Arial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2" w15:restartNumberingAfterBreak="0">
    <w:nsid w:val="630C1E78"/>
    <w:multiLevelType w:val="hybridMultilevel"/>
    <w:tmpl w:val="35A669B2"/>
    <w:lvl w:ilvl="0" w:tplc="3E3A86B0">
      <w:start w:val="1"/>
      <w:numFmt w:val="upperRoman"/>
      <w:lvlText w:val="%1."/>
      <w:lvlJc w:val="right"/>
      <w:pPr>
        <w:ind w:left="128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DA46EA7"/>
    <w:multiLevelType w:val="hybridMultilevel"/>
    <w:tmpl w:val="A310381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FF4338"/>
    <w:multiLevelType w:val="hybridMultilevel"/>
    <w:tmpl w:val="4976A3CE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2788A"/>
    <w:multiLevelType w:val="hybridMultilevel"/>
    <w:tmpl w:val="2592B212"/>
    <w:lvl w:ilvl="0" w:tplc="525E4074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AF1A39"/>
    <w:multiLevelType w:val="hybridMultilevel"/>
    <w:tmpl w:val="37C845B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14"/>
  </w:num>
  <w:num w:numId="9">
    <w:abstractNumId w:val="12"/>
  </w:num>
  <w:num w:numId="10">
    <w:abstractNumId w:val="3"/>
  </w:num>
  <w:num w:numId="11">
    <w:abstractNumId w:val="16"/>
  </w:num>
  <w:num w:numId="12">
    <w:abstractNumId w:val="2"/>
  </w:num>
  <w:num w:numId="13">
    <w:abstractNumId w:val="4"/>
  </w:num>
  <w:num w:numId="14">
    <w:abstractNumId w:val="15"/>
  </w:num>
  <w:num w:numId="15">
    <w:abstractNumId w:val="4"/>
  </w:num>
  <w:num w:numId="16">
    <w:abstractNumId w:val="6"/>
    <w:lvlOverride w:ilvl="0">
      <w:lvl w:ilvl="0">
        <w:numFmt w:val="decimal"/>
        <w:lvlText w:val="%1."/>
        <w:lvlJc w:val="left"/>
      </w:lvl>
    </w:lvlOverride>
  </w:num>
  <w:num w:numId="17">
    <w:abstractNumId w:val="4"/>
  </w:num>
  <w:num w:numId="18">
    <w:abstractNumId w:val="13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7"/>
  </w:num>
  <w:num w:numId="31">
    <w:abstractNumId w:val="4"/>
  </w:num>
  <w:num w:numId="32">
    <w:abstractNumId w:val="4"/>
  </w:num>
  <w:num w:numId="33">
    <w:abstractNumId w:val="7"/>
  </w:num>
  <w:num w:numId="34">
    <w:abstractNumId w:val="7"/>
  </w:num>
  <w:num w:numId="35">
    <w:abstractNumId w:val="4"/>
  </w:num>
  <w:num w:numId="36">
    <w:abstractNumId w:val="7"/>
  </w:num>
  <w:num w:numId="37">
    <w:abstractNumId w:val="9"/>
  </w:num>
  <w:num w:numId="38">
    <w:abstractNumId w:val="12"/>
  </w:num>
  <w:num w:numId="39">
    <w:abstractNumId w:val="12"/>
  </w:num>
  <w:num w:numId="40">
    <w:abstractNumId w:val="4"/>
  </w:num>
  <w:num w:numId="41">
    <w:abstractNumId w:val="4"/>
  </w:num>
  <w:num w:numId="42">
    <w:abstractNumId w:val="4"/>
  </w:num>
  <w:num w:numId="43">
    <w:abstractNumId w:val="10"/>
    <w:lvlOverride w:ilvl="0">
      <w:startOverride w:val="1"/>
    </w:lvlOverride>
  </w:num>
  <w:num w:numId="44">
    <w:abstractNumId w:val="10"/>
    <w:lvlOverride w:ilvl="0">
      <w:startOverride w:val="1"/>
    </w:lvlOverride>
  </w:num>
  <w:num w:numId="45">
    <w:abstractNumId w:val="10"/>
    <w:lvlOverride w:ilvl="0">
      <w:startOverride w:val="1"/>
    </w:lvlOverride>
  </w:num>
  <w:num w:numId="46">
    <w:abstractNumId w:val="10"/>
    <w:lvlOverride w:ilvl="0">
      <w:startOverride w:val="2"/>
    </w:lvlOverride>
  </w:num>
  <w:num w:numId="47">
    <w:abstractNumId w:val="10"/>
    <w:lvlOverride w:ilvl="0">
      <w:startOverride w:val="1"/>
    </w:lvlOverride>
  </w:num>
  <w:num w:numId="48">
    <w:abstractNumId w:val="10"/>
    <w:lvlOverride w:ilvl="0">
      <w:startOverride w:val="1"/>
    </w:lvlOverride>
  </w:num>
  <w:num w:numId="49">
    <w:abstractNumId w:val="10"/>
    <w:lvlOverride w:ilvl="0">
      <w:startOverride w:val="1"/>
    </w:lvlOverride>
  </w:num>
  <w:num w:numId="50">
    <w:abstractNumId w:val="8"/>
  </w:num>
  <w:num w:numId="51">
    <w:abstractNumId w:val="10"/>
  </w:num>
  <w:num w:numId="52">
    <w:abstractNumId w:val="10"/>
  </w:num>
  <w:num w:numId="53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4A1"/>
    <w:rsid w:val="00000CC5"/>
    <w:rsid w:val="000016A4"/>
    <w:rsid w:val="000019DB"/>
    <w:rsid w:val="0000342A"/>
    <w:rsid w:val="0000354C"/>
    <w:rsid w:val="00003A32"/>
    <w:rsid w:val="000047CC"/>
    <w:rsid w:val="00005B07"/>
    <w:rsid w:val="00007355"/>
    <w:rsid w:val="0001054E"/>
    <w:rsid w:val="000120FD"/>
    <w:rsid w:val="00021831"/>
    <w:rsid w:val="00022314"/>
    <w:rsid w:val="00031B58"/>
    <w:rsid w:val="0003559B"/>
    <w:rsid w:val="00035638"/>
    <w:rsid w:val="0004338B"/>
    <w:rsid w:val="00045F44"/>
    <w:rsid w:val="000473FE"/>
    <w:rsid w:val="00047E58"/>
    <w:rsid w:val="00050067"/>
    <w:rsid w:val="00053B82"/>
    <w:rsid w:val="00064DE5"/>
    <w:rsid w:val="00073D20"/>
    <w:rsid w:val="000752B9"/>
    <w:rsid w:val="000755E1"/>
    <w:rsid w:val="00080799"/>
    <w:rsid w:val="0008436B"/>
    <w:rsid w:val="00085541"/>
    <w:rsid w:val="00091968"/>
    <w:rsid w:val="00092882"/>
    <w:rsid w:val="00093063"/>
    <w:rsid w:val="00095A38"/>
    <w:rsid w:val="000975F5"/>
    <w:rsid w:val="000A34CE"/>
    <w:rsid w:val="000B4060"/>
    <w:rsid w:val="000B77EF"/>
    <w:rsid w:val="000C2D4E"/>
    <w:rsid w:val="000C65E4"/>
    <w:rsid w:val="000D1535"/>
    <w:rsid w:val="000D73C7"/>
    <w:rsid w:val="000E01E2"/>
    <w:rsid w:val="000E08F1"/>
    <w:rsid w:val="000E322E"/>
    <w:rsid w:val="000E3D65"/>
    <w:rsid w:val="000E6ADF"/>
    <w:rsid w:val="000E77E9"/>
    <w:rsid w:val="000E78EE"/>
    <w:rsid w:val="000F4660"/>
    <w:rsid w:val="0010021B"/>
    <w:rsid w:val="001064D8"/>
    <w:rsid w:val="00106B1D"/>
    <w:rsid w:val="00106B72"/>
    <w:rsid w:val="00113498"/>
    <w:rsid w:val="0011750D"/>
    <w:rsid w:val="00117FCF"/>
    <w:rsid w:val="00122E1A"/>
    <w:rsid w:val="001412DE"/>
    <w:rsid w:val="00141E1D"/>
    <w:rsid w:val="0014345E"/>
    <w:rsid w:val="00144A4D"/>
    <w:rsid w:val="00147797"/>
    <w:rsid w:val="00151351"/>
    <w:rsid w:val="0016285E"/>
    <w:rsid w:val="00174B39"/>
    <w:rsid w:val="00175282"/>
    <w:rsid w:val="00177910"/>
    <w:rsid w:val="00181087"/>
    <w:rsid w:val="001827A5"/>
    <w:rsid w:val="00183965"/>
    <w:rsid w:val="00183B0D"/>
    <w:rsid w:val="00183C4B"/>
    <w:rsid w:val="001943EE"/>
    <w:rsid w:val="001A0CD8"/>
    <w:rsid w:val="001A431C"/>
    <w:rsid w:val="001A7133"/>
    <w:rsid w:val="001B3439"/>
    <w:rsid w:val="001C1C3D"/>
    <w:rsid w:val="001C30BC"/>
    <w:rsid w:val="001C5BA7"/>
    <w:rsid w:val="001D00B5"/>
    <w:rsid w:val="001D0562"/>
    <w:rsid w:val="001D0973"/>
    <w:rsid w:val="001D3B29"/>
    <w:rsid w:val="001D3D6D"/>
    <w:rsid w:val="001D61B5"/>
    <w:rsid w:val="001E16D9"/>
    <w:rsid w:val="001E4EEB"/>
    <w:rsid w:val="001E5CDC"/>
    <w:rsid w:val="001E6026"/>
    <w:rsid w:val="001F0128"/>
    <w:rsid w:val="001F3696"/>
    <w:rsid w:val="001F37CA"/>
    <w:rsid w:val="001F436D"/>
    <w:rsid w:val="00201FA9"/>
    <w:rsid w:val="00204B37"/>
    <w:rsid w:val="002105E4"/>
    <w:rsid w:val="002218A7"/>
    <w:rsid w:val="00223F83"/>
    <w:rsid w:val="00232EB7"/>
    <w:rsid w:val="00237E43"/>
    <w:rsid w:val="00260EF2"/>
    <w:rsid w:val="0026594A"/>
    <w:rsid w:val="002701ED"/>
    <w:rsid w:val="0027198B"/>
    <w:rsid w:val="002807D0"/>
    <w:rsid w:val="00281486"/>
    <w:rsid w:val="00286C0C"/>
    <w:rsid w:val="00290D5F"/>
    <w:rsid w:val="002917BE"/>
    <w:rsid w:val="002921ED"/>
    <w:rsid w:val="002938F2"/>
    <w:rsid w:val="00293CD9"/>
    <w:rsid w:val="002A334E"/>
    <w:rsid w:val="002A36D7"/>
    <w:rsid w:val="002A75C2"/>
    <w:rsid w:val="002C051B"/>
    <w:rsid w:val="002C5280"/>
    <w:rsid w:val="002C5F16"/>
    <w:rsid w:val="002D121E"/>
    <w:rsid w:val="002D396D"/>
    <w:rsid w:val="002D3A1B"/>
    <w:rsid w:val="002F35DE"/>
    <w:rsid w:val="002F5BD6"/>
    <w:rsid w:val="002F5E9A"/>
    <w:rsid w:val="0030554A"/>
    <w:rsid w:val="003069E2"/>
    <w:rsid w:val="00307B6A"/>
    <w:rsid w:val="00311AF7"/>
    <w:rsid w:val="00325492"/>
    <w:rsid w:val="0033331C"/>
    <w:rsid w:val="0033367D"/>
    <w:rsid w:val="00337D61"/>
    <w:rsid w:val="00341587"/>
    <w:rsid w:val="00343E84"/>
    <w:rsid w:val="003500A0"/>
    <w:rsid w:val="00350733"/>
    <w:rsid w:val="00351DEF"/>
    <w:rsid w:val="003533D7"/>
    <w:rsid w:val="0035648A"/>
    <w:rsid w:val="00363995"/>
    <w:rsid w:val="003675E5"/>
    <w:rsid w:val="00373CA3"/>
    <w:rsid w:val="00377718"/>
    <w:rsid w:val="00384982"/>
    <w:rsid w:val="0038635C"/>
    <w:rsid w:val="0039446E"/>
    <w:rsid w:val="003A1F68"/>
    <w:rsid w:val="003B2A26"/>
    <w:rsid w:val="003B4758"/>
    <w:rsid w:val="003C61E8"/>
    <w:rsid w:val="003C7065"/>
    <w:rsid w:val="003D6A0A"/>
    <w:rsid w:val="003E21F0"/>
    <w:rsid w:val="003E6BD2"/>
    <w:rsid w:val="003F1662"/>
    <w:rsid w:val="003F1B77"/>
    <w:rsid w:val="003F2193"/>
    <w:rsid w:val="003F262C"/>
    <w:rsid w:val="004012C0"/>
    <w:rsid w:val="00405662"/>
    <w:rsid w:val="004108B6"/>
    <w:rsid w:val="00421606"/>
    <w:rsid w:val="00421FAA"/>
    <w:rsid w:val="00432A0B"/>
    <w:rsid w:val="00434773"/>
    <w:rsid w:val="004455FF"/>
    <w:rsid w:val="00447C66"/>
    <w:rsid w:val="0046272D"/>
    <w:rsid w:val="004629CB"/>
    <w:rsid w:val="004649A9"/>
    <w:rsid w:val="00471B34"/>
    <w:rsid w:val="0047266F"/>
    <w:rsid w:val="00482CEE"/>
    <w:rsid w:val="00483688"/>
    <w:rsid w:val="00487783"/>
    <w:rsid w:val="0048792D"/>
    <w:rsid w:val="004A1803"/>
    <w:rsid w:val="004A55C5"/>
    <w:rsid w:val="004B1A36"/>
    <w:rsid w:val="004B324E"/>
    <w:rsid w:val="004C052E"/>
    <w:rsid w:val="004C234E"/>
    <w:rsid w:val="004C4558"/>
    <w:rsid w:val="004E056C"/>
    <w:rsid w:val="004E1196"/>
    <w:rsid w:val="004E2817"/>
    <w:rsid w:val="004E2D4A"/>
    <w:rsid w:val="004E43C9"/>
    <w:rsid w:val="004E7F91"/>
    <w:rsid w:val="005016FB"/>
    <w:rsid w:val="00504F37"/>
    <w:rsid w:val="0050522D"/>
    <w:rsid w:val="00511D17"/>
    <w:rsid w:val="0051699F"/>
    <w:rsid w:val="005203C7"/>
    <w:rsid w:val="00530AE5"/>
    <w:rsid w:val="005412A4"/>
    <w:rsid w:val="005414A1"/>
    <w:rsid w:val="00545F72"/>
    <w:rsid w:val="005515F0"/>
    <w:rsid w:val="0055252C"/>
    <w:rsid w:val="00553A06"/>
    <w:rsid w:val="00561EBF"/>
    <w:rsid w:val="00565144"/>
    <w:rsid w:val="00565FBD"/>
    <w:rsid w:val="00570814"/>
    <w:rsid w:val="00571CB8"/>
    <w:rsid w:val="00576D2B"/>
    <w:rsid w:val="00584E24"/>
    <w:rsid w:val="005855DB"/>
    <w:rsid w:val="0058696B"/>
    <w:rsid w:val="005936EF"/>
    <w:rsid w:val="00597E70"/>
    <w:rsid w:val="005A45CC"/>
    <w:rsid w:val="005A463F"/>
    <w:rsid w:val="005A6414"/>
    <w:rsid w:val="005A7676"/>
    <w:rsid w:val="005B0A07"/>
    <w:rsid w:val="005B2256"/>
    <w:rsid w:val="005B238E"/>
    <w:rsid w:val="005B3D67"/>
    <w:rsid w:val="005C0660"/>
    <w:rsid w:val="005C2E49"/>
    <w:rsid w:val="005C4E71"/>
    <w:rsid w:val="005E0E3B"/>
    <w:rsid w:val="005F5596"/>
    <w:rsid w:val="00601DD6"/>
    <w:rsid w:val="00603F71"/>
    <w:rsid w:val="00613B1A"/>
    <w:rsid w:val="00620DE1"/>
    <w:rsid w:val="00621B34"/>
    <w:rsid w:val="0062771A"/>
    <w:rsid w:val="0063569A"/>
    <w:rsid w:val="00636760"/>
    <w:rsid w:val="00637665"/>
    <w:rsid w:val="0064601B"/>
    <w:rsid w:val="0065040D"/>
    <w:rsid w:val="006515C9"/>
    <w:rsid w:val="00652318"/>
    <w:rsid w:val="0065339D"/>
    <w:rsid w:val="00654A34"/>
    <w:rsid w:val="00656D24"/>
    <w:rsid w:val="0066100E"/>
    <w:rsid w:val="0067005F"/>
    <w:rsid w:val="00671E0F"/>
    <w:rsid w:val="006764A0"/>
    <w:rsid w:val="00693AAC"/>
    <w:rsid w:val="006A0D86"/>
    <w:rsid w:val="006A2C62"/>
    <w:rsid w:val="006A645C"/>
    <w:rsid w:val="006A64C1"/>
    <w:rsid w:val="006B3E75"/>
    <w:rsid w:val="006B5517"/>
    <w:rsid w:val="006C0911"/>
    <w:rsid w:val="006C0A2B"/>
    <w:rsid w:val="006C2775"/>
    <w:rsid w:val="006C4117"/>
    <w:rsid w:val="006D46FB"/>
    <w:rsid w:val="006D4FEA"/>
    <w:rsid w:val="006E379B"/>
    <w:rsid w:val="006E57DD"/>
    <w:rsid w:val="006F4689"/>
    <w:rsid w:val="006F77F5"/>
    <w:rsid w:val="007027EF"/>
    <w:rsid w:val="00711CE3"/>
    <w:rsid w:val="0071359C"/>
    <w:rsid w:val="007256D2"/>
    <w:rsid w:val="00740F3E"/>
    <w:rsid w:val="0074152C"/>
    <w:rsid w:val="007448D8"/>
    <w:rsid w:val="007460D9"/>
    <w:rsid w:val="00746204"/>
    <w:rsid w:val="00747715"/>
    <w:rsid w:val="00750138"/>
    <w:rsid w:val="00753DA3"/>
    <w:rsid w:val="007567FE"/>
    <w:rsid w:val="00763512"/>
    <w:rsid w:val="00764F50"/>
    <w:rsid w:val="007667B4"/>
    <w:rsid w:val="007702F5"/>
    <w:rsid w:val="00770A92"/>
    <w:rsid w:val="00771DF8"/>
    <w:rsid w:val="007726F2"/>
    <w:rsid w:val="0077327F"/>
    <w:rsid w:val="00774A47"/>
    <w:rsid w:val="00776CDE"/>
    <w:rsid w:val="00777070"/>
    <w:rsid w:val="00780A7B"/>
    <w:rsid w:val="00790C65"/>
    <w:rsid w:val="0079184A"/>
    <w:rsid w:val="0079383A"/>
    <w:rsid w:val="00795991"/>
    <w:rsid w:val="007963FF"/>
    <w:rsid w:val="00796BB9"/>
    <w:rsid w:val="00797501"/>
    <w:rsid w:val="007977D3"/>
    <w:rsid w:val="007A7D45"/>
    <w:rsid w:val="007B1B98"/>
    <w:rsid w:val="007B5137"/>
    <w:rsid w:val="007C1B00"/>
    <w:rsid w:val="007C2647"/>
    <w:rsid w:val="007D0D86"/>
    <w:rsid w:val="007D13D9"/>
    <w:rsid w:val="007D31CE"/>
    <w:rsid w:val="007D5BB7"/>
    <w:rsid w:val="007E0621"/>
    <w:rsid w:val="007E4E37"/>
    <w:rsid w:val="007E70C6"/>
    <w:rsid w:val="007F082D"/>
    <w:rsid w:val="007F0B55"/>
    <w:rsid w:val="007F3697"/>
    <w:rsid w:val="007F4B07"/>
    <w:rsid w:val="007F74B4"/>
    <w:rsid w:val="00802168"/>
    <w:rsid w:val="00821259"/>
    <w:rsid w:val="0082579A"/>
    <w:rsid w:val="0083488D"/>
    <w:rsid w:val="0084157D"/>
    <w:rsid w:val="00841D40"/>
    <w:rsid w:val="008466C3"/>
    <w:rsid w:val="00851458"/>
    <w:rsid w:val="00861A47"/>
    <w:rsid w:val="00862A6B"/>
    <w:rsid w:val="00870737"/>
    <w:rsid w:val="008707FF"/>
    <w:rsid w:val="008724E5"/>
    <w:rsid w:val="00874EE6"/>
    <w:rsid w:val="00880576"/>
    <w:rsid w:val="008830E6"/>
    <w:rsid w:val="008862AF"/>
    <w:rsid w:val="008876C7"/>
    <w:rsid w:val="00894D37"/>
    <w:rsid w:val="008968EE"/>
    <w:rsid w:val="0089727A"/>
    <w:rsid w:val="008A3D67"/>
    <w:rsid w:val="008C3213"/>
    <w:rsid w:val="008C5B84"/>
    <w:rsid w:val="008C7F25"/>
    <w:rsid w:val="008D2F05"/>
    <w:rsid w:val="008D3BF7"/>
    <w:rsid w:val="008E368D"/>
    <w:rsid w:val="008E4465"/>
    <w:rsid w:val="008F16C6"/>
    <w:rsid w:val="008F34A1"/>
    <w:rsid w:val="008F7B13"/>
    <w:rsid w:val="00907557"/>
    <w:rsid w:val="00907624"/>
    <w:rsid w:val="009121CE"/>
    <w:rsid w:val="009127D8"/>
    <w:rsid w:val="00912CE7"/>
    <w:rsid w:val="00921F65"/>
    <w:rsid w:val="0093240B"/>
    <w:rsid w:val="009329BA"/>
    <w:rsid w:val="00936A1B"/>
    <w:rsid w:val="0094493E"/>
    <w:rsid w:val="0094533F"/>
    <w:rsid w:val="00945A54"/>
    <w:rsid w:val="00946693"/>
    <w:rsid w:val="009535E9"/>
    <w:rsid w:val="00962B60"/>
    <w:rsid w:val="00967447"/>
    <w:rsid w:val="00971377"/>
    <w:rsid w:val="0097349C"/>
    <w:rsid w:val="009809E7"/>
    <w:rsid w:val="009863C1"/>
    <w:rsid w:val="00990601"/>
    <w:rsid w:val="009A0925"/>
    <w:rsid w:val="009A2D14"/>
    <w:rsid w:val="009A4FA2"/>
    <w:rsid w:val="009B00C3"/>
    <w:rsid w:val="009B154F"/>
    <w:rsid w:val="009B2D30"/>
    <w:rsid w:val="009B4DB7"/>
    <w:rsid w:val="009B512D"/>
    <w:rsid w:val="009B55AC"/>
    <w:rsid w:val="009B6CB4"/>
    <w:rsid w:val="009C171C"/>
    <w:rsid w:val="009C25FE"/>
    <w:rsid w:val="009C4B9C"/>
    <w:rsid w:val="009D18F0"/>
    <w:rsid w:val="009D4547"/>
    <w:rsid w:val="009D5E38"/>
    <w:rsid w:val="009D6FD1"/>
    <w:rsid w:val="009E3D42"/>
    <w:rsid w:val="009F151A"/>
    <w:rsid w:val="009F34A4"/>
    <w:rsid w:val="009F3988"/>
    <w:rsid w:val="009F677E"/>
    <w:rsid w:val="00A11F15"/>
    <w:rsid w:val="00A150C7"/>
    <w:rsid w:val="00A15B0E"/>
    <w:rsid w:val="00A3050A"/>
    <w:rsid w:val="00A31AC9"/>
    <w:rsid w:val="00A46289"/>
    <w:rsid w:val="00A519A2"/>
    <w:rsid w:val="00A56BF2"/>
    <w:rsid w:val="00A62E45"/>
    <w:rsid w:val="00A70883"/>
    <w:rsid w:val="00A71552"/>
    <w:rsid w:val="00A74477"/>
    <w:rsid w:val="00A77AEB"/>
    <w:rsid w:val="00A80F0E"/>
    <w:rsid w:val="00A827EF"/>
    <w:rsid w:val="00A8388C"/>
    <w:rsid w:val="00A83D5E"/>
    <w:rsid w:val="00A86042"/>
    <w:rsid w:val="00A86888"/>
    <w:rsid w:val="00A87BE3"/>
    <w:rsid w:val="00A91043"/>
    <w:rsid w:val="00AA01A6"/>
    <w:rsid w:val="00AA444A"/>
    <w:rsid w:val="00AB12AB"/>
    <w:rsid w:val="00AB1528"/>
    <w:rsid w:val="00AB2644"/>
    <w:rsid w:val="00AB4A81"/>
    <w:rsid w:val="00AB7936"/>
    <w:rsid w:val="00AB7C7C"/>
    <w:rsid w:val="00AC3130"/>
    <w:rsid w:val="00AC732B"/>
    <w:rsid w:val="00AD3D98"/>
    <w:rsid w:val="00AD4458"/>
    <w:rsid w:val="00AD7DB0"/>
    <w:rsid w:val="00AE1171"/>
    <w:rsid w:val="00AE1B18"/>
    <w:rsid w:val="00AE320C"/>
    <w:rsid w:val="00AF1417"/>
    <w:rsid w:val="00AF1C32"/>
    <w:rsid w:val="00AF5B24"/>
    <w:rsid w:val="00AF65E8"/>
    <w:rsid w:val="00B01102"/>
    <w:rsid w:val="00B0364E"/>
    <w:rsid w:val="00B11AE3"/>
    <w:rsid w:val="00B13688"/>
    <w:rsid w:val="00B17ACF"/>
    <w:rsid w:val="00B21BC4"/>
    <w:rsid w:val="00B24805"/>
    <w:rsid w:val="00B254C1"/>
    <w:rsid w:val="00B34469"/>
    <w:rsid w:val="00B347FE"/>
    <w:rsid w:val="00B35C2A"/>
    <w:rsid w:val="00B46D2E"/>
    <w:rsid w:val="00B46ED4"/>
    <w:rsid w:val="00B50AFB"/>
    <w:rsid w:val="00B579C3"/>
    <w:rsid w:val="00B6167A"/>
    <w:rsid w:val="00B70807"/>
    <w:rsid w:val="00B75010"/>
    <w:rsid w:val="00B7528F"/>
    <w:rsid w:val="00B7771B"/>
    <w:rsid w:val="00B86907"/>
    <w:rsid w:val="00B92D76"/>
    <w:rsid w:val="00B973B5"/>
    <w:rsid w:val="00BA040E"/>
    <w:rsid w:val="00BA44C8"/>
    <w:rsid w:val="00BB69D6"/>
    <w:rsid w:val="00BB72B3"/>
    <w:rsid w:val="00BD59BD"/>
    <w:rsid w:val="00BE28EF"/>
    <w:rsid w:val="00BF1373"/>
    <w:rsid w:val="00BF14D6"/>
    <w:rsid w:val="00C05C83"/>
    <w:rsid w:val="00C10F27"/>
    <w:rsid w:val="00C1651E"/>
    <w:rsid w:val="00C176C3"/>
    <w:rsid w:val="00C247F3"/>
    <w:rsid w:val="00C25991"/>
    <w:rsid w:val="00C30646"/>
    <w:rsid w:val="00C336E3"/>
    <w:rsid w:val="00C35C73"/>
    <w:rsid w:val="00C377E2"/>
    <w:rsid w:val="00C40311"/>
    <w:rsid w:val="00C626C1"/>
    <w:rsid w:val="00C6478B"/>
    <w:rsid w:val="00C65379"/>
    <w:rsid w:val="00C65ED6"/>
    <w:rsid w:val="00C70EFC"/>
    <w:rsid w:val="00C74B54"/>
    <w:rsid w:val="00C82C91"/>
    <w:rsid w:val="00C86AB5"/>
    <w:rsid w:val="00CA0854"/>
    <w:rsid w:val="00CB0F37"/>
    <w:rsid w:val="00CB3F62"/>
    <w:rsid w:val="00CC24E7"/>
    <w:rsid w:val="00CC2BC6"/>
    <w:rsid w:val="00CC3E6F"/>
    <w:rsid w:val="00CD1AE4"/>
    <w:rsid w:val="00CD4F20"/>
    <w:rsid w:val="00CE10E3"/>
    <w:rsid w:val="00CE1CE7"/>
    <w:rsid w:val="00CE2586"/>
    <w:rsid w:val="00CE2B47"/>
    <w:rsid w:val="00CF0125"/>
    <w:rsid w:val="00CF4A53"/>
    <w:rsid w:val="00CF5A3B"/>
    <w:rsid w:val="00D06EEC"/>
    <w:rsid w:val="00D206FE"/>
    <w:rsid w:val="00D21327"/>
    <w:rsid w:val="00D27346"/>
    <w:rsid w:val="00D30C61"/>
    <w:rsid w:val="00D33D18"/>
    <w:rsid w:val="00D404B7"/>
    <w:rsid w:val="00D40791"/>
    <w:rsid w:val="00D452A3"/>
    <w:rsid w:val="00D46EBD"/>
    <w:rsid w:val="00D50380"/>
    <w:rsid w:val="00D51B08"/>
    <w:rsid w:val="00D6193D"/>
    <w:rsid w:val="00D809E5"/>
    <w:rsid w:val="00D80EE8"/>
    <w:rsid w:val="00D81948"/>
    <w:rsid w:val="00D82DFC"/>
    <w:rsid w:val="00D83491"/>
    <w:rsid w:val="00D907E3"/>
    <w:rsid w:val="00D90864"/>
    <w:rsid w:val="00D9501F"/>
    <w:rsid w:val="00D9591C"/>
    <w:rsid w:val="00D96FB7"/>
    <w:rsid w:val="00D971B9"/>
    <w:rsid w:val="00D978C8"/>
    <w:rsid w:val="00DA7189"/>
    <w:rsid w:val="00DB50D5"/>
    <w:rsid w:val="00DC16FF"/>
    <w:rsid w:val="00DC425C"/>
    <w:rsid w:val="00DD0EF3"/>
    <w:rsid w:val="00DD49CA"/>
    <w:rsid w:val="00DD56CE"/>
    <w:rsid w:val="00DE0861"/>
    <w:rsid w:val="00DF1653"/>
    <w:rsid w:val="00DF1FAF"/>
    <w:rsid w:val="00DF3DA3"/>
    <w:rsid w:val="00DF56AD"/>
    <w:rsid w:val="00DF609B"/>
    <w:rsid w:val="00E02901"/>
    <w:rsid w:val="00E05BBC"/>
    <w:rsid w:val="00E06A00"/>
    <w:rsid w:val="00E16D5D"/>
    <w:rsid w:val="00E22831"/>
    <w:rsid w:val="00E22B99"/>
    <w:rsid w:val="00E258D9"/>
    <w:rsid w:val="00E30ACF"/>
    <w:rsid w:val="00E3509F"/>
    <w:rsid w:val="00E364EB"/>
    <w:rsid w:val="00E41CD1"/>
    <w:rsid w:val="00E439CA"/>
    <w:rsid w:val="00E442A6"/>
    <w:rsid w:val="00E4440F"/>
    <w:rsid w:val="00E5219B"/>
    <w:rsid w:val="00E53F24"/>
    <w:rsid w:val="00E56E8C"/>
    <w:rsid w:val="00E63C1E"/>
    <w:rsid w:val="00E67328"/>
    <w:rsid w:val="00E72B36"/>
    <w:rsid w:val="00E742D1"/>
    <w:rsid w:val="00E74CDD"/>
    <w:rsid w:val="00E811E3"/>
    <w:rsid w:val="00E81416"/>
    <w:rsid w:val="00E861A7"/>
    <w:rsid w:val="00E878E8"/>
    <w:rsid w:val="00E90CDC"/>
    <w:rsid w:val="00E9135A"/>
    <w:rsid w:val="00E91AA3"/>
    <w:rsid w:val="00E93F6E"/>
    <w:rsid w:val="00EA0E19"/>
    <w:rsid w:val="00EA198F"/>
    <w:rsid w:val="00EB10B8"/>
    <w:rsid w:val="00EB47F5"/>
    <w:rsid w:val="00EB5539"/>
    <w:rsid w:val="00EC1C40"/>
    <w:rsid w:val="00EC2F92"/>
    <w:rsid w:val="00EC359C"/>
    <w:rsid w:val="00EC7889"/>
    <w:rsid w:val="00ED006B"/>
    <w:rsid w:val="00ED3CAD"/>
    <w:rsid w:val="00ED791F"/>
    <w:rsid w:val="00EE1ABB"/>
    <w:rsid w:val="00EE4D50"/>
    <w:rsid w:val="00EE6F59"/>
    <w:rsid w:val="00EF0BCB"/>
    <w:rsid w:val="00EF0E74"/>
    <w:rsid w:val="00EF25A1"/>
    <w:rsid w:val="00F00E8A"/>
    <w:rsid w:val="00F0510D"/>
    <w:rsid w:val="00F13AF7"/>
    <w:rsid w:val="00F140FB"/>
    <w:rsid w:val="00F228E9"/>
    <w:rsid w:val="00F33650"/>
    <w:rsid w:val="00F37EE6"/>
    <w:rsid w:val="00F41754"/>
    <w:rsid w:val="00F45739"/>
    <w:rsid w:val="00F462BE"/>
    <w:rsid w:val="00F473CB"/>
    <w:rsid w:val="00F50245"/>
    <w:rsid w:val="00F52F59"/>
    <w:rsid w:val="00F533B1"/>
    <w:rsid w:val="00F575A6"/>
    <w:rsid w:val="00F63DDA"/>
    <w:rsid w:val="00F64E58"/>
    <w:rsid w:val="00F661BD"/>
    <w:rsid w:val="00F665DA"/>
    <w:rsid w:val="00F70858"/>
    <w:rsid w:val="00F70F6C"/>
    <w:rsid w:val="00F7397F"/>
    <w:rsid w:val="00F73D15"/>
    <w:rsid w:val="00F74ABE"/>
    <w:rsid w:val="00F75467"/>
    <w:rsid w:val="00F75949"/>
    <w:rsid w:val="00F75F86"/>
    <w:rsid w:val="00F7666D"/>
    <w:rsid w:val="00F77DC2"/>
    <w:rsid w:val="00F839DB"/>
    <w:rsid w:val="00F91529"/>
    <w:rsid w:val="00F9230B"/>
    <w:rsid w:val="00F93B54"/>
    <w:rsid w:val="00F941F0"/>
    <w:rsid w:val="00F9493F"/>
    <w:rsid w:val="00F94FC2"/>
    <w:rsid w:val="00F95157"/>
    <w:rsid w:val="00FA400A"/>
    <w:rsid w:val="00FC6A52"/>
    <w:rsid w:val="00FD1941"/>
    <w:rsid w:val="00FD1E6C"/>
    <w:rsid w:val="00FD2DBF"/>
    <w:rsid w:val="00FD3235"/>
    <w:rsid w:val="00FD37D1"/>
    <w:rsid w:val="00FD61EB"/>
    <w:rsid w:val="00FE3044"/>
    <w:rsid w:val="00FE3CF5"/>
    <w:rsid w:val="00FE4D97"/>
    <w:rsid w:val="00FF2B1D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152D9"/>
  <w15:docId w15:val="{704578A4-8F5E-42F7-A5FC-0FC6CDB9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68D"/>
    <w:pPr>
      <w:spacing w:after="120"/>
    </w:pPr>
    <w:rPr>
      <w:rFonts w:ascii="Times New Roman" w:eastAsia="Times New Roman" w:hAnsi="Times New Roman"/>
      <w:sz w:val="22"/>
      <w:szCs w:val="24"/>
      <w:lang w:val="en-GB"/>
    </w:rPr>
  </w:style>
  <w:style w:type="paragraph" w:styleId="Titre2">
    <w:name w:val="heading 2"/>
    <w:basedOn w:val="Normal"/>
    <w:next w:val="Normal"/>
    <w:link w:val="Titre2Car"/>
    <w:uiPriority w:val="9"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aliases w:val="GA Heading"/>
    <w:basedOn w:val="Normal"/>
    <w:next w:val="Normal"/>
    <w:link w:val="Titre4C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lang w:eastAsia="en-US"/>
    </w:rPr>
  </w:style>
  <w:style w:type="paragraph" w:styleId="Titre5">
    <w:name w:val="heading 5"/>
    <w:basedOn w:val="Normal"/>
    <w:next w:val="Normal"/>
    <w:link w:val="Titre5Car"/>
    <w:unhideWhenUsed/>
    <w:qFormat/>
    <w:rsid w:val="00FD37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rsid w:val="008724E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8724E5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1">
    <w:name w:val="Sans interligne1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aliases w:val="GA Heading Car"/>
    <w:link w:val="Titre4"/>
    <w:rsid w:val="00F66657"/>
    <w:rPr>
      <w:rFonts w:ascii="Arial" w:eastAsia="Times New Roman" w:hAnsi="Arial"/>
      <w:b/>
      <w:bCs/>
      <w:snapToGrid w:val="0"/>
      <w:sz w:val="22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66657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1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character" w:styleId="Marquedecommentaire">
    <w:name w:val="annotation reference"/>
    <w:rsid w:val="00B11AE3"/>
    <w:rPr>
      <w:sz w:val="16"/>
      <w:szCs w:val="16"/>
    </w:rPr>
  </w:style>
  <w:style w:type="paragraph" w:styleId="Commentaire">
    <w:name w:val="annotation text"/>
    <w:basedOn w:val="Normal"/>
    <w:link w:val="CommentaireCar"/>
    <w:rsid w:val="00B11AE3"/>
    <w:rPr>
      <w:sz w:val="20"/>
      <w:szCs w:val="20"/>
    </w:rPr>
  </w:style>
  <w:style w:type="character" w:customStyle="1" w:styleId="CommentaireCar">
    <w:name w:val="Commentaire Car"/>
    <w:link w:val="Commentaire"/>
    <w:rsid w:val="00B11AE3"/>
    <w:rPr>
      <w:rFonts w:ascii="Times New Roman" w:eastAsia="Times New Roman" w:hAnsi="Times New Roman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B11AE3"/>
    <w:rPr>
      <w:b/>
      <w:bCs/>
    </w:rPr>
  </w:style>
  <w:style w:type="character" w:customStyle="1" w:styleId="ObjetducommentaireCar">
    <w:name w:val="Objet du commentaire Car"/>
    <w:link w:val="Objetducommentaire"/>
    <w:rsid w:val="00B11AE3"/>
    <w:rPr>
      <w:rFonts w:ascii="Times New Roman" w:eastAsia="Times New Roman" w:hAnsi="Times New Roman"/>
      <w:b/>
      <w:bCs/>
      <w:lang w:val="en-GB"/>
    </w:rPr>
  </w:style>
  <w:style w:type="paragraph" w:customStyle="1" w:styleId="1GAPara">
    <w:name w:val="1. GA Para"/>
    <w:qFormat/>
    <w:rsid w:val="00050067"/>
    <w:pPr>
      <w:numPr>
        <w:numId w:val="6"/>
      </w:numPr>
      <w:spacing w:after="120"/>
      <w:ind w:left="567" w:hanging="567"/>
      <w:jc w:val="both"/>
    </w:pPr>
    <w:rPr>
      <w:rFonts w:ascii="Arial" w:eastAsia="DengXian" w:hAnsi="Arial" w:cs="Arial"/>
      <w:snapToGrid w:val="0"/>
      <w:sz w:val="22"/>
      <w:szCs w:val="22"/>
      <w:lang w:eastAsia="zh-CN"/>
    </w:rPr>
  </w:style>
  <w:style w:type="table" w:customStyle="1" w:styleId="TableGrid1">
    <w:name w:val="Table Grid1"/>
    <w:basedOn w:val="TableauNormal"/>
    <w:next w:val="Grilledutableau"/>
    <w:uiPriority w:val="59"/>
    <w:rsid w:val="00C70EFC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Para">
    <w:name w:val="COM Para"/>
    <w:basedOn w:val="1GAPara"/>
    <w:qFormat/>
    <w:rsid w:val="00050067"/>
    <w:pPr>
      <w:numPr>
        <w:numId w:val="12"/>
      </w:numPr>
    </w:pPr>
  </w:style>
  <w:style w:type="paragraph" w:customStyle="1" w:styleId="COMTitleDecision">
    <w:name w:val="COM Title Decision"/>
    <w:basedOn w:val="Normal"/>
    <w:qFormat/>
    <w:rsid w:val="00050067"/>
    <w:pPr>
      <w:keepNext/>
      <w:numPr>
        <w:numId w:val="37"/>
      </w:numPr>
      <w:spacing w:before="240"/>
      <w:ind w:left="567" w:hanging="567"/>
      <w:jc w:val="both"/>
    </w:pPr>
    <w:rPr>
      <w:rFonts w:ascii="Arial" w:hAnsi="Arial" w:cs="Arial"/>
      <w:b/>
      <w:bCs/>
      <w:snapToGrid w:val="0"/>
      <w:szCs w:val="22"/>
    </w:rPr>
  </w:style>
  <w:style w:type="paragraph" w:customStyle="1" w:styleId="COMPreambulaDecisions">
    <w:name w:val="COM Preambula Decisions"/>
    <w:basedOn w:val="Normal"/>
    <w:qFormat/>
    <w:rsid w:val="00EC2F92"/>
    <w:pPr>
      <w:keepNext/>
      <w:ind w:left="567"/>
      <w:jc w:val="both"/>
    </w:pPr>
    <w:rPr>
      <w:rFonts w:ascii="Arial" w:hAnsi="Arial" w:cs="Arial"/>
      <w:szCs w:val="22"/>
    </w:rPr>
  </w:style>
  <w:style w:type="paragraph" w:customStyle="1" w:styleId="COMParaDecision">
    <w:name w:val="COM Para Decision"/>
    <w:basedOn w:val="Normal"/>
    <w:qFormat/>
    <w:rsid w:val="00EC2F92"/>
    <w:pPr>
      <w:numPr>
        <w:numId w:val="2"/>
      </w:numPr>
      <w:autoSpaceDE w:val="0"/>
      <w:autoSpaceDN w:val="0"/>
      <w:adjustRightInd w:val="0"/>
      <w:jc w:val="both"/>
    </w:pPr>
    <w:rPr>
      <w:rFonts w:ascii="Arial" w:eastAsia="SimSun" w:hAnsi="Arial" w:cs="Arial"/>
      <w:szCs w:val="22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C2F92"/>
    <w:pPr>
      <w:spacing w:after="0"/>
    </w:pPr>
    <w:rPr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C2F92"/>
    <w:rPr>
      <w:rFonts w:ascii="Times New Roman" w:eastAsia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EC2F9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B3E7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3E75"/>
    <w:rPr>
      <w:color w:val="605E5C"/>
      <w:shd w:val="clear" w:color="auto" w:fill="E1DFDD"/>
    </w:rPr>
  </w:style>
  <w:style w:type="paragraph" w:styleId="Paragraphedeliste">
    <w:name w:val="List Paragraph"/>
    <w:basedOn w:val="1GAPara"/>
    <w:uiPriority w:val="34"/>
    <w:qFormat/>
    <w:rsid w:val="002A334E"/>
    <w:pPr>
      <w:numPr>
        <w:ilvl w:val="3"/>
        <w:numId w:val="7"/>
      </w:numPr>
    </w:pPr>
  </w:style>
  <w:style w:type="paragraph" w:styleId="Notedefin">
    <w:name w:val="endnote text"/>
    <w:basedOn w:val="Normal"/>
    <w:link w:val="NotedefinCar"/>
    <w:semiHidden/>
    <w:unhideWhenUsed/>
    <w:rsid w:val="003533D7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3533D7"/>
    <w:rPr>
      <w:rFonts w:ascii="Times New Roman" w:eastAsia="Times New Roman" w:hAnsi="Times New Roman"/>
      <w:lang w:val="en-GB"/>
    </w:rPr>
  </w:style>
  <w:style w:type="character" w:styleId="Appeldenotedefin">
    <w:name w:val="endnote reference"/>
    <w:basedOn w:val="Policepardfaut"/>
    <w:semiHidden/>
    <w:unhideWhenUsed/>
    <w:rsid w:val="003533D7"/>
    <w:rPr>
      <w:vertAlign w:val="superscript"/>
    </w:rPr>
  </w:style>
  <w:style w:type="character" w:customStyle="1" w:styleId="MargeChar">
    <w:name w:val="Marge Char"/>
    <w:link w:val="Marge"/>
    <w:rsid w:val="00821259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hps">
    <w:name w:val="hps"/>
    <w:rsid w:val="00821259"/>
  </w:style>
  <w:style w:type="character" w:styleId="Lienhypertextesuivivisit">
    <w:name w:val="FollowedHyperlink"/>
    <w:basedOn w:val="Policepardfaut"/>
    <w:semiHidden/>
    <w:unhideWhenUsed/>
    <w:rsid w:val="003B2A26"/>
    <w:rPr>
      <w:color w:val="800080" w:themeColor="followedHyperlink"/>
      <w:u w:val="single"/>
    </w:rPr>
  </w:style>
  <w:style w:type="character" w:customStyle="1" w:styleId="Titre5Car">
    <w:name w:val="Titre 5 Car"/>
    <w:basedOn w:val="Policepardfaut"/>
    <w:link w:val="Titre5"/>
    <w:rsid w:val="00FD37D1"/>
    <w:rPr>
      <w:rFonts w:asciiTheme="majorHAnsi" w:eastAsiaTheme="majorEastAsia" w:hAnsiTheme="majorHAnsi" w:cstheme="majorBidi"/>
      <w:color w:val="365F91" w:themeColor="accent1" w:themeShade="BF"/>
      <w:sz w:val="22"/>
      <w:szCs w:val="24"/>
      <w:lang w:val="en-GB"/>
    </w:rPr>
  </w:style>
  <w:style w:type="table" w:styleId="TableauGrille4-Accentuation1">
    <w:name w:val="Grid Table 4 Accent 1"/>
    <w:basedOn w:val="TableauNormal"/>
    <w:uiPriority w:val="49"/>
    <w:rsid w:val="004012C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4649A9"/>
    <w:pPr>
      <w:spacing w:before="100" w:beforeAutospacing="1" w:after="100" w:afterAutospacing="1"/>
    </w:pPr>
    <w:rPr>
      <w:sz w:val="24"/>
      <w:lang w:val="fr-FR" w:eastAsia="zh-CN"/>
    </w:rPr>
  </w:style>
  <w:style w:type="paragraph" w:styleId="Rvision">
    <w:name w:val="Revision"/>
    <w:hidden/>
    <w:semiHidden/>
    <w:rsid w:val="0055252C"/>
    <w:rPr>
      <w:rFonts w:ascii="Times New Roman" w:eastAsia="Times New Roman" w:hAnsi="Times New Roman"/>
      <w:sz w:val="22"/>
      <w:szCs w:val="24"/>
      <w:lang w:val="en-GB"/>
    </w:rPr>
  </w:style>
  <w:style w:type="paragraph" w:customStyle="1" w:styleId="GATitleResolution">
    <w:name w:val="GA Title Resolution"/>
    <w:basedOn w:val="Normal"/>
    <w:qFormat/>
    <w:rsid w:val="00AB2644"/>
    <w:pPr>
      <w:keepNext/>
      <w:tabs>
        <w:tab w:val="left" w:pos="567"/>
      </w:tabs>
      <w:snapToGrid w:val="0"/>
      <w:spacing w:before="240"/>
      <w:ind w:left="567"/>
      <w:jc w:val="both"/>
    </w:pPr>
    <w:rPr>
      <w:rFonts w:ascii="Arial" w:eastAsia="SimSun" w:hAnsi="Arial" w:cs="Arial"/>
      <w:b/>
      <w:caps/>
      <w:snapToGrid w:val="0"/>
      <w:szCs w:val="22"/>
      <w:lang w:val="fr-FR" w:eastAsia="en-US"/>
    </w:rPr>
  </w:style>
  <w:style w:type="paragraph" w:customStyle="1" w:styleId="COMPreambulaDecision">
    <w:name w:val="COM Preambula Decision"/>
    <w:basedOn w:val="Normal"/>
    <w:qFormat/>
    <w:rsid w:val="00AB2644"/>
    <w:pPr>
      <w:keepNext/>
      <w:tabs>
        <w:tab w:val="left" w:pos="567"/>
      </w:tabs>
      <w:snapToGrid w:val="0"/>
      <w:ind w:left="567"/>
      <w:jc w:val="both"/>
    </w:pPr>
    <w:rPr>
      <w:rFonts w:ascii="Arial" w:eastAsia="SimSun" w:hAnsi="Arial" w:cs="Arial"/>
      <w:snapToGrid w:val="0"/>
      <w:szCs w:val="22"/>
      <w:lang w:val="fr-FR" w:eastAsia="en-US"/>
    </w:rPr>
  </w:style>
  <w:style w:type="paragraph" w:styleId="Sous-titre">
    <w:name w:val="Subtitle"/>
    <w:basedOn w:val="1GAPara"/>
    <w:next w:val="Normal"/>
    <w:link w:val="Sous-titreCar"/>
    <w:qFormat/>
    <w:rsid w:val="00D21327"/>
    <w:pPr>
      <w:numPr>
        <w:numId w:val="0"/>
      </w:numPr>
      <w:ind w:left="567"/>
    </w:pPr>
    <w:rPr>
      <w:u w:val="single"/>
    </w:rPr>
  </w:style>
  <w:style w:type="character" w:customStyle="1" w:styleId="Sous-titreCar">
    <w:name w:val="Sous-titre Car"/>
    <w:basedOn w:val="Policepardfaut"/>
    <w:link w:val="Sous-titre"/>
    <w:rsid w:val="00D21327"/>
    <w:rPr>
      <w:rFonts w:ascii="Arial" w:eastAsia="DengXian" w:hAnsi="Arial" w:cs="Arial"/>
      <w:snapToGrid w:val="0"/>
      <w:sz w:val="22"/>
      <w:szCs w:val="22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fr/Decisions/16.COM/14" TargetMode="External"/><Relationship Id="rId13" Type="http://schemas.openxmlformats.org/officeDocument/2006/relationships/hyperlink" Target="https://ich.unesco.org/fr/Decisions/13.COM/5" TargetMode="External"/><Relationship Id="rId18" Type="http://schemas.openxmlformats.org/officeDocument/2006/relationships/hyperlink" Target="https://ich.unesco.org/fr/Decisions/16.COM/14" TargetMode="External"/><Relationship Id="rId26" Type="http://schemas.openxmlformats.org/officeDocument/2006/relationships/hyperlink" Target="https://ich.unesco.org/fr/d%C3%A9cisions/16.COM/14?dec=decisions&amp;ref_decision=16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ich.unesco.org/fr/Decisions/8.COM/5.c.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ch.unesco.org/fr/Decisions/10.COM/10" TargetMode="External"/><Relationship Id="rId17" Type="http://schemas.openxmlformats.org/officeDocument/2006/relationships/hyperlink" Target="https://ich.unesco.org/doc/src/LHE-21-16.COM_WG-3-FR.docx" TargetMode="External"/><Relationship Id="rId25" Type="http://schemas.openxmlformats.org/officeDocument/2006/relationships/hyperlink" Target="https://ich.unesco.org/fr/Decisions/14.COM/5.b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ch.unesco.org/fr/Decisions/16.COM/14" TargetMode="External"/><Relationship Id="rId20" Type="http://schemas.openxmlformats.org/officeDocument/2006/relationships/hyperlink" Target="https://ich.unesco.org/fr/Decisions/9.GA/9" TargetMode="External"/><Relationship Id="rId29" Type="http://schemas.openxmlformats.org/officeDocument/2006/relationships/hyperlink" Target="https://ich.unesco.org/fr/Decisions/9.GA/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h.unesco.org/fr/Decisions/9.COM/9.b" TargetMode="External"/><Relationship Id="rId24" Type="http://schemas.openxmlformats.org/officeDocument/2006/relationships/hyperlink" Target="https://ich.unesco.org/fr/D%C3%A9cisions/13.COM/5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ich.unesco.org/fr/Decisions/9.GA/9" TargetMode="External"/><Relationship Id="rId23" Type="http://schemas.openxmlformats.org/officeDocument/2006/relationships/hyperlink" Target="https://ich.unesco.org/fr/Decisions/10.COM/10" TargetMode="External"/><Relationship Id="rId28" Type="http://schemas.openxmlformats.org/officeDocument/2006/relationships/hyperlink" Target="https://ich.unesco.org/fr/Decisions/16.COM/14" TargetMode="External"/><Relationship Id="rId10" Type="http://schemas.openxmlformats.org/officeDocument/2006/relationships/hyperlink" Target="https://ich.unesco.org/fr/Decisions/8.COM/5.c.1" TargetMode="External"/><Relationship Id="rId19" Type="http://schemas.openxmlformats.org/officeDocument/2006/relationships/hyperlink" Target="https://ich.unesco.org/fr/Decisions/5.EXT.COM/4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ich.unesco.org/doc/src/LHE-21-16.COM-14-FR.docx" TargetMode="External"/><Relationship Id="rId14" Type="http://schemas.openxmlformats.org/officeDocument/2006/relationships/hyperlink" Target="https://ich.unesco.org/fr/Decisions/14.COM/5.b" TargetMode="External"/><Relationship Id="rId22" Type="http://schemas.openxmlformats.org/officeDocument/2006/relationships/hyperlink" Target="https://ich.unesco.org/fr/Decisions/9.COM/9.b" TargetMode="External"/><Relationship Id="rId27" Type="http://schemas.openxmlformats.org/officeDocument/2006/relationships/hyperlink" Target="https://ich.unesco.org/fr/Decisions/5.EXT.COM/4" TargetMode="External"/><Relationship Id="rId30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ch.unesco.org/fr/lighter-ways-of-sharing-ich-safeguarding-practices-00999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Information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D64B2-7D7B-40E9-8A47-F99FB6E9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COM_Information document_EN.dotx</Template>
  <TotalTime>170</TotalTime>
  <Pages>7</Pages>
  <Words>2621</Words>
  <Characters>14417</Characters>
  <Application>Microsoft Office Word</Application>
  <DocSecurity>0</DocSecurity>
  <Lines>120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Shin, Eunkyung</dc:creator>
  <cp:keywords>, docId:6185F3CB04FC954A044E602C8040A89D</cp:keywords>
  <cp:lastModifiedBy>Ohinata, Fumiko</cp:lastModifiedBy>
  <cp:revision>55</cp:revision>
  <cp:lastPrinted>2022-10-28T14:50:00Z</cp:lastPrinted>
  <dcterms:created xsi:type="dcterms:W3CDTF">2022-10-31T08:45:00Z</dcterms:created>
  <dcterms:modified xsi:type="dcterms:W3CDTF">2022-10-31T22:00:00Z</dcterms:modified>
</cp:coreProperties>
</file>