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C4AB7" w14:textId="77777777" w:rsidR="00BC2EA0" w:rsidRPr="00E64197" w:rsidRDefault="00BC2EA0" w:rsidP="00BC2EA0">
      <w:pPr>
        <w:rPr>
          <w:rFonts w:ascii="Arial" w:hAnsi="Arial" w:cs="Arial"/>
          <w:b/>
          <w:sz w:val="22"/>
          <w:szCs w:val="22"/>
          <w:lang w:val="en-GB"/>
        </w:rPr>
      </w:pPr>
    </w:p>
    <w:p w14:paraId="2485E36E" w14:textId="38C9A283" w:rsidR="00EC6F8D" w:rsidRPr="00E64197" w:rsidRDefault="00EC6F8D" w:rsidP="00BC2EA0">
      <w:pPr>
        <w:spacing w:before="1440"/>
        <w:jc w:val="center"/>
        <w:rPr>
          <w:rFonts w:ascii="Arial" w:hAnsi="Arial" w:cs="Arial"/>
          <w:b/>
          <w:sz w:val="22"/>
          <w:szCs w:val="22"/>
          <w:lang w:val="en-GB"/>
        </w:rPr>
      </w:pPr>
      <w:r w:rsidRPr="00E64197">
        <w:rPr>
          <w:rFonts w:ascii="Arial" w:hAnsi="Arial" w:cs="Arial"/>
          <w:b/>
          <w:sz w:val="22"/>
          <w:szCs w:val="22"/>
          <w:lang w:val="en-GB"/>
        </w:rPr>
        <w:t>CONVENTION FOR THE SAFEGUARDING OF THE</w:t>
      </w:r>
      <w:r w:rsidRPr="00E64197">
        <w:rPr>
          <w:rFonts w:ascii="Arial" w:hAnsi="Arial" w:cs="Arial"/>
          <w:b/>
          <w:sz w:val="22"/>
          <w:szCs w:val="22"/>
          <w:lang w:val="en-GB"/>
        </w:rPr>
        <w:br/>
        <w:t>INTANGIBLE CULTURAL HERITAGE</w:t>
      </w:r>
    </w:p>
    <w:p w14:paraId="3F72B1D3" w14:textId="77777777" w:rsidR="00EC6F8D" w:rsidRPr="00E64197" w:rsidRDefault="00EC6F8D" w:rsidP="00EC6F8D">
      <w:pPr>
        <w:spacing w:before="1200"/>
        <w:jc w:val="center"/>
        <w:rPr>
          <w:rFonts w:ascii="Arial" w:hAnsi="Arial" w:cs="Arial"/>
          <w:b/>
          <w:sz w:val="22"/>
          <w:szCs w:val="22"/>
          <w:lang w:val="en-GB"/>
        </w:rPr>
      </w:pPr>
      <w:r w:rsidRPr="00E64197">
        <w:rPr>
          <w:rFonts w:ascii="Arial" w:hAnsi="Arial" w:cs="Arial"/>
          <w:b/>
          <w:sz w:val="22"/>
          <w:szCs w:val="22"/>
          <w:lang w:val="en-GB"/>
        </w:rPr>
        <w:t>INTERGOVERNMENTAL COMMITTEE FOR THE</w:t>
      </w:r>
      <w:r w:rsidRPr="00E64197">
        <w:rPr>
          <w:rFonts w:ascii="Arial" w:hAnsi="Arial" w:cs="Arial"/>
          <w:b/>
          <w:sz w:val="22"/>
          <w:szCs w:val="22"/>
          <w:lang w:val="en-GB"/>
        </w:rPr>
        <w:br/>
        <w:t>SAFEGUARDING OF THE INTANGIBLE CULTURAL HERITAGE</w:t>
      </w:r>
    </w:p>
    <w:p w14:paraId="2E1CD4B4" w14:textId="0D8D1D3D" w:rsidR="00EC6F8D" w:rsidRPr="00E64197" w:rsidRDefault="00B2172B" w:rsidP="001D14FE">
      <w:pPr>
        <w:spacing w:before="840"/>
        <w:jc w:val="center"/>
        <w:rPr>
          <w:rFonts w:ascii="Arial" w:hAnsi="Arial" w:cs="Arial"/>
          <w:b/>
          <w:sz w:val="22"/>
          <w:szCs w:val="22"/>
          <w:lang w:val="en-GB"/>
        </w:rPr>
      </w:pPr>
      <w:r w:rsidRPr="00E64197">
        <w:rPr>
          <w:rFonts w:ascii="Arial" w:eastAsiaTheme="minorEastAsia" w:hAnsi="Arial" w:cs="Arial"/>
          <w:b/>
          <w:sz w:val="22"/>
          <w:szCs w:val="22"/>
          <w:lang w:val="en-GB" w:eastAsia="ko-KR"/>
        </w:rPr>
        <w:t xml:space="preserve">Sixteenth </w:t>
      </w:r>
      <w:r w:rsidR="00EC6F8D" w:rsidRPr="00E64197">
        <w:rPr>
          <w:rFonts w:ascii="Arial" w:hAnsi="Arial" w:cs="Arial"/>
          <w:b/>
          <w:sz w:val="22"/>
          <w:szCs w:val="22"/>
          <w:lang w:val="en-GB"/>
        </w:rPr>
        <w:t>session</w:t>
      </w:r>
    </w:p>
    <w:p w14:paraId="1FD89575" w14:textId="06982AB8" w:rsidR="00B2172B" w:rsidRPr="00E64197" w:rsidRDefault="00A62707" w:rsidP="00B2172B">
      <w:pPr>
        <w:jc w:val="center"/>
        <w:rPr>
          <w:rFonts w:ascii="Arial" w:hAnsi="Arial" w:cs="Arial"/>
          <w:b/>
          <w:sz w:val="22"/>
          <w:szCs w:val="22"/>
          <w:lang w:val="en-GB"/>
        </w:rPr>
      </w:pPr>
      <w:r>
        <w:rPr>
          <w:rFonts w:ascii="Arial" w:hAnsi="Arial" w:cs="Arial"/>
          <w:b/>
          <w:sz w:val="22"/>
          <w:szCs w:val="22"/>
          <w:lang w:val="en-GB"/>
        </w:rPr>
        <w:t>Online</w:t>
      </w:r>
    </w:p>
    <w:p w14:paraId="52EA6D50" w14:textId="77777777" w:rsidR="00B2172B" w:rsidRPr="00E64197" w:rsidRDefault="00B2172B" w:rsidP="00B2172B">
      <w:pPr>
        <w:jc w:val="center"/>
        <w:rPr>
          <w:rFonts w:ascii="Arial" w:hAnsi="Arial" w:cs="Arial"/>
          <w:b/>
          <w:sz w:val="22"/>
          <w:szCs w:val="22"/>
          <w:lang w:val="en-GB"/>
        </w:rPr>
      </w:pPr>
      <w:r w:rsidRPr="00E64197">
        <w:rPr>
          <w:rFonts w:ascii="Arial" w:hAnsi="Arial" w:cs="Arial"/>
          <w:b/>
          <w:sz w:val="22"/>
          <w:szCs w:val="22"/>
          <w:lang w:val="en-GB"/>
        </w:rPr>
        <w:t>13 to 18 December 2021</w:t>
      </w:r>
    </w:p>
    <w:p w14:paraId="0365203A" w14:textId="3AE59F32" w:rsidR="00EC6F8D" w:rsidRPr="00E64197" w:rsidRDefault="00EC6F8D" w:rsidP="00EC6F8D">
      <w:pPr>
        <w:pStyle w:val="Sansinterligne2"/>
        <w:spacing w:before="1200"/>
        <w:jc w:val="center"/>
        <w:rPr>
          <w:rFonts w:ascii="Arial" w:hAnsi="Arial" w:cs="Arial"/>
          <w:b/>
          <w:sz w:val="22"/>
          <w:szCs w:val="22"/>
          <w:lang w:val="en-GB"/>
        </w:rPr>
      </w:pPr>
      <w:r w:rsidRPr="00E64197">
        <w:rPr>
          <w:rFonts w:ascii="Arial" w:hAnsi="Arial" w:cs="Arial"/>
          <w:b/>
          <w:sz w:val="22"/>
          <w:szCs w:val="22"/>
          <w:u w:val="single"/>
          <w:lang w:val="en-GB"/>
        </w:rPr>
        <w:t xml:space="preserve">Item </w:t>
      </w:r>
      <w:r w:rsidR="00A64969" w:rsidRPr="00E64197">
        <w:rPr>
          <w:rFonts w:ascii="Arial" w:hAnsi="Arial" w:cs="Arial"/>
          <w:b/>
          <w:sz w:val="22"/>
          <w:szCs w:val="22"/>
          <w:u w:val="single"/>
          <w:lang w:val="en-GB"/>
        </w:rPr>
        <w:t>13</w:t>
      </w:r>
      <w:r w:rsidR="00DD0C74" w:rsidRPr="00E64197">
        <w:rPr>
          <w:rFonts w:ascii="Arial" w:hAnsi="Arial" w:cs="Arial"/>
          <w:b/>
          <w:sz w:val="22"/>
          <w:szCs w:val="22"/>
          <w:u w:val="single"/>
          <w:lang w:val="en-GB"/>
        </w:rPr>
        <w:t xml:space="preserve"> </w:t>
      </w:r>
      <w:r w:rsidRPr="00E64197">
        <w:rPr>
          <w:rFonts w:ascii="Arial" w:hAnsi="Arial" w:cs="Arial"/>
          <w:b/>
          <w:sz w:val="22"/>
          <w:szCs w:val="22"/>
          <w:u w:val="single"/>
          <w:lang w:val="en-GB"/>
        </w:rPr>
        <w:t>of the Provisional Agenda</w:t>
      </w:r>
      <w:r w:rsidRPr="00E64197">
        <w:rPr>
          <w:rFonts w:ascii="Arial" w:hAnsi="Arial" w:cs="Arial"/>
          <w:b/>
          <w:sz w:val="22"/>
          <w:szCs w:val="22"/>
          <w:lang w:val="en-GB"/>
        </w:rPr>
        <w:t>:</w:t>
      </w:r>
    </w:p>
    <w:p w14:paraId="59920478" w14:textId="71222AFC" w:rsidR="004A2875" w:rsidRPr="00E64197" w:rsidRDefault="00DD0C74" w:rsidP="00DD0C74">
      <w:pPr>
        <w:pStyle w:val="Sansinterligne2"/>
        <w:spacing w:after="960"/>
        <w:jc w:val="center"/>
        <w:rPr>
          <w:rFonts w:ascii="Arial" w:hAnsi="Arial" w:cs="Arial"/>
          <w:b/>
          <w:sz w:val="22"/>
          <w:szCs w:val="22"/>
          <w:lang w:val="en-GB"/>
        </w:rPr>
      </w:pPr>
      <w:r w:rsidRPr="00E64197">
        <w:rPr>
          <w:rFonts w:ascii="Arial" w:hAnsi="Arial" w:cs="Arial"/>
          <w:b/>
          <w:sz w:val="22"/>
          <w:szCs w:val="22"/>
          <w:lang w:val="en-GB"/>
        </w:rPr>
        <w:t xml:space="preserve">Draft plan for the use of the resources of the </w:t>
      </w:r>
      <w:r w:rsidRPr="00E64197">
        <w:rPr>
          <w:rFonts w:ascii="Arial" w:hAnsi="Arial" w:cs="Arial"/>
          <w:b/>
          <w:sz w:val="22"/>
          <w:szCs w:val="22"/>
          <w:lang w:val="en-GB"/>
        </w:rPr>
        <w:br/>
        <w:t>Intangible Cultural Heritage Fund in 2022</w:t>
      </w:r>
      <w:r w:rsidR="00E64197" w:rsidRPr="00E64197">
        <w:rPr>
          <w:rFonts w:ascii="Arial" w:hAnsi="Arial" w:cs="Arial"/>
          <w:b/>
          <w:sz w:val="22"/>
          <w:szCs w:val="22"/>
          <w:lang w:val="en-GB"/>
        </w:rPr>
        <w:t xml:space="preserve"> </w:t>
      </w:r>
      <w:r w:rsidRPr="00E64197">
        <w:rPr>
          <w:rFonts w:ascii="Arial" w:hAnsi="Arial" w:cs="Arial"/>
          <w:b/>
          <w:sz w:val="22"/>
          <w:szCs w:val="22"/>
          <w:lang w:val="en-GB"/>
        </w:rPr>
        <w:t>–</w:t>
      </w:r>
      <w:r w:rsidR="00E64197" w:rsidRPr="00E64197">
        <w:rPr>
          <w:rFonts w:ascii="Arial" w:hAnsi="Arial" w:cs="Arial"/>
          <w:b/>
          <w:sz w:val="22"/>
          <w:szCs w:val="22"/>
          <w:lang w:val="en-GB"/>
        </w:rPr>
        <w:t xml:space="preserve"> </w:t>
      </w:r>
      <w:r w:rsidRPr="00E64197">
        <w:rPr>
          <w:rFonts w:ascii="Arial" w:hAnsi="Arial" w:cs="Arial"/>
          <w:b/>
          <w:sz w:val="22"/>
          <w:szCs w:val="22"/>
          <w:lang w:val="en-GB"/>
        </w:rPr>
        <w:t>2023</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E64197" w14:paraId="75AC6221" w14:textId="77777777" w:rsidTr="00EC6F8D">
        <w:trPr>
          <w:jc w:val="center"/>
        </w:trPr>
        <w:tc>
          <w:tcPr>
            <w:tcW w:w="5670" w:type="dxa"/>
            <w:vAlign w:val="center"/>
          </w:tcPr>
          <w:p w14:paraId="51C260A9" w14:textId="38B6B43F" w:rsidR="00EC6F8D" w:rsidRPr="00E64197" w:rsidRDefault="00EC6F8D" w:rsidP="00CA56BB">
            <w:pPr>
              <w:pStyle w:val="Sansinterligne1"/>
              <w:spacing w:before="200" w:after="200"/>
              <w:jc w:val="center"/>
              <w:rPr>
                <w:rFonts w:ascii="Arial" w:hAnsi="Arial" w:cs="Arial"/>
                <w:b/>
                <w:sz w:val="22"/>
                <w:szCs w:val="22"/>
                <w:lang w:val="en-GB"/>
              </w:rPr>
            </w:pPr>
            <w:r w:rsidRPr="00E64197">
              <w:rPr>
                <w:rFonts w:ascii="Arial" w:hAnsi="Arial" w:cs="Arial"/>
                <w:b/>
                <w:sz w:val="22"/>
                <w:szCs w:val="22"/>
                <w:lang w:val="en-GB"/>
              </w:rPr>
              <w:t>Summary</w:t>
            </w:r>
          </w:p>
          <w:p w14:paraId="542D9F4A" w14:textId="3BBC7C89" w:rsidR="00DD0C74" w:rsidRPr="00E64197" w:rsidRDefault="00DD0C74" w:rsidP="00DD0C74">
            <w:pPr>
              <w:pStyle w:val="Sansinterligne2"/>
              <w:spacing w:before="200" w:after="200"/>
              <w:jc w:val="both"/>
              <w:rPr>
                <w:rFonts w:ascii="Arial" w:hAnsi="Arial" w:cs="Arial"/>
                <w:b/>
                <w:sz w:val="22"/>
                <w:szCs w:val="22"/>
                <w:lang w:val="en-GB"/>
              </w:rPr>
            </w:pPr>
            <w:r w:rsidRPr="00E64197">
              <w:rPr>
                <w:rFonts w:ascii="Arial" w:hAnsi="Arial" w:cs="Arial"/>
                <w:sz w:val="22"/>
                <w:szCs w:val="22"/>
                <w:lang w:val="en-GB"/>
              </w:rPr>
              <w:t xml:space="preserve">Part I of this document examines the use of the Intangible Cultural Heritage Fund </w:t>
            </w:r>
            <w:r w:rsidR="00092EE7" w:rsidRPr="00E64197">
              <w:rPr>
                <w:rFonts w:ascii="Arial" w:hAnsi="Arial" w:cs="Arial"/>
                <w:sz w:val="22"/>
                <w:szCs w:val="22"/>
                <w:lang w:val="en-GB"/>
              </w:rPr>
              <w:t>during</w:t>
            </w:r>
            <w:r w:rsidRPr="00E64197">
              <w:rPr>
                <w:rFonts w:ascii="Arial" w:hAnsi="Arial" w:cs="Arial"/>
                <w:sz w:val="22"/>
                <w:szCs w:val="22"/>
                <w:lang w:val="en-GB"/>
              </w:rPr>
              <w:t xml:space="preserve"> the 2020–2021</w:t>
            </w:r>
            <w:r w:rsidR="008B79B0" w:rsidRPr="00E64197">
              <w:rPr>
                <w:rFonts w:ascii="Arial" w:hAnsi="Arial" w:cs="Arial"/>
                <w:sz w:val="22"/>
                <w:szCs w:val="22"/>
                <w:lang w:val="en-GB"/>
              </w:rPr>
              <w:t xml:space="preserve"> </w:t>
            </w:r>
            <w:r w:rsidRPr="00E64197">
              <w:rPr>
                <w:rFonts w:ascii="Arial" w:hAnsi="Arial" w:cs="Arial"/>
                <w:sz w:val="22"/>
                <w:szCs w:val="22"/>
                <w:lang w:val="en-GB"/>
              </w:rPr>
              <w:t>period. Part II presents a draft plan for the use of the resources of the Intangible Cultural Heritage Fund for the period 1 January 2022 to 31 December 2023 and the first semester of 2024, to be submitted to the General Assembly for its approval.</w:t>
            </w:r>
          </w:p>
          <w:p w14:paraId="290310E8" w14:textId="632496EA" w:rsidR="00EC6F8D" w:rsidRPr="00E64197" w:rsidRDefault="00EC6F8D" w:rsidP="00CA56BB">
            <w:pPr>
              <w:pStyle w:val="Sansinterligne2"/>
              <w:spacing w:before="200" w:after="200"/>
              <w:jc w:val="both"/>
              <w:rPr>
                <w:rFonts w:ascii="Arial" w:hAnsi="Arial" w:cs="Arial"/>
                <w:b/>
                <w:sz w:val="22"/>
                <w:szCs w:val="22"/>
                <w:lang w:val="en-GB"/>
              </w:rPr>
            </w:pPr>
            <w:r w:rsidRPr="00E64197">
              <w:rPr>
                <w:rFonts w:ascii="Arial" w:hAnsi="Arial" w:cs="Arial"/>
                <w:b/>
                <w:sz w:val="22"/>
                <w:szCs w:val="22"/>
                <w:lang w:val="en-GB"/>
              </w:rPr>
              <w:t>Decision required</w:t>
            </w:r>
            <w:r w:rsidRPr="00490E36">
              <w:rPr>
                <w:rFonts w:ascii="Arial" w:hAnsi="Arial" w:cs="Arial"/>
                <w:bCs/>
                <w:sz w:val="22"/>
                <w:szCs w:val="22"/>
                <w:lang w:val="en-GB"/>
              </w:rPr>
              <w:t xml:space="preserve">: </w:t>
            </w:r>
            <w:r w:rsidRPr="00E64197">
              <w:rPr>
                <w:rFonts w:ascii="Arial" w:hAnsi="Arial" w:cs="Arial"/>
                <w:bCs/>
                <w:sz w:val="22"/>
                <w:szCs w:val="22"/>
                <w:lang w:val="en-GB"/>
              </w:rPr>
              <w:t xml:space="preserve">paragraph </w:t>
            </w:r>
            <w:r w:rsidR="001C7599" w:rsidRPr="00E64197">
              <w:rPr>
                <w:rFonts w:ascii="Arial" w:hAnsi="Arial" w:cs="Arial"/>
                <w:bCs/>
                <w:sz w:val="22"/>
                <w:szCs w:val="22"/>
                <w:lang w:val="en-GB"/>
              </w:rPr>
              <w:t>35</w:t>
            </w:r>
          </w:p>
        </w:tc>
      </w:tr>
    </w:tbl>
    <w:p w14:paraId="713D819F" w14:textId="77777777" w:rsidR="004A2875" w:rsidRPr="00E64197" w:rsidRDefault="00655736" w:rsidP="004A2875">
      <w:pPr>
        <w:pStyle w:val="ListParagraph"/>
        <w:keepLines/>
        <w:numPr>
          <w:ilvl w:val="0"/>
          <w:numId w:val="13"/>
        </w:numPr>
        <w:spacing w:after="240"/>
        <w:ind w:left="567" w:hanging="567"/>
        <w:contextualSpacing w:val="0"/>
        <w:rPr>
          <w:rFonts w:ascii="Arial" w:hAnsi="Arial" w:cs="Arial"/>
          <w:b/>
          <w:snapToGrid w:val="0"/>
          <w:sz w:val="22"/>
          <w:szCs w:val="22"/>
          <w:lang w:val="en-GB" w:eastAsia="en-US"/>
        </w:rPr>
      </w:pPr>
      <w:r w:rsidRPr="00490E36">
        <w:rPr>
          <w:lang w:val="en-GB"/>
        </w:rPr>
        <w:br w:type="page"/>
      </w:r>
    </w:p>
    <w:p w14:paraId="03DCCD6E" w14:textId="0DBE75BD" w:rsidR="00956FA4" w:rsidRPr="00E64197" w:rsidRDefault="00956FA4" w:rsidP="008D0470">
      <w:pPr>
        <w:pStyle w:val="COMPara"/>
        <w:ind w:left="567" w:hanging="567"/>
        <w:jc w:val="both"/>
      </w:pPr>
      <w:r w:rsidRPr="00E64197">
        <w:lastRenderedPageBreak/>
        <w:t xml:space="preserve">Article 7(c) of the Convention requests that the Committee ‘prepare and submit to the General Assembly for approval a draft plan for the use of the resources of the </w:t>
      </w:r>
      <w:r w:rsidR="00F02805" w:rsidRPr="00E64197">
        <w:t>[Intangible Cultural Heritage] Fund [Special Account</w:t>
      </w:r>
      <w:r w:rsidR="00F50FF6" w:rsidRPr="00E64197">
        <w:t>]’</w:t>
      </w:r>
      <w:r w:rsidR="00F02805" w:rsidRPr="00E64197">
        <w:t xml:space="preserve"> (hereafter ‘the Fund’)</w:t>
      </w:r>
      <w:r w:rsidRPr="00E64197">
        <w:t xml:space="preserve">. Article 25.4 of the Convention further provides that the use of the resources of the Fund by the Committee ‘shall be decided on the basis of guidelines laid down by the General Assembly’. Those guidelines were adopted by the General Assembly of the States Parties in its second session in 2008 and can be found in Chapter II.1 of the Operational Directives for the implementation of the Convention. The draft plan proposed as </w:t>
      </w:r>
      <w:r w:rsidR="002C0C88" w:rsidRPr="00E64197">
        <w:t>annexed</w:t>
      </w:r>
      <w:r w:rsidRPr="00E64197">
        <w:t xml:space="preserve"> to this document was prepared in conformity with those guidelines on the basis of the 2020–2021 plan.</w:t>
      </w:r>
    </w:p>
    <w:p w14:paraId="2FD2FD7C" w14:textId="3443D157" w:rsidR="00956FA4" w:rsidRPr="00E64197" w:rsidRDefault="00956FA4" w:rsidP="008D0470">
      <w:pPr>
        <w:pStyle w:val="COMPara"/>
        <w:ind w:left="567" w:hanging="567"/>
        <w:jc w:val="both"/>
      </w:pPr>
      <w:r w:rsidRPr="00E64197">
        <w:t>The General Assembly of the States Parties to the Convention meets in ordinary session in even years, about six months after the start of UNESCO’s financial period. At its ninth session in June 2022, the General Assembly will therefore be requested to approve a draft plan for the use of the resources of the Fund that covers twenty-four months, from 1 January 2022 to 31</w:t>
      </w:r>
      <w:r w:rsidR="008B79B0" w:rsidRPr="00E64197">
        <w:t> </w:t>
      </w:r>
      <w:r w:rsidRPr="00E64197">
        <w:t xml:space="preserve">December 2023, and, on a provisional basis, the first six months of the following financial period, i.e. from 1 January 2024 to 30 June 2024, preceding the </w:t>
      </w:r>
      <w:r w:rsidR="008B79B0" w:rsidRPr="00E64197">
        <w:t xml:space="preserve">tenth </w:t>
      </w:r>
      <w:r w:rsidRPr="00E64197">
        <w:t xml:space="preserve">session of the General Assembly. The provisional budget for the first semester of 2022 that was adopted by the eighth session of the General Assembly (Resolution </w:t>
      </w:r>
      <w:hyperlink r:id="rId8" w:history="1">
        <w:r w:rsidRPr="002B061E">
          <w:rPr>
            <w:rStyle w:val="Hyperlink"/>
          </w:rPr>
          <w:t>8.GA</w:t>
        </w:r>
        <w:r w:rsidR="00342926" w:rsidRPr="00E64197">
          <w:rPr>
            <w:rStyle w:val="Hyperlink"/>
          </w:rPr>
          <w:t> </w:t>
        </w:r>
        <w:r w:rsidRPr="00E64197">
          <w:rPr>
            <w:rStyle w:val="Hyperlink"/>
          </w:rPr>
          <w:t>7</w:t>
        </w:r>
      </w:hyperlink>
      <w:r w:rsidRPr="00E64197">
        <w:t>) will in turn be superseded by the present plan once it has been adopted by the ninth session of the General Assembly.</w:t>
      </w:r>
    </w:p>
    <w:p w14:paraId="3DCBB296" w14:textId="5CE2A09A" w:rsidR="00956FA4" w:rsidRPr="002B061E" w:rsidRDefault="00956FA4" w:rsidP="008D0470">
      <w:pPr>
        <w:pStyle w:val="COMPara"/>
        <w:ind w:left="567" w:hanging="567"/>
        <w:jc w:val="both"/>
      </w:pPr>
      <w:r w:rsidRPr="00E64197">
        <w:t>The total amount of funds available for the next financial period cannot be known until early 2022, after the closure of the 2021 accounts. The budget presented in the draft plan (Annex</w:t>
      </w:r>
      <w:r w:rsidR="00047051" w:rsidRPr="00E64197">
        <w:t>)</w:t>
      </w:r>
      <w:r w:rsidRPr="00E64197">
        <w:t xml:space="preserve"> is thus expressed in percentages of the total amount that will be available. The document to be submitted to the General Assembly will specify the amounts allocated for each purpose. As was the case in the current plan, the Committee may wish to propose provisionally allocating to the first semester of 2024 one fourth of the amount established for the two-year period from 1 January 2022 to 31 December 2023. It is therefore proposed that the Committee submit to the General Assembly an expenditure plan based on the total amount of unrestricted and unencumbered funds available as of 31 December 2021, which is estimated to be approximately US$</w:t>
      </w:r>
      <w:r w:rsidR="00A20CCC" w:rsidRPr="00E64197">
        <w:t>7</w:t>
      </w:r>
      <w:r w:rsidR="002A0E73" w:rsidRPr="00E64197">
        <w:t>.</w:t>
      </w:r>
      <w:r w:rsidR="00FE04E5" w:rsidRPr="00E64197">
        <w:t>7</w:t>
      </w:r>
      <w:r w:rsidRPr="00E64197">
        <w:t xml:space="preserve"> million.</w:t>
      </w:r>
      <w:r w:rsidR="00F50FF6" w:rsidRPr="00E64197">
        <w:rPr>
          <w:rStyle w:val="FootnoteReference"/>
        </w:rPr>
        <w:footnoteReference w:id="1"/>
      </w:r>
    </w:p>
    <w:p w14:paraId="041DFA16" w14:textId="069B48DB" w:rsidR="004C3E47" w:rsidRPr="00E64197" w:rsidRDefault="004C3E47" w:rsidP="008D0470">
      <w:pPr>
        <w:pStyle w:val="COMPara"/>
        <w:ind w:left="567" w:hanging="567"/>
        <w:jc w:val="both"/>
      </w:pPr>
      <w:r w:rsidRPr="00E64197">
        <w:t>T</w:t>
      </w:r>
      <w:r w:rsidR="00956FA4" w:rsidRPr="00E64197">
        <w:t>he present document first provides an overview of the status of the Fund and of current trends (Part I)</w:t>
      </w:r>
      <w:r w:rsidRPr="00E64197">
        <w:t>. In the second part (Part II), the document presents the proposed draft plan for the use of the resources of the Fund for the period 2022–2023</w:t>
      </w:r>
      <w:r w:rsidR="005B7888" w:rsidRPr="00E64197">
        <w:t>.</w:t>
      </w:r>
    </w:p>
    <w:p w14:paraId="1E092A35" w14:textId="4E690A70" w:rsidR="00E82557" w:rsidRPr="00E64197" w:rsidRDefault="00E82557" w:rsidP="001110F4">
      <w:pPr>
        <w:pStyle w:val="Heading4"/>
        <w:numPr>
          <w:ilvl w:val="0"/>
          <w:numId w:val="18"/>
        </w:numPr>
        <w:spacing w:before="240" w:after="120"/>
        <w:ind w:left="567" w:hanging="567"/>
        <w:jc w:val="both"/>
      </w:pPr>
      <w:r w:rsidRPr="00E64197">
        <w:t>STATUS AND TRENDS</w:t>
      </w:r>
    </w:p>
    <w:p w14:paraId="570C1652" w14:textId="0451E042" w:rsidR="00FC5B52" w:rsidRPr="00E64197" w:rsidRDefault="00FC5B52" w:rsidP="008D0470">
      <w:pPr>
        <w:pStyle w:val="COMPara"/>
        <w:ind w:left="567" w:hanging="567"/>
        <w:jc w:val="both"/>
      </w:pPr>
      <w:r w:rsidRPr="00E64197">
        <w:t xml:space="preserve">Based on the financial report included in document </w:t>
      </w:r>
      <w:hyperlink r:id="rId9" w:history="1">
        <w:r w:rsidRPr="002B061E">
          <w:rPr>
            <w:rStyle w:val="Hyperlink"/>
          </w:rPr>
          <w:t>LHE/21/16.COM/INF.</w:t>
        </w:r>
        <w:r w:rsidR="003069F1" w:rsidRPr="00E64197">
          <w:rPr>
            <w:rStyle w:val="Hyperlink"/>
          </w:rPr>
          <w:t>13</w:t>
        </w:r>
        <w:r w:rsidRPr="00E64197">
          <w:rPr>
            <w:rStyle w:val="Hyperlink"/>
          </w:rPr>
          <w:t>.1</w:t>
        </w:r>
      </w:hyperlink>
      <w:r w:rsidRPr="00E64197">
        <w:t xml:space="preserve"> </w:t>
      </w:r>
      <w:r w:rsidRPr="002B061E">
        <w:t>for the period 1</w:t>
      </w:r>
      <w:r w:rsidR="00B26D7C" w:rsidRPr="00E64197">
        <w:t> </w:t>
      </w:r>
      <w:r w:rsidRPr="00E64197">
        <w:t xml:space="preserve">January 2020 to 30 June 2021 and following the analysis of trends outlined in document </w:t>
      </w:r>
      <w:hyperlink r:id="rId10" w:history="1">
        <w:r w:rsidRPr="002B061E">
          <w:rPr>
            <w:rStyle w:val="Hyperlink"/>
          </w:rPr>
          <w:t>LHE/19/14.COM/7 Rev.2</w:t>
        </w:r>
      </w:hyperlink>
      <w:r w:rsidRPr="00E64197">
        <w:t>, this section describes the evolution of the income and expenditures of the Fund until 30 June 2021.</w:t>
      </w:r>
    </w:p>
    <w:p w14:paraId="19CAC41A" w14:textId="7C989F8B" w:rsidR="00E7576D" w:rsidRPr="00E64197" w:rsidRDefault="00E7576D" w:rsidP="000343AB">
      <w:pPr>
        <w:pStyle w:val="COMPara"/>
        <w:ind w:left="567" w:hanging="567"/>
        <w:jc w:val="both"/>
      </w:pPr>
      <w:r w:rsidRPr="00E64197">
        <w:rPr>
          <w:bCs/>
        </w:rPr>
        <w:t>During</w:t>
      </w:r>
      <w:r w:rsidRPr="00E64197">
        <w:t xml:space="preserve"> the 2020–2021 biennium, </w:t>
      </w:r>
      <w:r w:rsidRPr="00E64197">
        <w:rPr>
          <w:b/>
        </w:rPr>
        <w:t>income</w:t>
      </w:r>
      <w:r w:rsidRPr="00E64197">
        <w:t xml:space="preserve"> </w:t>
      </w:r>
      <w:r w:rsidR="000343AB" w:rsidRPr="00E64197">
        <w:t xml:space="preserve">increased by </w:t>
      </w:r>
      <w:r w:rsidR="00BB376A" w:rsidRPr="00E64197">
        <w:t>16</w:t>
      </w:r>
      <w:r w:rsidR="000343AB" w:rsidRPr="00E64197">
        <w:t>%</w:t>
      </w:r>
      <w:r w:rsidR="00B576C7" w:rsidRPr="00490E36">
        <w:t xml:space="preserve"> </w:t>
      </w:r>
      <w:r w:rsidR="000343AB" w:rsidRPr="00E64197">
        <w:t xml:space="preserve">compared to the </w:t>
      </w:r>
      <w:r w:rsidRPr="002B061E">
        <w:t>previous biennium</w:t>
      </w:r>
      <w:r w:rsidR="00F02805" w:rsidRPr="00E64197">
        <w:t xml:space="preserve"> for the same period</w:t>
      </w:r>
      <w:r w:rsidR="000343AB" w:rsidRPr="00E64197">
        <w:t xml:space="preserve">. </w:t>
      </w:r>
      <w:r w:rsidR="00397964" w:rsidRPr="00E64197">
        <w:t xml:space="preserve">While the interest credited to the Fund has </w:t>
      </w:r>
      <w:r w:rsidR="00B32418" w:rsidRPr="00E64197">
        <w:t>decreased from US$</w:t>
      </w:r>
      <w:r w:rsidR="00BB376A" w:rsidRPr="00E64197">
        <w:t>372,949</w:t>
      </w:r>
      <w:r w:rsidR="00B32418" w:rsidRPr="00E64197">
        <w:t xml:space="preserve"> to US$184,853</w:t>
      </w:r>
      <w:r w:rsidR="00397964" w:rsidRPr="00E64197">
        <w:t xml:space="preserve">, voluntary supplementary contributions </w:t>
      </w:r>
      <w:r w:rsidR="00B26D7C" w:rsidRPr="00E64197">
        <w:t>increased,</w:t>
      </w:r>
      <w:r w:rsidR="00397964" w:rsidRPr="00E64197">
        <w:t xml:space="preserve"> representing a total amount of US$757,26</w:t>
      </w:r>
      <w:r w:rsidR="00B32418" w:rsidRPr="00E64197">
        <w:t>8 (against US$</w:t>
      </w:r>
      <w:r w:rsidR="00BB376A" w:rsidRPr="00E64197">
        <w:t>77,772</w:t>
      </w:r>
      <w:r w:rsidR="00B32418" w:rsidRPr="00E64197">
        <w:t xml:space="preserve"> in the previous biennium for the same period)</w:t>
      </w:r>
      <w:r w:rsidR="00164084" w:rsidRPr="00E64197">
        <w:t>.</w:t>
      </w:r>
    </w:p>
    <w:p w14:paraId="56193AAB" w14:textId="2B7DE346" w:rsidR="00E7576D" w:rsidRPr="00E64197" w:rsidRDefault="00E7576D" w:rsidP="00A338B1">
      <w:pPr>
        <w:pStyle w:val="COMPara"/>
        <w:ind w:left="567" w:hanging="567"/>
        <w:jc w:val="both"/>
      </w:pPr>
      <w:r w:rsidRPr="00E64197">
        <w:t xml:space="preserve">Meanwhile, the </w:t>
      </w:r>
      <w:r w:rsidRPr="00E64197">
        <w:rPr>
          <w:b/>
        </w:rPr>
        <w:t>expenditure</w:t>
      </w:r>
      <w:r w:rsidRPr="00E64197">
        <w:t xml:space="preserve"> rate of the latest plan approved by the General Assembly is on the decrease </w:t>
      </w:r>
      <w:r w:rsidR="00FE4EE4" w:rsidRPr="00E64197">
        <w:t>(</w:t>
      </w:r>
      <w:r w:rsidRPr="00E64197">
        <w:t xml:space="preserve">32.4% as </w:t>
      </w:r>
      <w:r w:rsidR="00AF085E" w:rsidRPr="00E64197">
        <w:t>of</w:t>
      </w:r>
      <w:r w:rsidRPr="00E64197">
        <w:t xml:space="preserve"> 30 June 2021</w:t>
      </w:r>
      <w:r w:rsidR="00FE4EE4" w:rsidRPr="00E64197">
        <w:t>)</w:t>
      </w:r>
      <w:r w:rsidRPr="00E64197">
        <w:t xml:space="preserve"> with another six months still remaining in the current biennium. According to the latest forecast, the expenditure rate at the end of the biennium </w:t>
      </w:r>
      <w:r w:rsidR="00B32418" w:rsidRPr="00E64197">
        <w:t xml:space="preserve">should reach </w:t>
      </w:r>
      <w:r w:rsidR="00C6382E" w:rsidRPr="00E64197">
        <w:t>61</w:t>
      </w:r>
      <w:r w:rsidRPr="00E64197">
        <w:t>%</w:t>
      </w:r>
      <w:r w:rsidR="003E7CB7" w:rsidRPr="00E64197">
        <w:t xml:space="preserve"> </w:t>
      </w:r>
      <w:r w:rsidR="00655CB9" w:rsidRPr="00E64197">
        <w:t>despite the impact of the COVID-19 pandemic</w:t>
      </w:r>
      <w:r w:rsidR="003E7CB7" w:rsidRPr="00E64197">
        <w:t xml:space="preserve">. While this would represent a </w:t>
      </w:r>
      <w:r w:rsidR="006E0129" w:rsidRPr="00E64197">
        <w:t xml:space="preserve">slight </w:t>
      </w:r>
      <w:r w:rsidR="003E7CB7" w:rsidRPr="00E64197">
        <w:t>decrease compared with the previous biennium (63% expenditure rate in the 2018-2019 biennium) this forecast rate</w:t>
      </w:r>
      <w:r w:rsidR="00655CB9" w:rsidRPr="00E64197">
        <w:t xml:space="preserve"> remains </w:t>
      </w:r>
      <w:r w:rsidR="006E0129" w:rsidRPr="00E64197">
        <w:t xml:space="preserve">higher than </w:t>
      </w:r>
      <w:r w:rsidR="00655CB9" w:rsidRPr="00E64197">
        <w:t>the</w:t>
      </w:r>
      <w:r w:rsidR="006E0129" w:rsidRPr="00E64197">
        <w:t xml:space="preserve"> average</w:t>
      </w:r>
      <w:r w:rsidR="00655CB9" w:rsidRPr="00E64197">
        <w:t xml:space="preserve"> </w:t>
      </w:r>
      <w:r w:rsidRPr="00E64197">
        <w:t>expenditure rate of the Fund since 2010 (</w:t>
      </w:r>
      <w:r w:rsidR="003E7CB7" w:rsidRPr="00E64197">
        <w:t>47</w:t>
      </w:r>
      <w:r w:rsidRPr="00E64197">
        <w:t xml:space="preserve">% on average between 2010 and </w:t>
      </w:r>
      <w:r w:rsidR="003E7CB7" w:rsidRPr="00E64197">
        <w:t>2019</w:t>
      </w:r>
      <w:r w:rsidRPr="00E64197">
        <w:t>).</w:t>
      </w:r>
    </w:p>
    <w:p w14:paraId="470AE729" w14:textId="4570C215" w:rsidR="005C24C3" w:rsidRPr="00E64197" w:rsidRDefault="00504D9B" w:rsidP="002D4711">
      <w:pPr>
        <w:pStyle w:val="COMPara"/>
        <w:ind w:left="567" w:hanging="567"/>
        <w:jc w:val="both"/>
      </w:pPr>
      <w:r w:rsidRPr="00E64197">
        <w:lastRenderedPageBreak/>
        <w:t>The graph below (Figure 1) shows that during the current biennium, the expenditures have decreased compared to the previous biennium 2018</w:t>
      </w:r>
      <w:r w:rsidR="00C266C5" w:rsidRPr="00E64197">
        <w:t>–</w:t>
      </w:r>
      <w:r w:rsidRPr="00E64197">
        <w:t>2019</w:t>
      </w:r>
      <w:r w:rsidR="00C266C5" w:rsidRPr="00E64197">
        <w:t xml:space="preserve">, which </w:t>
      </w:r>
      <w:r w:rsidRPr="00E64197">
        <w:t xml:space="preserve">is </w:t>
      </w:r>
      <w:r w:rsidR="006962D0" w:rsidRPr="00E64197">
        <w:t xml:space="preserve">largely </w:t>
      </w:r>
      <w:r w:rsidRPr="00E64197">
        <w:t>linked to the</w:t>
      </w:r>
      <w:r w:rsidR="000104FC" w:rsidRPr="00E64197">
        <w:t xml:space="preserve"> effects of the</w:t>
      </w:r>
      <w:r w:rsidR="003D1184" w:rsidRPr="00E64197">
        <w:t xml:space="preserve"> COVID-19 pandemic, the operation</w:t>
      </w:r>
      <w:r w:rsidR="00457573" w:rsidRPr="00E64197">
        <w:t>s</w:t>
      </w:r>
      <w:r w:rsidR="003D1184" w:rsidRPr="00E64197">
        <w:t xml:space="preserve"> of the Secretariat, as well as</w:t>
      </w:r>
      <w:r w:rsidR="00457573" w:rsidRPr="00E64197">
        <w:t xml:space="preserve"> those of the States Parties worldwide, hav</w:t>
      </w:r>
      <w:r w:rsidR="006962D0" w:rsidRPr="00E64197">
        <w:t>ing</w:t>
      </w:r>
      <w:r w:rsidR="00457573" w:rsidRPr="00E64197">
        <w:t xml:space="preserve"> been significantly</w:t>
      </w:r>
      <w:r w:rsidR="000104FC" w:rsidRPr="00E64197">
        <w:t xml:space="preserve"> impacted</w:t>
      </w:r>
      <w:r w:rsidR="005C24C3" w:rsidRPr="00E64197">
        <w:t xml:space="preserve"> during the reporting period</w:t>
      </w:r>
      <w:r w:rsidR="000104FC" w:rsidRPr="00E64197">
        <w:t>. The global health crisis led to the delay or postponement of several activities initiall</w:t>
      </w:r>
      <w:r w:rsidR="005C24C3" w:rsidRPr="00E64197">
        <w:t>y</w:t>
      </w:r>
      <w:r w:rsidR="000104FC" w:rsidRPr="00E64197">
        <w:t xml:space="preserve"> planned under budget line</w:t>
      </w:r>
      <w:r w:rsidR="003B4C2D" w:rsidRPr="00E64197">
        <w:t> </w:t>
      </w:r>
      <w:r w:rsidR="000104FC" w:rsidRPr="00E64197">
        <w:t>3 (‘</w:t>
      </w:r>
      <w:r w:rsidR="00C266C5" w:rsidRPr="00E64197">
        <w:t>o</w:t>
      </w:r>
      <w:r w:rsidR="000104FC" w:rsidRPr="00E64197">
        <w:t>ther functions of the Committee’)</w:t>
      </w:r>
      <w:r w:rsidR="003B4C2D" w:rsidRPr="00E64197">
        <w:t xml:space="preserve"> and</w:t>
      </w:r>
      <w:r w:rsidR="000104FC" w:rsidRPr="00E64197">
        <w:t xml:space="preserve"> the switch to an online format of all statutory meetings of the Committee (15.COM) and the Evaluation Body between March 2020 and October 2021</w:t>
      </w:r>
      <w:r w:rsidR="003B4C2D" w:rsidRPr="00E64197">
        <w:t>, which mean</w:t>
      </w:r>
      <w:r w:rsidR="005C24C3" w:rsidRPr="00E64197">
        <w:t>s</w:t>
      </w:r>
      <w:r w:rsidR="003B4C2D" w:rsidRPr="00E64197">
        <w:t xml:space="preserve"> that budget lines allocated to cover the travel costs of participants (budget lines 4, 5 and 6) </w:t>
      </w:r>
      <w:r w:rsidR="005C24C3" w:rsidRPr="00E64197">
        <w:t>remained</w:t>
      </w:r>
      <w:r w:rsidR="003B4C2D" w:rsidRPr="00E64197">
        <w:t xml:space="preserve"> almost untouched</w:t>
      </w:r>
      <w:r w:rsidR="000104FC" w:rsidRPr="00E64197">
        <w:t>.</w:t>
      </w:r>
    </w:p>
    <w:p w14:paraId="61CF23AC" w14:textId="1BEE1920" w:rsidR="00457573" w:rsidRPr="00E64197" w:rsidRDefault="00C6382E" w:rsidP="001E7DCF">
      <w:pPr>
        <w:pStyle w:val="COMPara"/>
        <w:spacing w:after="480"/>
        <w:ind w:left="567" w:hanging="567"/>
        <w:jc w:val="both"/>
      </w:pPr>
      <w:r w:rsidRPr="00E64197">
        <w:t>T</w:t>
      </w:r>
      <w:r w:rsidR="003B4C2D" w:rsidRPr="00E64197">
        <w:t xml:space="preserve">he </w:t>
      </w:r>
      <w:r w:rsidR="00C266C5" w:rsidRPr="00E64197">
        <w:t>Secretariat’s</w:t>
      </w:r>
      <w:r w:rsidR="003B4C2D" w:rsidRPr="00E64197">
        <w:t xml:space="preserve"> forecast indicates that the expenditure rate should surpass 60% by the end of the biennium with the establishment of </w:t>
      </w:r>
      <w:r w:rsidR="00FE04E5" w:rsidRPr="00E64197">
        <w:t xml:space="preserve">new </w:t>
      </w:r>
      <w:r w:rsidR="003B4C2D" w:rsidRPr="00E64197">
        <w:t>contracts covering the implementation of International Assistance</w:t>
      </w:r>
      <w:r w:rsidR="005C24C3" w:rsidRPr="00E64197">
        <w:t xml:space="preserve"> projects</w:t>
      </w:r>
      <w:r w:rsidR="003B4C2D" w:rsidRPr="00E64197">
        <w:t>, the reprogramming of several activities under the ‘</w:t>
      </w:r>
      <w:r w:rsidR="00C266C5" w:rsidRPr="00E64197">
        <w:t>o</w:t>
      </w:r>
      <w:r w:rsidR="003B4C2D" w:rsidRPr="00E64197">
        <w:t xml:space="preserve">ther functions of the Committee’ and the </w:t>
      </w:r>
      <w:r w:rsidR="007538AB" w:rsidRPr="00E64197">
        <w:t xml:space="preserve">planned </w:t>
      </w:r>
      <w:r w:rsidR="003B4C2D" w:rsidRPr="00E64197">
        <w:t xml:space="preserve">organization of an </w:t>
      </w:r>
      <w:r w:rsidR="003B4C2D" w:rsidRPr="00E64197">
        <w:rPr>
          <w:i/>
          <w:iCs/>
        </w:rPr>
        <w:t xml:space="preserve">in presentia </w:t>
      </w:r>
      <w:r w:rsidR="003B4C2D" w:rsidRPr="00E64197">
        <w:t xml:space="preserve">sixteenth session of the Committee in December 2021. </w:t>
      </w:r>
      <w:r w:rsidR="001D567A" w:rsidRPr="00E64197">
        <w:t xml:space="preserve">As a result, the overall approved budget is expected to </w:t>
      </w:r>
      <w:r w:rsidRPr="00E64197">
        <w:t>remain relatively stable</w:t>
      </w:r>
      <w:r w:rsidR="001D567A" w:rsidRPr="00E64197">
        <w:t xml:space="preserve"> for the 41 C/5 biennium (2022</w:t>
      </w:r>
      <w:r w:rsidR="00C266C5" w:rsidRPr="00E64197">
        <w:t>–</w:t>
      </w:r>
      <w:r w:rsidR="001D567A" w:rsidRPr="00E64197">
        <w:t xml:space="preserve">2023) </w:t>
      </w:r>
      <w:r w:rsidRPr="00E64197">
        <w:t xml:space="preserve">with a planned budget of </w:t>
      </w:r>
      <w:r w:rsidR="001D567A" w:rsidRPr="00E64197">
        <w:t>US$</w:t>
      </w:r>
      <w:r w:rsidR="003B4C2D" w:rsidRPr="00E64197">
        <w:t>7</w:t>
      </w:r>
      <w:r w:rsidR="00580659" w:rsidRPr="00E64197">
        <w:t>.</w:t>
      </w:r>
      <w:r w:rsidR="00FE04E5" w:rsidRPr="00E64197">
        <w:t>7</w:t>
      </w:r>
      <w:r w:rsidRPr="00E64197">
        <w:t> </w:t>
      </w:r>
      <w:r w:rsidR="001D567A" w:rsidRPr="00E64197">
        <w:t>million</w:t>
      </w:r>
      <w:r w:rsidRPr="00E64197">
        <w:t xml:space="preserve"> (against US$7.8 million for the present biennium)</w:t>
      </w:r>
      <w:r w:rsidR="001D567A" w:rsidRPr="00E64197">
        <w:t>.</w:t>
      </w:r>
    </w:p>
    <w:p w14:paraId="2A0311B8" w14:textId="1833B8EA" w:rsidR="00457573" w:rsidRPr="00E64197" w:rsidRDefault="001D567A" w:rsidP="00DA61FE">
      <w:pPr>
        <w:pStyle w:val="COMPara"/>
        <w:numPr>
          <w:ilvl w:val="0"/>
          <w:numId w:val="0"/>
        </w:numPr>
        <w:ind w:left="567"/>
        <w:jc w:val="center"/>
      </w:pPr>
      <w:r w:rsidRPr="00490E36">
        <w:rPr>
          <w:noProof/>
        </w:rPr>
        <w:drawing>
          <wp:inline distT="0" distB="0" distL="0" distR="0" wp14:anchorId="1518FFAC" wp14:editId="0CC15804">
            <wp:extent cx="5728243" cy="3487652"/>
            <wp:effectExtent l="0" t="0" r="635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01241" cy="3532097"/>
                    </a:xfrm>
                    <a:prstGeom prst="rect">
                      <a:avLst/>
                    </a:prstGeom>
                    <a:noFill/>
                  </pic:spPr>
                </pic:pic>
              </a:graphicData>
            </a:graphic>
          </wp:inline>
        </w:drawing>
      </w:r>
    </w:p>
    <w:p w14:paraId="33F2C4FF" w14:textId="0A8B05C9" w:rsidR="00A338B1" w:rsidRPr="00E64197" w:rsidRDefault="00A338B1" w:rsidP="00DA61FE">
      <w:pPr>
        <w:pStyle w:val="COMPara"/>
        <w:numPr>
          <w:ilvl w:val="0"/>
          <w:numId w:val="0"/>
        </w:numPr>
        <w:ind w:left="567"/>
        <w:jc w:val="both"/>
      </w:pPr>
      <w:r w:rsidRPr="00490E36">
        <w:rPr>
          <w:noProof/>
          <w:sz w:val="24"/>
          <w:szCs w:val="24"/>
        </w:rPr>
        <mc:AlternateContent>
          <mc:Choice Requires="wps">
            <w:drawing>
              <wp:inline distT="0" distB="0" distL="0" distR="0" wp14:anchorId="1269A080" wp14:editId="793F15FA">
                <wp:extent cx="5756275" cy="241300"/>
                <wp:effectExtent l="0" t="0" r="0" b="0"/>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275" cy="241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FD91C5" w14:textId="77777777" w:rsidR="00C266C5" w:rsidRDefault="00C266C5" w:rsidP="00A338B1">
                            <w:pPr>
                              <w:spacing w:after="120"/>
                              <w:ind w:right="201"/>
                              <w:rPr>
                                <w:rFonts w:ascii="Arial" w:hAnsi="Arial" w:cs="Arial"/>
                                <w:sz w:val="16"/>
                                <w:szCs w:val="16"/>
                                <w:lang w:val="en-US"/>
                              </w:rPr>
                            </w:pPr>
                            <w:r>
                              <w:rPr>
                                <w:rFonts w:ascii="Arial" w:hAnsi="Arial" w:cs="Arial"/>
                                <w:b/>
                                <w:sz w:val="16"/>
                                <w:szCs w:val="16"/>
                                <w:lang w:val="en-US"/>
                              </w:rPr>
                              <w:t xml:space="preserve">Figure 1: </w:t>
                            </w:r>
                            <w:r>
                              <w:rPr>
                                <w:rFonts w:ascii="Arial" w:hAnsi="Arial" w:cs="Arial"/>
                                <w:sz w:val="16"/>
                                <w:szCs w:val="16"/>
                                <w:lang w:val="en-US"/>
                              </w:rPr>
                              <w:t>Evolution of</w:t>
                            </w:r>
                            <w:r>
                              <w:rPr>
                                <w:rFonts w:ascii="Arial" w:hAnsi="Arial" w:cs="Arial"/>
                                <w:b/>
                                <w:sz w:val="16"/>
                                <w:szCs w:val="16"/>
                                <w:lang w:val="en-US"/>
                              </w:rPr>
                              <w:t xml:space="preserve"> </w:t>
                            </w:r>
                            <w:r>
                              <w:rPr>
                                <w:rFonts w:ascii="Arial" w:hAnsi="Arial" w:cs="Arial"/>
                                <w:sz w:val="16"/>
                                <w:szCs w:val="16"/>
                                <w:lang w:val="en-US"/>
                              </w:rPr>
                              <w:t>expenditures of the Fund</w:t>
                            </w:r>
                          </w:p>
                        </w:txbxContent>
                      </wps:txbx>
                      <wps:bodyPr rot="0" vert="horz" wrap="square" lIns="91440" tIns="45720" rIns="91440" bIns="45720" anchor="t" anchorCtr="0" upright="1">
                        <a:noAutofit/>
                      </wps:bodyPr>
                    </wps:wsp>
                  </a:graphicData>
                </a:graphic>
              </wp:inline>
            </w:drawing>
          </mc:Choice>
          <mc:Fallback>
            <w:pict>
              <v:shapetype w14:anchorId="1269A080" id="_x0000_t202" coordsize="21600,21600" o:spt="202" path="m,l,21600r21600,l21600,xe">
                <v:stroke joinstyle="miter"/>
                <v:path gradientshapeok="t" o:connecttype="rect"/>
              </v:shapetype>
              <v:shape id="Zone de texte 10" o:spid="_x0000_s1026" type="#_x0000_t202" style="width:453.25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" stroked="f">
                <v:textbox>
                  <w:txbxContent>
                    <w:p w14:paraId="35FD91C5" w14:textId="77777777" w:rsidR="00C266C5" w:rsidRDefault="00C266C5" w:rsidP="00A338B1">
                      <w:pPr>
                        <w:spacing w:after="120"/>
                        <w:ind w:right="201"/>
                        <w:rPr>
                          <w:rFonts w:ascii="Arial" w:hAnsi="Arial" w:cs="Arial"/>
                          <w:sz w:val="16"/>
                          <w:szCs w:val="16"/>
                          <w:lang w:val="en-US"/>
                        </w:rPr>
                      </w:pPr>
                      <w:r>
                        <w:rPr>
                          <w:rFonts w:ascii="Arial" w:hAnsi="Arial" w:cs="Arial"/>
                          <w:b/>
                          <w:sz w:val="16"/>
                          <w:szCs w:val="16"/>
                          <w:lang w:val="en-US"/>
                        </w:rPr>
                        <w:t xml:space="preserve">Figure 1: </w:t>
                      </w:r>
                      <w:r>
                        <w:rPr>
                          <w:rFonts w:ascii="Arial" w:hAnsi="Arial" w:cs="Arial"/>
                          <w:sz w:val="16"/>
                          <w:szCs w:val="16"/>
                          <w:lang w:val="en-US"/>
                        </w:rPr>
                        <w:t>Evolution of</w:t>
                      </w:r>
                      <w:r>
                        <w:rPr>
                          <w:rFonts w:ascii="Arial" w:hAnsi="Arial" w:cs="Arial"/>
                          <w:b/>
                          <w:sz w:val="16"/>
                          <w:szCs w:val="16"/>
                          <w:lang w:val="en-US"/>
                        </w:rPr>
                        <w:t xml:space="preserve"> </w:t>
                      </w:r>
                      <w:r>
                        <w:rPr>
                          <w:rFonts w:ascii="Arial" w:hAnsi="Arial" w:cs="Arial"/>
                          <w:sz w:val="16"/>
                          <w:szCs w:val="16"/>
                          <w:lang w:val="en-US"/>
                        </w:rPr>
                        <w:t>expenditures of the Fund</w:t>
                      </w:r>
                    </w:p>
                  </w:txbxContent>
                </v:textbox>
                <w10:anchorlock/>
              </v:shape>
            </w:pict>
          </mc:Fallback>
        </mc:AlternateContent>
      </w:r>
    </w:p>
    <w:p w14:paraId="41A83EFA" w14:textId="6A1DB226" w:rsidR="001D567A" w:rsidRPr="00E64197" w:rsidRDefault="001D567A" w:rsidP="008D0470">
      <w:pPr>
        <w:pStyle w:val="COMPara"/>
        <w:ind w:left="567" w:hanging="567"/>
        <w:jc w:val="both"/>
      </w:pPr>
      <w:r w:rsidRPr="00E64197">
        <w:t xml:space="preserve">It should be recalled that the </w:t>
      </w:r>
      <w:r w:rsidRPr="00E64197">
        <w:rPr>
          <w:b/>
        </w:rPr>
        <w:t>payment of contributions</w:t>
      </w:r>
      <w:r w:rsidRPr="00E64197">
        <w:t xml:space="preserve"> is an obligation incumbent on all States Parties that have ratified the Convention, in accordance with Article 26</w:t>
      </w:r>
      <w:r w:rsidR="00323845" w:rsidRPr="00E64197">
        <w:t xml:space="preserve"> of the </w:t>
      </w:r>
      <w:r w:rsidR="00DE7897" w:rsidRPr="00E64197">
        <w:t>C</w:t>
      </w:r>
      <w:r w:rsidR="00323845" w:rsidRPr="00E64197">
        <w:t>onvention</w:t>
      </w:r>
      <w:r w:rsidRPr="00E64197">
        <w:t>. As States Parties exercise rights and enjoy benefits conferred on them under the Convention, they are also expected to fulfil their corresponding commitments in return. It is worth noting that the lack of cash availability caused by late payments of assessed contributions might delay and thus jeopardize the implementation of activities foreseen in the budget.</w:t>
      </w:r>
    </w:p>
    <w:p w14:paraId="61A4A241" w14:textId="78873BAD" w:rsidR="00EA0DD6" w:rsidRPr="00E64197" w:rsidRDefault="00EA0DD6" w:rsidP="00342926">
      <w:pPr>
        <w:pStyle w:val="COMPara"/>
        <w:spacing w:after="480"/>
        <w:ind w:left="562" w:hanging="562"/>
        <w:jc w:val="both"/>
      </w:pPr>
      <w:r w:rsidRPr="00E64197">
        <w:t xml:space="preserve">With regards to the </w:t>
      </w:r>
      <w:r w:rsidRPr="00E64197">
        <w:rPr>
          <w:b/>
        </w:rPr>
        <w:t>compulsory assessed contributions</w:t>
      </w:r>
      <w:r w:rsidRPr="00E64197">
        <w:t xml:space="preserve"> by States Parties to be paid in accordance with Article 26.1 of the Convention, </w:t>
      </w:r>
      <w:r w:rsidR="009E052D" w:rsidRPr="00E64197">
        <w:t xml:space="preserve">the evolution of the payment of assessed compulsory contributions in the past six years shows a continuous trend of unpaid contributions representing the equivalent of around 19% of the amount assessed each year. As of 30 June 2021, the unpaid contributions represent US$1.40 million (against US$1.43 million on 30 June 2019), US$355,509 of which correspond to unpaid contributions of previous years. As of </w:t>
      </w:r>
      <w:r w:rsidR="009E052D" w:rsidRPr="00E64197">
        <w:lastRenderedPageBreak/>
        <w:t>30</w:t>
      </w:r>
      <w:r w:rsidR="0046272E" w:rsidRPr="00E64197">
        <w:t> </w:t>
      </w:r>
      <w:r w:rsidR="009E052D" w:rsidRPr="00E64197">
        <w:t>June 2021, 115 States Parties (66%) have not yet paid their contribution for 2021. Amongst them, 56 States Parties (32%) have also not paid their contribution for 2020 and preceding years</w:t>
      </w:r>
      <w:r w:rsidRPr="00E64197">
        <w:t xml:space="preserve"> (see </w:t>
      </w:r>
      <w:hyperlink r:id="rId12" w:history="1">
        <w:r w:rsidR="002757F1" w:rsidRPr="002B061E">
          <w:rPr>
            <w:rStyle w:val="Hyperlink"/>
          </w:rPr>
          <w:t xml:space="preserve">Statement of </w:t>
        </w:r>
        <w:r w:rsidR="00270A24" w:rsidRPr="00E64197">
          <w:rPr>
            <w:rStyle w:val="Hyperlink"/>
          </w:rPr>
          <w:t xml:space="preserve">Assessed </w:t>
        </w:r>
        <w:r w:rsidR="002757F1" w:rsidRPr="00E64197">
          <w:rPr>
            <w:rStyle w:val="Hyperlink"/>
          </w:rPr>
          <w:t xml:space="preserve">contributions as </w:t>
        </w:r>
        <w:r w:rsidR="00270A24" w:rsidRPr="00E64197">
          <w:rPr>
            <w:rStyle w:val="Hyperlink"/>
          </w:rPr>
          <w:t xml:space="preserve">at </w:t>
        </w:r>
        <w:r w:rsidR="002757F1" w:rsidRPr="00E64197">
          <w:rPr>
            <w:rStyle w:val="Hyperlink"/>
          </w:rPr>
          <w:t>30 June 2021</w:t>
        </w:r>
      </w:hyperlink>
      <w:r w:rsidRPr="00E64197">
        <w:t>).</w:t>
      </w:r>
      <w:r w:rsidRPr="00E64197">
        <w:rPr>
          <w:rStyle w:val="FootnoteReference"/>
        </w:rPr>
        <w:footnoteReference w:id="2"/>
      </w:r>
    </w:p>
    <w:p w14:paraId="4C9F8B62" w14:textId="77094EA2" w:rsidR="007F402D" w:rsidRPr="00E64197" w:rsidRDefault="009E052D" w:rsidP="00A338B1">
      <w:pPr>
        <w:pStyle w:val="COMPara"/>
        <w:numPr>
          <w:ilvl w:val="0"/>
          <w:numId w:val="0"/>
        </w:numPr>
        <w:ind w:left="567"/>
      </w:pPr>
      <w:r w:rsidRPr="00490E36">
        <w:rPr>
          <w:noProof/>
        </w:rPr>
        <w:drawing>
          <wp:inline distT="0" distB="0" distL="0" distR="0" wp14:anchorId="7370D5DB" wp14:editId="4AC93588">
            <wp:extent cx="5781600" cy="26676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81600" cy="2667600"/>
                    </a:xfrm>
                    <a:prstGeom prst="rect">
                      <a:avLst/>
                    </a:prstGeom>
                    <a:noFill/>
                  </pic:spPr>
                </pic:pic>
              </a:graphicData>
            </a:graphic>
          </wp:inline>
        </w:drawing>
      </w:r>
    </w:p>
    <w:p w14:paraId="55C69D11" w14:textId="7A0CE7B9" w:rsidR="007F402D" w:rsidRPr="00E64197" w:rsidRDefault="007F402D" w:rsidP="007F402D">
      <w:pPr>
        <w:pStyle w:val="COMPara"/>
        <w:numPr>
          <w:ilvl w:val="0"/>
          <w:numId w:val="0"/>
        </w:numPr>
        <w:ind w:left="567"/>
        <w:jc w:val="both"/>
      </w:pPr>
      <w:r w:rsidRPr="00490E36">
        <w:rPr>
          <w:noProof/>
          <w:lang w:eastAsia="fr-FR"/>
        </w:rPr>
        <mc:AlternateContent>
          <mc:Choice Requires="wps">
            <w:drawing>
              <wp:inline distT="0" distB="0" distL="0" distR="0" wp14:anchorId="5C22A682" wp14:editId="385A9E45">
                <wp:extent cx="5756275" cy="241540"/>
                <wp:effectExtent l="0" t="0" r="0" b="6350"/>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275" cy="241540"/>
                        </a:xfrm>
                        <a:prstGeom prst="rect">
                          <a:avLst/>
                        </a:prstGeom>
                        <a:solidFill>
                          <a:srgbClr val="FFFFFF"/>
                        </a:solidFill>
                        <a:ln w="9525">
                          <a:noFill/>
                          <a:miter lim="800000"/>
                          <a:headEnd/>
                          <a:tailEnd/>
                        </a:ln>
                      </wps:spPr>
                      <wps:txbx>
                        <w:txbxContent>
                          <w:p w14:paraId="194E7B19" w14:textId="77777777" w:rsidR="00C266C5" w:rsidRPr="000B21E2" w:rsidRDefault="00C266C5" w:rsidP="007F402D">
                            <w:pPr>
                              <w:ind w:right="201"/>
                              <w:rPr>
                                <w:rFonts w:ascii="Arial" w:hAnsi="Arial" w:cs="Arial"/>
                                <w:sz w:val="16"/>
                                <w:szCs w:val="16"/>
                                <w:lang w:val="en-US"/>
                              </w:rPr>
                            </w:pPr>
                            <w:r w:rsidRPr="000B21E2">
                              <w:rPr>
                                <w:rFonts w:ascii="Arial" w:hAnsi="Arial" w:cs="Arial"/>
                                <w:b/>
                                <w:sz w:val="16"/>
                                <w:szCs w:val="16"/>
                                <w:lang w:val="en-US"/>
                              </w:rPr>
                              <w:t xml:space="preserve">Figure </w:t>
                            </w:r>
                            <w:r>
                              <w:rPr>
                                <w:rFonts w:ascii="Arial" w:hAnsi="Arial" w:cs="Arial"/>
                                <w:b/>
                                <w:sz w:val="16"/>
                                <w:szCs w:val="16"/>
                                <w:lang w:val="en-US"/>
                              </w:rPr>
                              <w:t>2</w:t>
                            </w:r>
                            <w:r w:rsidRPr="000B21E2">
                              <w:rPr>
                                <w:rFonts w:ascii="Arial" w:hAnsi="Arial" w:cs="Arial"/>
                                <w:b/>
                                <w:sz w:val="16"/>
                                <w:szCs w:val="16"/>
                                <w:lang w:val="en-US"/>
                              </w:rPr>
                              <w:t xml:space="preserve">: </w:t>
                            </w:r>
                            <w:r>
                              <w:rPr>
                                <w:rFonts w:ascii="Arial" w:hAnsi="Arial" w:cs="Arial"/>
                                <w:sz w:val="16"/>
                                <w:szCs w:val="16"/>
                                <w:lang w:val="en-US"/>
                              </w:rPr>
                              <w:t>Evolution of assessed compulsory contributions</w:t>
                            </w:r>
                          </w:p>
                        </w:txbxContent>
                      </wps:txbx>
                      <wps:bodyPr rot="0" vert="horz" wrap="square" lIns="91440" tIns="45720" rIns="91440" bIns="45720" anchor="t" anchorCtr="0">
                        <a:noAutofit/>
                      </wps:bodyPr>
                    </wps:wsp>
                  </a:graphicData>
                </a:graphic>
              </wp:inline>
            </w:drawing>
          </mc:Choice>
          <mc:Fallback>
            <w:pict>
              <v:shape w14:anchorId="5C22A682" id="Zone de texte 2" o:spid="_x0000_s1027" type="#_x0000_t202" style="width:453.25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" stroked="f">
                <v:textbox>
                  <w:txbxContent>
                    <w:p w14:paraId="194E7B19" w14:textId="77777777" w:rsidR="00C266C5" w:rsidRPr="000B21E2" w:rsidRDefault="00C266C5" w:rsidP="007F402D">
                      <w:pPr>
                        <w:ind w:right="201"/>
                        <w:rPr>
                          <w:rFonts w:ascii="Arial" w:hAnsi="Arial" w:cs="Arial"/>
                          <w:sz w:val="16"/>
                          <w:szCs w:val="16"/>
                          <w:lang w:val="en-US"/>
                        </w:rPr>
                      </w:pPr>
                      <w:r w:rsidRPr="000B21E2">
                        <w:rPr>
                          <w:rFonts w:ascii="Arial" w:hAnsi="Arial" w:cs="Arial"/>
                          <w:b/>
                          <w:sz w:val="16"/>
                          <w:szCs w:val="16"/>
                          <w:lang w:val="en-US"/>
                        </w:rPr>
                        <w:t xml:space="preserve">Figure </w:t>
                      </w:r>
                      <w:r>
                        <w:rPr>
                          <w:rFonts w:ascii="Arial" w:hAnsi="Arial" w:cs="Arial"/>
                          <w:b/>
                          <w:sz w:val="16"/>
                          <w:szCs w:val="16"/>
                          <w:lang w:val="en-US"/>
                        </w:rPr>
                        <w:t>2</w:t>
                      </w:r>
                      <w:r w:rsidRPr="000B21E2">
                        <w:rPr>
                          <w:rFonts w:ascii="Arial" w:hAnsi="Arial" w:cs="Arial"/>
                          <w:b/>
                          <w:sz w:val="16"/>
                          <w:szCs w:val="16"/>
                          <w:lang w:val="en-US"/>
                        </w:rPr>
                        <w:t xml:space="preserve">: </w:t>
                      </w:r>
                      <w:r>
                        <w:rPr>
                          <w:rFonts w:ascii="Arial" w:hAnsi="Arial" w:cs="Arial"/>
                          <w:sz w:val="16"/>
                          <w:szCs w:val="16"/>
                          <w:lang w:val="en-US"/>
                        </w:rPr>
                        <w:t>Evolution of assessed compulsory contributions</w:t>
                      </w:r>
                    </w:p>
                  </w:txbxContent>
                </v:textbox>
                <w10:anchorlock/>
              </v:shape>
            </w:pict>
          </mc:Fallback>
        </mc:AlternateContent>
      </w:r>
    </w:p>
    <w:p w14:paraId="16EF3B8E" w14:textId="3ED1ED38" w:rsidR="00B576C7" w:rsidRPr="00E64197" w:rsidRDefault="00993F14" w:rsidP="00342926">
      <w:pPr>
        <w:pStyle w:val="COMPara"/>
        <w:ind w:left="562" w:hanging="562"/>
        <w:jc w:val="both"/>
      </w:pPr>
      <w:r w:rsidRPr="00E64197">
        <w:t>The payments of</w:t>
      </w:r>
      <w:r w:rsidR="007D772F" w:rsidRPr="00E64197">
        <w:t xml:space="preserve"> </w:t>
      </w:r>
      <w:r w:rsidR="007D772F" w:rsidRPr="00E64197">
        <w:rPr>
          <w:b/>
          <w:bCs/>
        </w:rPr>
        <w:t>voluntary assessed contributions</w:t>
      </w:r>
      <w:r w:rsidR="007D772F" w:rsidRPr="00E64197">
        <w:t xml:space="preserve"> by States Parties in accordance with </w:t>
      </w:r>
      <w:r w:rsidR="009E052D" w:rsidRPr="00E64197">
        <w:t>Article 26.2 of the Convention, for the 18 months of the biennium 2020-2021 was 73%, which is higher in comparison to the past three full biennia</w:t>
      </w:r>
      <w:r w:rsidR="00961FD4" w:rsidRPr="00E64197">
        <w:t xml:space="preserve"> (63% on average)</w:t>
      </w:r>
      <w:r w:rsidR="00A41574" w:rsidRPr="00E64197">
        <w:t>.</w:t>
      </w:r>
    </w:p>
    <w:p w14:paraId="6E0537D5" w14:textId="72F86ABE" w:rsidR="007D772F" w:rsidRPr="002B061E" w:rsidRDefault="009A51E9" w:rsidP="002D4711">
      <w:pPr>
        <w:pStyle w:val="COMPara"/>
        <w:ind w:left="567" w:hanging="567"/>
        <w:jc w:val="both"/>
      </w:pPr>
      <w:r w:rsidRPr="00E64197">
        <w:t>Figure 3</w:t>
      </w:r>
      <w:r w:rsidR="007B02B9" w:rsidRPr="00E64197">
        <w:t xml:space="preserve"> (below)</w:t>
      </w:r>
      <w:r w:rsidRPr="00E64197">
        <w:t xml:space="preserve"> </w:t>
      </w:r>
      <w:r w:rsidR="00993F14" w:rsidRPr="00E64197">
        <w:t>shows</w:t>
      </w:r>
      <w:r w:rsidRPr="00E64197">
        <w:t xml:space="preserve"> </w:t>
      </w:r>
      <w:r w:rsidR="00993F14" w:rsidRPr="00E64197">
        <w:t>a</w:t>
      </w:r>
      <w:r w:rsidRPr="00E64197">
        <w:t xml:space="preserve"> decrease</w:t>
      </w:r>
      <w:r w:rsidR="005C24C3" w:rsidRPr="00E64197">
        <w:t xml:space="preserve"> in</w:t>
      </w:r>
      <w:r w:rsidRPr="00E64197">
        <w:t xml:space="preserve"> the use of</w:t>
      </w:r>
      <w:r w:rsidR="008A04D2" w:rsidRPr="00E64197">
        <w:t xml:space="preserve"> funds dedicated to</w:t>
      </w:r>
      <w:r w:rsidRPr="00E64197">
        <w:t xml:space="preserve"> International </w:t>
      </w:r>
      <w:r w:rsidR="005C24C3" w:rsidRPr="00E64197">
        <w:t>A</w:t>
      </w:r>
      <w:r w:rsidRPr="00E64197">
        <w:t>ssistance, corresponding to budget lines 1</w:t>
      </w:r>
      <w:r w:rsidR="00E82E9B" w:rsidRPr="00E64197">
        <w:t xml:space="preserve">, </w:t>
      </w:r>
      <w:r w:rsidR="009B34F2" w:rsidRPr="00E64197">
        <w:t>1.1</w:t>
      </w:r>
      <w:r w:rsidR="00E82E9B" w:rsidRPr="00E64197">
        <w:t xml:space="preserve"> and 2</w:t>
      </w:r>
      <w:r w:rsidRPr="00E64197">
        <w:t xml:space="preserve"> compared to the same period</w:t>
      </w:r>
      <w:r w:rsidR="00F3655D" w:rsidRPr="00E64197">
        <w:t xml:space="preserve"> in the previous biennium</w:t>
      </w:r>
      <w:r w:rsidRPr="00E64197">
        <w:t xml:space="preserve">. </w:t>
      </w:r>
      <w:r w:rsidR="00146074" w:rsidRPr="00E64197">
        <w:t>During the 40</w:t>
      </w:r>
      <w:r w:rsidR="00F3655D" w:rsidRPr="00E64197">
        <w:t> </w:t>
      </w:r>
      <w:r w:rsidR="00146074" w:rsidRPr="00E64197">
        <w:t>C/5</w:t>
      </w:r>
      <w:r w:rsidR="007A2180" w:rsidRPr="00E64197">
        <w:t xml:space="preserve"> biennium (2020-2021)</w:t>
      </w:r>
      <w:r w:rsidR="00146074" w:rsidRPr="00E64197">
        <w:t>, the expenditure rate</w:t>
      </w:r>
      <w:r w:rsidR="00A346AD" w:rsidRPr="00E64197">
        <w:t xml:space="preserve"> for the</w:t>
      </w:r>
      <w:r w:rsidR="00E82E9B" w:rsidRPr="00E64197">
        <w:t xml:space="preserve">se </w:t>
      </w:r>
      <w:r w:rsidR="00A346AD" w:rsidRPr="00E64197">
        <w:t>line</w:t>
      </w:r>
      <w:r w:rsidR="009B34F2" w:rsidRPr="00E64197">
        <w:t>s</w:t>
      </w:r>
      <w:r w:rsidR="00A346AD" w:rsidRPr="00E64197">
        <w:t xml:space="preserve"> </w:t>
      </w:r>
      <w:r w:rsidR="00146074" w:rsidRPr="00E64197">
        <w:t xml:space="preserve">represents </w:t>
      </w:r>
      <w:r w:rsidR="00FE6EF5" w:rsidRPr="00E64197">
        <w:t>3</w:t>
      </w:r>
      <w:r w:rsidR="00414C93" w:rsidRPr="00E64197">
        <w:t>2</w:t>
      </w:r>
      <w:r w:rsidR="00146074" w:rsidRPr="00E64197">
        <w:t xml:space="preserve">% </w:t>
      </w:r>
      <w:r w:rsidR="00A346AD" w:rsidRPr="00E64197">
        <w:t xml:space="preserve">compared to </w:t>
      </w:r>
      <w:r w:rsidR="00E427CF" w:rsidRPr="00E64197">
        <w:t>43</w:t>
      </w:r>
      <w:r w:rsidR="00A346AD" w:rsidRPr="00E64197">
        <w:t>% for the period from 1 January 2018 to 30 June 2019</w:t>
      </w:r>
      <w:r w:rsidR="00414C93" w:rsidRPr="00E64197">
        <w:t xml:space="preserve"> </w:t>
      </w:r>
      <w:r w:rsidR="0044749C" w:rsidRPr="00E64197">
        <w:t>and 52% for the entire 2018–2019 biennium</w:t>
      </w:r>
      <w:r w:rsidR="00A346AD" w:rsidRPr="00E64197">
        <w:t xml:space="preserve">. </w:t>
      </w:r>
      <w:r w:rsidR="00A11DE4" w:rsidRPr="00E64197">
        <w:t>This decrease is largely due to the lower number of International Assistance requests submitted by States Parties since January 2020</w:t>
      </w:r>
      <w:r w:rsidR="00E53295" w:rsidRPr="00E64197">
        <w:t xml:space="preserve"> (</w:t>
      </w:r>
      <w:r w:rsidR="00A402C3" w:rsidRPr="00E64197">
        <w:t xml:space="preserve">twenty-seven </w:t>
      </w:r>
      <w:r w:rsidR="00A11DE4" w:rsidRPr="00E64197">
        <w:t xml:space="preserve">requests registered and treated by the Secretariat during the reporting period against </w:t>
      </w:r>
      <w:r w:rsidR="00A402C3" w:rsidRPr="00E64197">
        <w:t xml:space="preserve">forty-eight </w:t>
      </w:r>
      <w:r w:rsidR="00A11DE4" w:rsidRPr="00E64197">
        <w:t>in the 2018–2019 biennium</w:t>
      </w:r>
      <w:r w:rsidR="00E53295" w:rsidRPr="00E64197">
        <w:t xml:space="preserve">). </w:t>
      </w:r>
      <w:r w:rsidR="004E11AF" w:rsidRPr="00E64197">
        <w:t>As of 30</w:t>
      </w:r>
      <w:r w:rsidR="00F3655D" w:rsidRPr="00E64197">
        <w:t> </w:t>
      </w:r>
      <w:r w:rsidR="004E11AF" w:rsidRPr="00E64197">
        <w:t xml:space="preserve">June 2021, the expenditure rate for </w:t>
      </w:r>
      <w:r w:rsidR="00F3655D" w:rsidRPr="00E64197">
        <w:t>I</w:t>
      </w:r>
      <w:r w:rsidR="004E11AF" w:rsidRPr="00E64197">
        <w:t xml:space="preserve">nternational </w:t>
      </w:r>
      <w:r w:rsidR="00F3655D" w:rsidRPr="00E64197">
        <w:t>A</w:t>
      </w:r>
      <w:r w:rsidR="004E11AF" w:rsidRPr="00E64197">
        <w:t>ssistance reached 25.4%</w:t>
      </w:r>
      <w:r w:rsidR="00F3655D" w:rsidRPr="00E64197">
        <w:t xml:space="preserve"> and is expected to rise to 57% by the end of the present biennium, with the establishment of </w:t>
      </w:r>
      <w:r w:rsidR="00FE04E5" w:rsidRPr="00E64197">
        <w:t xml:space="preserve">thirteen </w:t>
      </w:r>
      <w:r w:rsidR="0044749C" w:rsidRPr="00E64197">
        <w:t>contracts associated with requests already approved by the Committee and the Bureau</w:t>
      </w:r>
      <w:r w:rsidR="004E11AF" w:rsidRPr="00E64197">
        <w:t>.</w:t>
      </w:r>
      <w:r w:rsidR="001C3FD9" w:rsidRPr="00E64197">
        <w:t xml:space="preserve"> </w:t>
      </w:r>
      <w:r w:rsidR="0044749C" w:rsidRPr="00E64197">
        <w:t>T</w:t>
      </w:r>
      <w:r w:rsidR="00332814" w:rsidRPr="00E64197">
        <w:t xml:space="preserve">his </w:t>
      </w:r>
      <w:r w:rsidR="008F28C9" w:rsidRPr="00E64197">
        <w:t xml:space="preserve">is comparable to the average </w:t>
      </w:r>
      <w:r w:rsidR="008A04D2" w:rsidRPr="00E64197">
        <w:t xml:space="preserve">expenditure </w:t>
      </w:r>
      <w:r w:rsidR="008F28C9" w:rsidRPr="00E64197">
        <w:t xml:space="preserve">rate in previous years </w:t>
      </w:r>
      <w:r w:rsidR="008A04D2" w:rsidRPr="00E64197">
        <w:t>(ar</w:t>
      </w:r>
      <w:r w:rsidR="00332814" w:rsidRPr="00E64197">
        <w:t xml:space="preserve">ound </w:t>
      </w:r>
      <w:r w:rsidR="008F28C9" w:rsidRPr="00E64197">
        <w:t>61%</w:t>
      </w:r>
      <w:r w:rsidR="008A04D2" w:rsidRPr="00E64197">
        <w:t>)</w:t>
      </w:r>
      <w:r w:rsidR="008F28C9" w:rsidRPr="00E64197">
        <w:t xml:space="preserve">. </w:t>
      </w:r>
      <w:r w:rsidR="007D772F" w:rsidRPr="00E64197">
        <w:t xml:space="preserve">A detailed report on the progress of the implementation of the funds dedicated to International Assistance can be found in document </w:t>
      </w:r>
      <w:hyperlink r:id="rId14" w:history="1">
        <w:r w:rsidR="007D772F" w:rsidRPr="002B061E">
          <w:rPr>
            <w:rStyle w:val="Hyperlink"/>
          </w:rPr>
          <w:t>LHE/</w:t>
        </w:r>
        <w:r w:rsidR="00E77CF7" w:rsidRPr="00E64197">
          <w:rPr>
            <w:rStyle w:val="Hyperlink"/>
          </w:rPr>
          <w:t>20</w:t>
        </w:r>
        <w:r w:rsidR="007D772F" w:rsidRPr="00E64197">
          <w:rPr>
            <w:rStyle w:val="Hyperlink"/>
          </w:rPr>
          <w:t>/1</w:t>
        </w:r>
        <w:r w:rsidR="00E77CF7" w:rsidRPr="00E64197">
          <w:rPr>
            <w:rStyle w:val="Hyperlink"/>
          </w:rPr>
          <w:t>6</w:t>
        </w:r>
        <w:r w:rsidR="007D772F" w:rsidRPr="00E64197">
          <w:rPr>
            <w:rStyle w:val="Hyperlink"/>
          </w:rPr>
          <w:t>.COM/</w:t>
        </w:r>
        <w:r w:rsidR="008C0FC3" w:rsidRPr="00E64197">
          <w:rPr>
            <w:rStyle w:val="Hyperlink"/>
          </w:rPr>
          <w:t>7.d</w:t>
        </w:r>
      </w:hyperlink>
      <w:r w:rsidR="007D772F" w:rsidRPr="00E64197">
        <w:t>.</w:t>
      </w:r>
    </w:p>
    <w:p w14:paraId="70BB260F" w14:textId="374DC26F" w:rsidR="00D05BB2" w:rsidRPr="00E64197" w:rsidRDefault="00D05BB2" w:rsidP="007D772F">
      <w:pPr>
        <w:pStyle w:val="COMPara"/>
        <w:numPr>
          <w:ilvl w:val="0"/>
          <w:numId w:val="0"/>
        </w:numPr>
        <w:ind w:left="567"/>
        <w:jc w:val="both"/>
      </w:pPr>
      <w:r w:rsidRPr="00490E36">
        <w:rPr>
          <w:noProof/>
        </w:rPr>
        <w:lastRenderedPageBreak/>
        <w:drawing>
          <wp:inline distT="0" distB="0" distL="0" distR="0" wp14:anchorId="139BE46F" wp14:editId="4E8C7A5E">
            <wp:extent cx="5818786" cy="300990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34509" cy="3018033"/>
                    </a:xfrm>
                    <a:prstGeom prst="rect">
                      <a:avLst/>
                    </a:prstGeom>
                    <a:noFill/>
                  </pic:spPr>
                </pic:pic>
              </a:graphicData>
            </a:graphic>
          </wp:inline>
        </w:drawing>
      </w:r>
    </w:p>
    <w:p w14:paraId="1EF0FC6D" w14:textId="6D9E9313" w:rsidR="007D772F" w:rsidRPr="00490E36" w:rsidRDefault="007D772F" w:rsidP="007D772F">
      <w:pPr>
        <w:pStyle w:val="COMPara"/>
        <w:numPr>
          <w:ilvl w:val="0"/>
          <w:numId w:val="0"/>
        </w:numPr>
        <w:ind w:left="567"/>
        <w:jc w:val="both"/>
      </w:pPr>
      <w:r w:rsidRPr="00490E36">
        <w:rPr>
          <w:noProof/>
          <w:lang w:eastAsia="fr-FR"/>
        </w:rPr>
        <mc:AlternateContent>
          <mc:Choice Requires="wps">
            <w:drawing>
              <wp:inline distT="0" distB="0" distL="0" distR="0" wp14:anchorId="777D2953" wp14:editId="17A744E0">
                <wp:extent cx="5238750" cy="1404620"/>
                <wp:effectExtent l="0" t="0" r="0" b="0"/>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1404620"/>
                        </a:xfrm>
                        <a:prstGeom prst="rect">
                          <a:avLst/>
                        </a:prstGeom>
                        <a:solidFill>
                          <a:srgbClr val="FFFFFF"/>
                        </a:solidFill>
                        <a:ln w="9525">
                          <a:noFill/>
                          <a:miter lim="800000"/>
                          <a:headEnd/>
                          <a:tailEnd/>
                        </a:ln>
                      </wps:spPr>
                      <wps:txbx>
                        <w:txbxContent>
                          <w:p w14:paraId="3F27FB4C" w14:textId="77777777" w:rsidR="00C266C5" w:rsidRPr="000B21E2" w:rsidRDefault="00C266C5" w:rsidP="007D772F">
                            <w:pPr>
                              <w:ind w:right="201"/>
                              <w:rPr>
                                <w:rFonts w:ascii="Arial" w:hAnsi="Arial" w:cs="Arial"/>
                                <w:sz w:val="16"/>
                                <w:szCs w:val="16"/>
                                <w:lang w:val="en-US"/>
                              </w:rPr>
                            </w:pPr>
                            <w:r w:rsidRPr="000B21E2">
                              <w:rPr>
                                <w:rFonts w:ascii="Arial" w:hAnsi="Arial" w:cs="Arial"/>
                                <w:b/>
                                <w:sz w:val="16"/>
                                <w:szCs w:val="16"/>
                                <w:lang w:val="en-US"/>
                              </w:rPr>
                              <w:t xml:space="preserve">Figure </w:t>
                            </w:r>
                            <w:r>
                              <w:rPr>
                                <w:rFonts w:ascii="Arial" w:hAnsi="Arial" w:cs="Arial"/>
                                <w:b/>
                                <w:sz w:val="16"/>
                                <w:szCs w:val="16"/>
                                <w:lang w:val="en-US"/>
                              </w:rPr>
                              <w:t>3</w:t>
                            </w:r>
                            <w:r w:rsidRPr="000B21E2">
                              <w:rPr>
                                <w:rFonts w:ascii="Arial" w:hAnsi="Arial" w:cs="Arial"/>
                                <w:b/>
                                <w:sz w:val="16"/>
                                <w:szCs w:val="16"/>
                                <w:lang w:val="en-US"/>
                              </w:rPr>
                              <w:t xml:space="preserve">: </w:t>
                            </w:r>
                            <w:r>
                              <w:rPr>
                                <w:rFonts w:ascii="Arial" w:hAnsi="Arial" w:cs="Arial"/>
                                <w:sz w:val="16"/>
                                <w:szCs w:val="16"/>
                                <w:lang w:val="en-US"/>
                              </w:rPr>
                              <w:t>E</w:t>
                            </w:r>
                            <w:r w:rsidRPr="00AE2892">
                              <w:rPr>
                                <w:rFonts w:ascii="Arial" w:hAnsi="Arial" w:cs="Arial"/>
                                <w:sz w:val="16"/>
                                <w:szCs w:val="16"/>
                                <w:lang w:val="en-US"/>
                              </w:rPr>
                              <w:t xml:space="preserve">xpenditure </w:t>
                            </w:r>
                            <w:r>
                              <w:rPr>
                                <w:rFonts w:ascii="Arial" w:hAnsi="Arial" w:cs="Arial"/>
                                <w:sz w:val="16"/>
                                <w:szCs w:val="16"/>
                                <w:lang w:val="en-US"/>
                              </w:rPr>
                              <w:t>rate: International and Preparatory Assistance</w:t>
                            </w:r>
                          </w:p>
                        </w:txbxContent>
                      </wps:txbx>
                      <wps:bodyPr rot="0" vert="horz" wrap="square" lIns="91440" tIns="45720" rIns="91440" bIns="45720" anchor="t" anchorCtr="0">
                        <a:spAutoFit/>
                      </wps:bodyPr>
                    </wps:wsp>
                  </a:graphicData>
                </a:graphic>
              </wp:inline>
            </w:drawing>
          </mc:Choice>
          <mc:Fallback>
            <w:pict>
              <v:shape w14:anchorId="777D2953" id="_x0000_s1028" type="#_x0000_t202" style="width:41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" stroked="f">
                <v:textbox style="mso-fit-shape-to-text:t">
                  <w:txbxContent>
                    <w:p w14:paraId="3F27FB4C" w14:textId="77777777" w:rsidR="00C266C5" w:rsidRPr="000B21E2" w:rsidRDefault="00C266C5" w:rsidP="007D772F">
                      <w:pPr>
                        <w:ind w:right="201"/>
                        <w:rPr>
                          <w:rFonts w:ascii="Arial" w:hAnsi="Arial" w:cs="Arial"/>
                          <w:sz w:val="16"/>
                          <w:szCs w:val="16"/>
                          <w:lang w:val="en-US"/>
                        </w:rPr>
                      </w:pPr>
                      <w:r w:rsidRPr="000B21E2">
                        <w:rPr>
                          <w:rFonts w:ascii="Arial" w:hAnsi="Arial" w:cs="Arial"/>
                          <w:b/>
                          <w:sz w:val="16"/>
                          <w:szCs w:val="16"/>
                          <w:lang w:val="en-US"/>
                        </w:rPr>
                        <w:t xml:space="preserve">Figure </w:t>
                      </w:r>
                      <w:r>
                        <w:rPr>
                          <w:rFonts w:ascii="Arial" w:hAnsi="Arial" w:cs="Arial"/>
                          <w:b/>
                          <w:sz w:val="16"/>
                          <w:szCs w:val="16"/>
                          <w:lang w:val="en-US"/>
                        </w:rPr>
                        <w:t>3</w:t>
                      </w:r>
                      <w:r w:rsidRPr="000B21E2">
                        <w:rPr>
                          <w:rFonts w:ascii="Arial" w:hAnsi="Arial" w:cs="Arial"/>
                          <w:b/>
                          <w:sz w:val="16"/>
                          <w:szCs w:val="16"/>
                          <w:lang w:val="en-US"/>
                        </w:rPr>
                        <w:t xml:space="preserve">: </w:t>
                      </w:r>
                      <w:r>
                        <w:rPr>
                          <w:rFonts w:ascii="Arial" w:hAnsi="Arial" w:cs="Arial"/>
                          <w:sz w:val="16"/>
                          <w:szCs w:val="16"/>
                          <w:lang w:val="en-US"/>
                        </w:rPr>
                        <w:t>E</w:t>
                      </w:r>
                      <w:r w:rsidRPr="00AE2892">
                        <w:rPr>
                          <w:rFonts w:ascii="Arial" w:hAnsi="Arial" w:cs="Arial"/>
                          <w:sz w:val="16"/>
                          <w:szCs w:val="16"/>
                          <w:lang w:val="en-US"/>
                        </w:rPr>
                        <w:t xml:space="preserve">xpenditure </w:t>
                      </w:r>
                      <w:r>
                        <w:rPr>
                          <w:rFonts w:ascii="Arial" w:hAnsi="Arial" w:cs="Arial"/>
                          <w:sz w:val="16"/>
                          <w:szCs w:val="16"/>
                          <w:lang w:val="en-US"/>
                        </w:rPr>
                        <w:t>rate: International and Preparatory Assistance</w:t>
                      </w:r>
                    </w:p>
                  </w:txbxContent>
                </v:textbox>
                <w10:anchorlock/>
              </v:shape>
            </w:pict>
          </mc:Fallback>
        </mc:AlternateContent>
      </w:r>
    </w:p>
    <w:p w14:paraId="6B150DDA" w14:textId="4029F8AB" w:rsidR="00E82557" w:rsidRPr="00E64197" w:rsidRDefault="00E82557" w:rsidP="001110F4">
      <w:pPr>
        <w:pStyle w:val="Heading4"/>
        <w:numPr>
          <w:ilvl w:val="0"/>
          <w:numId w:val="18"/>
        </w:numPr>
        <w:spacing w:before="240" w:after="120"/>
        <w:ind w:left="567" w:hanging="567"/>
        <w:jc w:val="both"/>
      </w:pPr>
      <w:r w:rsidRPr="00E64197">
        <w:t>PROPOSED DRAFT PLAN FOR THE USE OF THE RESOURCES OF THE INTANGIBLE CULTURAL HERITAGE FUND FOR THE PERIOD 2022–2023</w:t>
      </w:r>
    </w:p>
    <w:p w14:paraId="66BB99E4" w14:textId="7BAF61C9" w:rsidR="00D12D97" w:rsidRPr="00E64197" w:rsidRDefault="00280A42" w:rsidP="008D0470">
      <w:pPr>
        <w:pStyle w:val="COMPara"/>
        <w:ind w:left="567" w:hanging="567"/>
        <w:jc w:val="both"/>
      </w:pPr>
      <w:r w:rsidRPr="00E64197">
        <w:t>The draft plan proposed below is based on an estimated total budget of approximately US$</w:t>
      </w:r>
      <w:r w:rsidR="00DF58AD" w:rsidRPr="00E64197">
        <w:t>7</w:t>
      </w:r>
      <w:r w:rsidRPr="00E64197">
        <w:t>.</w:t>
      </w:r>
      <w:r w:rsidR="00FE04E5" w:rsidRPr="00E64197">
        <w:t>7 </w:t>
      </w:r>
      <w:r w:rsidRPr="00E64197">
        <w:t xml:space="preserve">million corresponding to the amount forecasted </w:t>
      </w:r>
      <w:r w:rsidR="00D12590" w:rsidRPr="00E64197">
        <w:t xml:space="preserve">as </w:t>
      </w:r>
      <w:r w:rsidRPr="00E64197">
        <w:t xml:space="preserve">available as </w:t>
      </w:r>
      <w:r w:rsidR="00C266C5" w:rsidRPr="00E64197">
        <w:t>of</w:t>
      </w:r>
      <w:r w:rsidRPr="00E64197">
        <w:t xml:space="preserve"> 31 December 2021. </w:t>
      </w:r>
      <w:r w:rsidR="005B3427" w:rsidRPr="00E64197">
        <w:t>As the overall budget of the Plan is expected to remain stable</w:t>
      </w:r>
      <w:r w:rsidR="0037288E" w:rsidRPr="00E64197">
        <w:t xml:space="preserve">, </w:t>
      </w:r>
      <w:r w:rsidR="008A04D2" w:rsidRPr="00E64197">
        <w:t>only a few</w:t>
      </w:r>
      <w:r w:rsidR="00D12D97" w:rsidRPr="00E64197">
        <w:t xml:space="preserve"> adjustments are proposed in the</w:t>
      </w:r>
      <w:r w:rsidR="0037288E" w:rsidRPr="00E64197">
        <w:t xml:space="preserve"> use of funds and its</w:t>
      </w:r>
      <w:r w:rsidR="00D12D97" w:rsidRPr="00E64197">
        <w:t xml:space="preserve"> distribution between the different budget lines</w:t>
      </w:r>
      <w:r w:rsidR="0037288E" w:rsidRPr="00E64197">
        <w:t xml:space="preserve"> as follows</w:t>
      </w:r>
      <w:r w:rsidR="00D12D97" w:rsidRPr="00E64197">
        <w:t>:</w:t>
      </w:r>
    </w:p>
    <w:p w14:paraId="04665D07" w14:textId="35F50DC8" w:rsidR="0037288E" w:rsidRPr="00E64197" w:rsidRDefault="0037288E" w:rsidP="00C266C5">
      <w:pPr>
        <w:pStyle w:val="COMPara"/>
        <w:numPr>
          <w:ilvl w:val="0"/>
          <w:numId w:val="33"/>
        </w:numPr>
        <w:ind w:left="1134" w:hanging="567"/>
        <w:jc w:val="both"/>
      </w:pPr>
      <w:r w:rsidRPr="00E64197">
        <w:t xml:space="preserve">An increase of budget lines 2 (Preparatory Assistance) from 2% to 2.6% and 7 (Advisory services to the Committee) from 6% to </w:t>
      </w:r>
      <w:r w:rsidR="001D0121" w:rsidRPr="00E64197">
        <w:t>7.7</w:t>
      </w:r>
      <w:r w:rsidRPr="00E64197">
        <w:t xml:space="preserve">% in order to foresee the potential additional costs that may be incurred in the implementation of the </w:t>
      </w:r>
      <w:r w:rsidR="008A04D2" w:rsidRPr="00E64197">
        <w:t>outcomes</w:t>
      </w:r>
      <w:r w:rsidRPr="00E64197">
        <w:t xml:space="preserve"> from the global reflection on the listing mechanisms of the 2003 Convention (document </w:t>
      </w:r>
      <w:hyperlink r:id="rId16" w:history="1">
        <w:r w:rsidRPr="002B061E">
          <w:rPr>
            <w:rStyle w:val="Hyperlink"/>
          </w:rPr>
          <w:t>LHE/21/16.COM/14</w:t>
        </w:r>
      </w:hyperlink>
      <w:r w:rsidRPr="00E64197">
        <w:t>), should the</w:t>
      </w:r>
      <w:r w:rsidR="008A04D2" w:rsidRPr="002B061E">
        <w:t xml:space="preserve"> newl</w:t>
      </w:r>
      <w:r w:rsidRPr="00E64197">
        <w:t>y</w:t>
      </w:r>
      <w:r w:rsidR="008A04D2" w:rsidRPr="00E64197">
        <w:t xml:space="preserve"> proposed procedures</w:t>
      </w:r>
      <w:r w:rsidRPr="00E64197">
        <w:t xml:space="preserve"> </w:t>
      </w:r>
      <w:r w:rsidR="008A04D2" w:rsidRPr="00E64197">
        <w:t xml:space="preserve">for the transfer, removal and inscriptions on an extended/reduced basis of inscribed elements </w:t>
      </w:r>
      <w:r w:rsidRPr="00E64197">
        <w:t xml:space="preserve">be endorsed by the Committee at the present session and the General Assembly in 2022 (see paragraphs </w:t>
      </w:r>
      <w:r w:rsidR="000C00A1" w:rsidRPr="00E64197">
        <w:t xml:space="preserve">19 </w:t>
      </w:r>
      <w:r w:rsidRPr="00E64197">
        <w:t>and 3</w:t>
      </w:r>
      <w:r w:rsidR="008A04D2" w:rsidRPr="00E64197">
        <w:t>3</w:t>
      </w:r>
      <w:r w:rsidRPr="00E64197">
        <w:t xml:space="preserve">). This increase is offset by a </w:t>
      </w:r>
      <w:r w:rsidR="001D0121" w:rsidRPr="00E64197">
        <w:t>1.96</w:t>
      </w:r>
      <w:r w:rsidRPr="00E64197">
        <w:t xml:space="preserve">% decrease of budget line 1 (International Assistance) </w:t>
      </w:r>
      <w:r w:rsidR="00415417" w:rsidRPr="00E64197">
        <w:t>and a 0.79% decrease of budget line 1.1 (Human resources to improve the International Assistance mechanisms)</w:t>
      </w:r>
      <w:r w:rsidR="008A04D2" w:rsidRPr="00E64197">
        <w:t>;</w:t>
      </w:r>
    </w:p>
    <w:p w14:paraId="4D43E6F2" w14:textId="636E105A" w:rsidR="00280A42" w:rsidRPr="00E64197" w:rsidRDefault="0037288E" w:rsidP="00C266C5">
      <w:pPr>
        <w:pStyle w:val="COMPara"/>
        <w:numPr>
          <w:ilvl w:val="0"/>
          <w:numId w:val="33"/>
        </w:numPr>
        <w:ind w:left="1134" w:hanging="567"/>
        <w:jc w:val="both"/>
      </w:pPr>
      <w:r w:rsidRPr="00E64197">
        <w:t>T</w:t>
      </w:r>
      <w:r w:rsidR="005B3427" w:rsidRPr="00E64197">
        <w:t>ak</w:t>
      </w:r>
      <w:r w:rsidRPr="00E64197">
        <w:t>ing</w:t>
      </w:r>
      <w:r w:rsidR="005B3427" w:rsidRPr="00E64197">
        <w:t xml:space="preserve"> into account the </w:t>
      </w:r>
      <w:r w:rsidR="008A04D2" w:rsidRPr="00E64197">
        <w:t>findings from</w:t>
      </w:r>
      <w:r w:rsidR="00DE12E8" w:rsidRPr="00E64197">
        <w:t xml:space="preserve"> the evaluation by the Internal Oversight Service (IOS) of UNESCO’s action in the framework of the 2003 Convention for the Safeguarding of the Intangible Cultural Heritage (document </w:t>
      </w:r>
      <w:hyperlink r:id="rId17" w:history="1">
        <w:r w:rsidR="00DE12E8" w:rsidRPr="002B061E">
          <w:rPr>
            <w:rStyle w:val="Hyperlink"/>
          </w:rPr>
          <w:t>LHE/21/16.COM/INF.10</w:t>
        </w:r>
      </w:hyperlink>
      <w:r w:rsidRPr="00E64197">
        <w:t>, hereafter referred to as the ‘IOS evaluation’</w:t>
      </w:r>
      <w:r w:rsidR="00DE12E8" w:rsidRPr="00E64197">
        <w:t>)</w:t>
      </w:r>
      <w:r w:rsidRPr="00E64197">
        <w:t>, it is proposed to use part of the funds under budget line 1 to cover the monitoring and evaluation</w:t>
      </w:r>
      <w:r w:rsidR="00D5242D" w:rsidRPr="00E64197">
        <w:t xml:space="preserve"> costs</w:t>
      </w:r>
      <w:r w:rsidRPr="00E64197">
        <w:t xml:space="preserve"> of projects</w:t>
      </w:r>
      <w:r w:rsidR="00D5242D" w:rsidRPr="00E64197">
        <w:t>, in order</w:t>
      </w:r>
      <w:r w:rsidR="008A04D2" w:rsidRPr="00E64197">
        <w:t xml:space="preserve"> </w:t>
      </w:r>
      <w:r w:rsidR="0055308B" w:rsidRPr="00E64197">
        <w:t xml:space="preserve">to </w:t>
      </w:r>
      <w:r w:rsidR="008A04D2" w:rsidRPr="00E64197">
        <w:t>better support States Parties in the implementation of safeguarding programmes and</w:t>
      </w:r>
      <w:r w:rsidR="00D5242D" w:rsidRPr="00E64197">
        <w:t xml:space="preserve"> to </w:t>
      </w:r>
      <w:r w:rsidRPr="00E64197">
        <w:t>measure the contribution of International Assistance projects to national safeguarding efforts</w:t>
      </w:r>
      <w:r w:rsidR="00D5242D" w:rsidRPr="00E64197">
        <w:t>.</w:t>
      </w:r>
    </w:p>
    <w:p w14:paraId="1ADB5280" w14:textId="4A075F11" w:rsidR="00E15490" w:rsidRPr="00E64197" w:rsidRDefault="00E15490" w:rsidP="00E15490">
      <w:pPr>
        <w:pStyle w:val="GAPara"/>
        <w:keepNext/>
        <w:numPr>
          <w:ilvl w:val="0"/>
          <w:numId w:val="0"/>
        </w:numPr>
        <w:spacing w:before="240"/>
        <w:rPr>
          <w:highlight w:val="yellow"/>
        </w:rPr>
      </w:pPr>
      <w:r w:rsidRPr="00E64197">
        <w:rPr>
          <w:b/>
          <w:bCs/>
        </w:rPr>
        <w:t>International Assistance</w:t>
      </w:r>
    </w:p>
    <w:p w14:paraId="5F204609" w14:textId="0725EA8A" w:rsidR="00792AA0" w:rsidRPr="00E64197" w:rsidRDefault="00792AA0" w:rsidP="008D0470">
      <w:pPr>
        <w:pStyle w:val="COMPara"/>
        <w:ind w:left="567" w:hanging="567"/>
        <w:jc w:val="both"/>
      </w:pPr>
      <w:r w:rsidRPr="00E64197">
        <w:t>In line with the priorities set by the Guidelines for the use of the resources of the Fund in Chapter II.1 of the Operational Directives, it is proposed that the majority of the resources</w:t>
      </w:r>
      <w:r w:rsidR="00C9785A" w:rsidRPr="00E64197">
        <w:t xml:space="preserve"> (</w:t>
      </w:r>
      <w:r w:rsidR="001D0121" w:rsidRPr="00E64197">
        <w:t>62.6</w:t>
      </w:r>
      <w:r w:rsidR="00C9785A" w:rsidRPr="00E64197">
        <w:t>%)</w:t>
      </w:r>
      <w:r w:rsidRPr="00E64197">
        <w:t xml:space="preserve"> be allocated to providing International Assistance to States Parties to supplement their national efforts to safeguard intangible cultural heritage (</w:t>
      </w:r>
      <w:r w:rsidRPr="00E64197">
        <w:rPr>
          <w:b/>
        </w:rPr>
        <w:t>budget lines 1, 1.1 and 2</w:t>
      </w:r>
      <w:r w:rsidRPr="00E64197">
        <w:t>).</w:t>
      </w:r>
    </w:p>
    <w:p w14:paraId="6D06D5FF" w14:textId="69069F49" w:rsidR="00A32C67" w:rsidRPr="00E64197" w:rsidRDefault="00413055" w:rsidP="002D4711">
      <w:pPr>
        <w:pStyle w:val="COMPara"/>
        <w:ind w:left="567" w:hanging="567"/>
        <w:jc w:val="both"/>
      </w:pPr>
      <w:r w:rsidRPr="00E64197">
        <w:t xml:space="preserve">Funds allocated to </w:t>
      </w:r>
      <w:r w:rsidRPr="00E64197">
        <w:rPr>
          <w:b/>
          <w:bCs/>
        </w:rPr>
        <w:t>budget line 1</w:t>
      </w:r>
      <w:r w:rsidRPr="00E64197">
        <w:t xml:space="preserve"> </w:t>
      </w:r>
      <w:r w:rsidR="0034054E" w:rsidRPr="00E64197">
        <w:t>(</w:t>
      </w:r>
      <w:r w:rsidR="001D0121" w:rsidRPr="00E64197">
        <w:t>50</w:t>
      </w:r>
      <w:r w:rsidR="0001287A" w:rsidRPr="00E64197">
        <w:t>%</w:t>
      </w:r>
      <w:r w:rsidR="0034054E" w:rsidRPr="00E64197">
        <w:t>)</w:t>
      </w:r>
      <w:r w:rsidR="0001287A" w:rsidRPr="00E64197">
        <w:t xml:space="preserve"> </w:t>
      </w:r>
      <w:r w:rsidR="0034054E" w:rsidRPr="00E64197">
        <w:t>are</w:t>
      </w:r>
      <w:r w:rsidR="009F7D38" w:rsidRPr="00E64197">
        <w:t xml:space="preserve"> </w:t>
      </w:r>
      <w:r w:rsidR="000541AA" w:rsidRPr="00E64197">
        <w:t>foreseen</w:t>
      </w:r>
      <w:r w:rsidR="009F7D38" w:rsidRPr="00E64197">
        <w:t xml:space="preserve"> for the support </w:t>
      </w:r>
      <w:r w:rsidR="0034054E" w:rsidRPr="00E64197">
        <w:t xml:space="preserve">to </w:t>
      </w:r>
      <w:r w:rsidR="009F7D38" w:rsidRPr="00E64197">
        <w:t xml:space="preserve">States, through the </w:t>
      </w:r>
      <w:r w:rsidR="0034054E" w:rsidRPr="00E64197">
        <w:t>I</w:t>
      </w:r>
      <w:r w:rsidR="009F7D38" w:rsidRPr="00E64197">
        <w:t xml:space="preserve">nternational </w:t>
      </w:r>
      <w:r w:rsidR="0034054E" w:rsidRPr="00E64197">
        <w:t>A</w:t>
      </w:r>
      <w:r w:rsidR="009F7D38" w:rsidRPr="00E64197">
        <w:t>ssistance mechanism</w:t>
      </w:r>
      <w:r w:rsidR="0034054E" w:rsidRPr="00E64197">
        <w:t>s</w:t>
      </w:r>
      <w:r w:rsidR="000541AA" w:rsidRPr="00E64197">
        <w:t xml:space="preserve">, </w:t>
      </w:r>
      <w:r w:rsidR="0034054E" w:rsidRPr="00E64197">
        <w:t>in</w:t>
      </w:r>
      <w:r w:rsidR="000541AA" w:rsidRPr="00E64197">
        <w:t xml:space="preserve"> the safeguarding of heritage inscribed on the List of Intangible Cultural Heritage in Need of Urgent Safeguarding, the preparation of inventories and </w:t>
      </w:r>
      <w:r w:rsidR="000541AA" w:rsidRPr="00E64197">
        <w:lastRenderedPageBreak/>
        <w:t>other safeguarding programmes</w:t>
      </w:r>
      <w:r w:rsidR="0034054E" w:rsidRPr="00E64197">
        <w:t xml:space="preserve"> and projects</w:t>
      </w:r>
      <w:r w:rsidR="000541AA" w:rsidRPr="00E64197">
        <w:t xml:space="preserve">. </w:t>
      </w:r>
      <w:r w:rsidR="005730DD" w:rsidRPr="00E64197">
        <w:t>Although the number of request</w:t>
      </w:r>
      <w:r w:rsidR="00186703" w:rsidRPr="00E64197">
        <w:t>s</w:t>
      </w:r>
      <w:r w:rsidR="005730DD" w:rsidRPr="00E64197">
        <w:t xml:space="preserve"> has decreased during the previous biennium (see paragraph </w:t>
      </w:r>
      <w:r w:rsidR="00DA61FE" w:rsidRPr="00E64197">
        <w:t>1</w:t>
      </w:r>
      <w:r w:rsidR="008A04D2" w:rsidRPr="00E64197">
        <w:t>3</w:t>
      </w:r>
      <w:r w:rsidR="005730DD" w:rsidRPr="00E64197">
        <w:t xml:space="preserve">), it is important to maintain the allocation of budget line 1 at </w:t>
      </w:r>
      <w:r w:rsidR="008A04D2" w:rsidRPr="00E64197">
        <w:t>a</w:t>
      </w:r>
      <w:r w:rsidR="005730DD" w:rsidRPr="00E64197">
        <w:t xml:space="preserve"> </w:t>
      </w:r>
      <w:r w:rsidR="0034054E" w:rsidRPr="00E64197">
        <w:t xml:space="preserve">high </w:t>
      </w:r>
      <w:r w:rsidR="005730DD" w:rsidRPr="00E64197">
        <w:t xml:space="preserve">level to enable States Parties to strengthen their safeguarding efforts. Emphasis will be placed </w:t>
      </w:r>
      <w:r w:rsidR="00AF085E" w:rsidRPr="00E64197">
        <w:t>during</w:t>
      </w:r>
      <w:r w:rsidR="005730DD" w:rsidRPr="00E64197">
        <w:t xml:space="preserve"> the next biennium on promoting</w:t>
      </w:r>
      <w:r w:rsidR="0034054E" w:rsidRPr="00E64197">
        <w:t xml:space="preserve"> the</w:t>
      </w:r>
      <w:r w:rsidR="005730DD" w:rsidRPr="00E64197">
        <w:t xml:space="preserve"> </w:t>
      </w:r>
      <w:r w:rsidR="0034054E" w:rsidRPr="00E64197">
        <w:t>I</w:t>
      </w:r>
      <w:r w:rsidR="005730DD" w:rsidRPr="00E64197">
        <w:t xml:space="preserve">nternational </w:t>
      </w:r>
      <w:r w:rsidR="0034054E" w:rsidRPr="00E64197">
        <w:t>A</w:t>
      </w:r>
      <w:r w:rsidR="005730DD" w:rsidRPr="00E64197">
        <w:t>ssistance mechanisms and improving access to the Fund.</w:t>
      </w:r>
    </w:p>
    <w:p w14:paraId="2DD91378" w14:textId="3E19A124" w:rsidR="0034054E" w:rsidRPr="00E64197" w:rsidRDefault="0034054E" w:rsidP="0034054E">
      <w:pPr>
        <w:pStyle w:val="COMPara"/>
        <w:ind w:left="567" w:hanging="567"/>
        <w:jc w:val="both"/>
      </w:pPr>
      <w:r w:rsidRPr="00E64197">
        <w:t>Noting that the project</w:t>
      </w:r>
      <w:r w:rsidR="008A04D2" w:rsidRPr="00E64197">
        <w:t>s</w:t>
      </w:r>
      <w:r w:rsidRPr="00E64197">
        <w:t xml:space="preserve"> supported by the Intangible Cultural Heritage Fund through the International Assistance mechanisms benefit from ‘a relatively low level of monitoring and evaluation overall’, the IOS evaluation recommended strengthen</w:t>
      </w:r>
      <w:r w:rsidR="008A04D2" w:rsidRPr="00E64197">
        <w:t>ing</w:t>
      </w:r>
      <w:r w:rsidRPr="00E64197">
        <w:t xml:space="preserve"> the quality of project design, monitoring and outcomes reporting (</w:t>
      </w:r>
      <w:r w:rsidR="00BE613A" w:rsidRPr="00E64197">
        <w:t xml:space="preserve">IOS </w:t>
      </w:r>
      <w:r w:rsidRPr="00E64197">
        <w:t xml:space="preserve">Recommendation 6) and </w:t>
      </w:r>
      <w:r w:rsidR="00EA5066" w:rsidRPr="00E64197">
        <w:t xml:space="preserve">promoting </w:t>
      </w:r>
      <w:r w:rsidRPr="00E64197">
        <w:t>the ‘provision of relevant guidelines and tools for the design, implementation and reporting on projects’ (</w:t>
      </w:r>
      <w:r w:rsidR="00BE613A" w:rsidRPr="00E64197">
        <w:t xml:space="preserve">IOS </w:t>
      </w:r>
      <w:r w:rsidRPr="00E64197">
        <w:t xml:space="preserve">Recommendation 5). While the creation of the Safeguarding Implementation and Monitoring team in 2018 provided human resources to manage the International Assistance mechanisms, monitoring and evaluating individual projects require significant resources for the Secretariat and </w:t>
      </w:r>
      <w:r w:rsidR="00A402C3" w:rsidRPr="00E64197">
        <w:t xml:space="preserve">the </w:t>
      </w:r>
      <w:r w:rsidRPr="00E64197">
        <w:t>Field Offices involved in the implementation of projects concerned and would benefit in some cases from the assistance of external experts, in particular to provide an independent evaluation of projects. To this end, the Committee may wish to authorize, on an experimental basis, the use of funds under budget line 1 in an amount not exceeding 10%</w:t>
      </w:r>
      <w:r w:rsidRPr="00E64197">
        <w:rPr>
          <w:rStyle w:val="FootnoteReference"/>
        </w:rPr>
        <w:footnoteReference w:id="3"/>
      </w:r>
      <w:r w:rsidRPr="00E64197">
        <w:t xml:space="preserve"> of the approved budget of each approved International Assistance project, to finance the provision of expertise, as described in Article 21 of the Convention, </w:t>
      </w:r>
      <w:r w:rsidR="00BE613A" w:rsidRPr="00E64197">
        <w:t xml:space="preserve">for </w:t>
      </w:r>
      <w:r w:rsidRPr="00E64197">
        <w:t>monitor</w:t>
      </w:r>
      <w:r w:rsidR="00BE613A" w:rsidRPr="00E64197">
        <w:t>ing</w:t>
      </w:r>
      <w:r w:rsidRPr="00E64197">
        <w:t xml:space="preserve"> and evaluat</w:t>
      </w:r>
      <w:r w:rsidR="00BE613A" w:rsidRPr="00E64197">
        <w:t>ing</w:t>
      </w:r>
      <w:r w:rsidRPr="00E64197">
        <w:t xml:space="preserve"> </w:t>
      </w:r>
      <w:r w:rsidR="00BE613A" w:rsidRPr="00E64197">
        <w:t xml:space="preserve">ongoing and recently completed </w:t>
      </w:r>
      <w:r w:rsidRPr="00E64197">
        <w:t>International Assistance projects. These additional funds, separate from the grants allocated to the beneficiaries, would be dedicated to the evaluation and monitoring of projects and would be managed directly by the Secretariat. Monitoring and evaluation actions will be carried out using the methodologies that will be developed in the framework of the International Assistance monitoring strategy and may take the form of monitoring missions and contracts with individual experts to be planned in cooperation with the State Party concerned and according to the needs and requirements of each project.</w:t>
      </w:r>
    </w:p>
    <w:p w14:paraId="4BD8FD87" w14:textId="78B7965B" w:rsidR="00792AA0" w:rsidRPr="00E64197" w:rsidRDefault="00792AA0" w:rsidP="008D0470">
      <w:pPr>
        <w:pStyle w:val="COMPara"/>
        <w:tabs>
          <w:tab w:val="left" w:pos="567"/>
        </w:tabs>
        <w:ind w:left="567" w:hanging="567"/>
        <w:jc w:val="both"/>
      </w:pPr>
      <w:r w:rsidRPr="00E64197">
        <w:t>At its seventh session in June 2018, the General Assembly approved the creation of three extra-budgetary fixed-term posts (</w:t>
      </w:r>
      <w:r w:rsidR="00BE613A" w:rsidRPr="00E64197">
        <w:t xml:space="preserve">Resolution </w:t>
      </w:r>
      <w:hyperlink r:id="rId18" w:history="1">
        <w:r w:rsidR="00BE613A" w:rsidRPr="002B061E">
          <w:rPr>
            <w:rStyle w:val="Hyperlink"/>
          </w:rPr>
          <w:t>7.GA 8</w:t>
        </w:r>
      </w:hyperlink>
      <w:r w:rsidRPr="00E64197">
        <w:t xml:space="preserve">) </w:t>
      </w:r>
      <w:r w:rsidRPr="002B061E">
        <w:t>to form a dedicated team to operationalize the implementation of the International Assistance mechanisms</w:t>
      </w:r>
      <w:r w:rsidR="003A72A3" w:rsidRPr="00E64197">
        <w:t xml:space="preserve"> (Safeguarding Implementation and Monitoring team)</w:t>
      </w:r>
      <w:r w:rsidRPr="00E64197">
        <w:t xml:space="preserve">. Some </w:t>
      </w:r>
      <w:r w:rsidR="003A72A3" w:rsidRPr="00E64197">
        <w:t>10</w:t>
      </w:r>
      <w:r w:rsidRPr="00E64197">
        <w:t>% of the resources of the Fund are proposed to be allocated to cover the costs of these three posts (</w:t>
      </w:r>
      <w:r w:rsidRPr="00E64197">
        <w:rPr>
          <w:b/>
        </w:rPr>
        <w:t>budget line 1.1</w:t>
      </w:r>
      <w:r w:rsidRPr="00E64197">
        <w:t>).</w:t>
      </w:r>
    </w:p>
    <w:p w14:paraId="2A3CEBDF" w14:textId="30AEB23D" w:rsidR="00C9785A" w:rsidRPr="00E64197" w:rsidRDefault="008C0FC3" w:rsidP="00C266C5">
      <w:pPr>
        <w:pStyle w:val="COMPara"/>
        <w:tabs>
          <w:tab w:val="left" w:pos="567"/>
        </w:tabs>
        <w:ind w:left="567" w:hanging="567"/>
        <w:jc w:val="both"/>
      </w:pPr>
      <w:r w:rsidRPr="00E64197">
        <w:t xml:space="preserve">Furthermore, it is proposed that </w:t>
      </w:r>
      <w:r w:rsidR="003A72A3" w:rsidRPr="00E64197">
        <w:t>2.6</w:t>
      </w:r>
      <w:r w:rsidRPr="00E64197">
        <w:t>% of the funds be budgeted for granting preparatory assistance (</w:t>
      </w:r>
      <w:r w:rsidRPr="00E64197">
        <w:rPr>
          <w:b/>
          <w:bCs/>
        </w:rPr>
        <w:t>budget line</w:t>
      </w:r>
      <w:r w:rsidR="00342926" w:rsidRPr="00E64197">
        <w:rPr>
          <w:b/>
          <w:bCs/>
        </w:rPr>
        <w:t> </w:t>
      </w:r>
      <w:r w:rsidRPr="00E64197">
        <w:rPr>
          <w:b/>
          <w:bCs/>
        </w:rPr>
        <w:t>2</w:t>
      </w:r>
      <w:r w:rsidRPr="00E64197">
        <w:t>)</w:t>
      </w:r>
      <w:r w:rsidR="00931489" w:rsidRPr="00E64197">
        <w:t>, which represents a slight increase compared with the present biennium (2%).</w:t>
      </w:r>
      <w:r w:rsidRPr="00E64197">
        <w:t xml:space="preserve"> In addition to preparatory assistance for nomination file</w:t>
      </w:r>
      <w:r w:rsidR="001679A5" w:rsidRPr="00E64197">
        <w:t>s</w:t>
      </w:r>
      <w:r w:rsidRPr="00E64197">
        <w:t xml:space="preserve">, </w:t>
      </w:r>
      <w:r w:rsidR="00931489" w:rsidRPr="00E64197">
        <w:t xml:space="preserve">this budget line covers the costs incurred for the provision of </w:t>
      </w:r>
      <w:r w:rsidRPr="00E64197">
        <w:t>technical assistance to States Parties for preparing International Assistance requests</w:t>
      </w:r>
      <w:r w:rsidRPr="00E64197">
        <w:rPr>
          <w:rStyle w:val="FootnoteReference"/>
        </w:rPr>
        <w:footnoteReference w:id="4"/>
      </w:r>
      <w:r w:rsidRPr="00E64197">
        <w:t xml:space="preserve">. </w:t>
      </w:r>
      <w:r w:rsidR="00931489" w:rsidRPr="002B061E">
        <w:t>Through the present Plan, i</w:t>
      </w:r>
      <w:r w:rsidR="00931489" w:rsidRPr="00E64197">
        <w:t xml:space="preserve">t is proposed that budget line 2 also </w:t>
      </w:r>
      <w:r w:rsidR="00A402C3" w:rsidRPr="00E64197">
        <w:t xml:space="preserve">be </w:t>
      </w:r>
      <w:r w:rsidR="00931489" w:rsidRPr="00E64197">
        <w:t xml:space="preserve">used </w:t>
      </w:r>
      <w:r w:rsidR="00463FAC" w:rsidRPr="00E64197">
        <w:t>to grant</w:t>
      </w:r>
      <w:r w:rsidR="00931489" w:rsidRPr="00E64197">
        <w:t xml:space="preserve"> preparatory assistance for</w:t>
      </w:r>
      <w:r w:rsidR="00C9785A" w:rsidRPr="00E64197">
        <w:t xml:space="preserve"> requests for</w:t>
      </w:r>
      <w:r w:rsidR="00931489" w:rsidRPr="00E64197">
        <w:t xml:space="preserve"> </w:t>
      </w:r>
      <w:r w:rsidR="00C9785A" w:rsidRPr="00E64197">
        <w:t>the transfer of inscribed elements between the two Lists of the Convention, as well as for inscriptions of elements on an extended or reduced basis.</w:t>
      </w:r>
    </w:p>
    <w:p w14:paraId="53CB7EDA" w14:textId="3AB716CB" w:rsidR="001D7E01" w:rsidRPr="00E64197" w:rsidRDefault="000153DC" w:rsidP="00C266C5">
      <w:pPr>
        <w:pStyle w:val="COMPara"/>
        <w:tabs>
          <w:tab w:val="left" w:pos="567"/>
        </w:tabs>
        <w:ind w:left="567" w:hanging="567"/>
        <w:jc w:val="both"/>
        <w:rPr>
          <w:rStyle w:val="hps"/>
        </w:rPr>
      </w:pPr>
      <w:r w:rsidRPr="00E64197">
        <w:t>This relates to the recommendation of t</w:t>
      </w:r>
      <w:r w:rsidR="001679A5" w:rsidRPr="00E64197">
        <w:t xml:space="preserve">he Open-ended intergovernmental working group in the framework of the global reflection on the listing mechanisms of the 2003 Convention </w:t>
      </w:r>
      <w:r w:rsidRPr="00E64197">
        <w:t xml:space="preserve">as regards </w:t>
      </w:r>
      <w:r w:rsidR="001679A5" w:rsidRPr="00E64197">
        <w:t xml:space="preserve">the introduction of specific procedures for the transfer of inscribed elements between the two Lists of the Convention, as well as for inscriptions of elements on an extended or reduced basis (see paragraphs </w:t>
      </w:r>
      <w:r w:rsidR="001D7E01" w:rsidRPr="00E64197">
        <w:t xml:space="preserve">5, 7 and 8 in document </w:t>
      </w:r>
      <w:hyperlink r:id="rId19" w:history="1">
        <w:r w:rsidR="001D7E01" w:rsidRPr="002B061E">
          <w:rPr>
            <w:rStyle w:val="Hyperlink"/>
          </w:rPr>
          <w:t>LHE/21/16.C</w:t>
        </w:r>
        <w:r w:rsidR="001D7E01" w:rsidRPr="00E64197">
          <w:rPr>
            <w:rStyle w:val="Hyperlink"/>
          </w:rPr>
          <w:t>OM</w:t>
        </w:r>
        <w:r w:rsidR="00270A24" w:rsidRPr="00E64197">
          <w:rPr>
            <w:rStyle w:val="Hyperlink"/>
          </w:rPr>
          <w:t> </w:t>
        </w:r>
        <w:r w:rsidR="001D7E01" w:rsidRPr="00E64197">
          <w:rPr>
            <w:rStyle w:val="Hyperlink"/>
          </w:rPr>
          <w:t>WG/Recommendations</w:t>
        </w:r>
      </w:hyperlink>
      <w:r w:rsidR="001D7E01" w:rsidRPr="00E64197">
        <w:t>). As part of the proposed procedures which the present session of the Committee is asked to examine (</w:t>
      </w:r>
      <w:r w:rsidR="001D7E01" w:rsidRPr="002B061E">
        <w:t xml:space="preserve">document </w:t>
      </w:r>
      <w:hyperlink r:id="rId20" w:history="1">
        <w:r w:rsidR="001D7E01" w:rsidRPr="002B061E">
          <w:rPr>
            <w:rStyle w:val="Hyperlink"/>
          </w:rPr>
          <w:t>LHE/21/16.COM/14</w:t>
        </w:r>
      </w:hyperlink>
      <w:r w:rsidR="001D7E01" w:rsidRPr="00E64197">
        <w:t xml:space="preserve">), States Parties and the communities concerned </w:t>
      </w:r>
      <w:r w:rsidR="00C9785A" w:rsidRPr="00E64197">
        <w:t>would be</w:t>
      </w:r>
      <w:r w:rsidR="001D7E01" w:rsidRPr="00E64197">
        <w:t xml:space="preserve"> offered the possibility to request expert</w:t>
      </w:r>
      <w:r w:rsidR="00931489" w:rsidRPr="00E64197">
        <w:t xml:space="preserve"> advice</w:t>
      </w:r>
      <w:r w:rsidR="001D7E01" w:rsidRPr="00E64197">
        <w:t xml:space="preserve"> prior to the possible submission of a request for transfer or for </w:t>
      </w:r>
      <w:r w:rsidR="00463FAC" w:rsidRPr="00E64197">
        <w:t xml:space="preserve">an </w:t>
      </w:r>
      <w:r w:rsidR="001D7E01" w:rsidRPr="00E64197">
        <w:t xml:space="preserve">inscription on an extended/reduced basis (‘pre-submission actions’). On the basis of a letter from the State Party seeking assistance, the Secretariat </w:t>
      </w:r>
      <w:r w:rsidR="001D7E01" w:rsidRPr="00E64197">
        <w:rPr>
          <w:rStyle w:val="hps"/>
        </w:rPr>
        <w:t>could arrange for the provision of expertise, as described in Article 21 of the Convention, to assist the</w:t>
      </w:r>
      <w:r w:rsidR="001D7E01" w:rsidRPr="00E64197">
        <w:t xml:space="preserve"> </w:t>
      </w:r>
      <w:r w:rsidR="001D7E01" w:rsidRPr="00E64197">
        <w:rPr>
          <w:rStyle w:val="hps"/>
        </w:rPr>
        <w:t>State and communities in developing such a request.</w:t>
      </w:r>
      <w:r w:rsidR="00931489" w:rsidRPr="00E64197">
        <w:rPr>
          <w:rStyle w:val="hps"/>
        </w:rPr>
        <w:t xml:space="preserve"> Should the Committee and the General Assembly endorse this possibility for ‘assistance to pre-submission actions’, the proposed increased allocation from 2% to 2.6% would allow the provision of such an assistance for an initial number </w:t>
      </w:r>
      <w:r w:rsidR="00463FAC" w:rsidRPr="00E64197">
        <w:rPr>
          <w:rStyle w:val="hps"/>
        </w:rPr>
        <w:t xml:space="preserve">of </w:t>
      </w:r>
      <w:r w:rsidR="00931489" w:rsidRPr="00E64197">
        <w:rPr>
          <w:rStyle w:val="hps"/>
        </w:rPr>
        <w:t xml:space="preserve">requests that the Secretariat may receive </w:t>
      </w:r>
      <w:r w:rsidR="00C9785A" w:rsidRPr="00E64197">
        <w:rPr>
          <w:rStyle w:val="hps"/>
        </w:rPr>
        <w:t>during the 2022</w:t>
      </w:r>
      <w:r w:rsidR="00A402C3" w:rsidRPr="00E64197">
        <w:rPr>
          <w:rStyle w:val="hps"/>
        </w:rPr>
        <w:t>–</w:t>
      </w:r>
      <w:r w:rsidR="00C9785A" w:rsidRPr="00E64197">
        <w:rPr>
          <w:rStyle w:val="hps"/>
        </w:rPr>
        <w:t>2023</w:t>
      </w:r>
      <w:r w:rsidR="00A402C3" w:rsidRPr="00E64197">
        <w:rPr>
          <w:rStyle w:val="hps"/>
        </w:rPr>
        <w:t xml:space="preserve"> </w:t>
      </w:r>
      <w:r w:rsidR="00C9785A" w:rsidRPr="00E64197">
        <w:rPr>
          <w:rStyle w:val="hps"/>
        </w:rPr>
        <w:t xml:space="preserve">biennium, </w:t>
      </w:r>
      <w:r w:rsidR="00931489" w:rsidRPr="00E64197">
        <w:rPr>
          <w:rStyle w:val="hps"/>
        </w:rPr>
        <w:t>after the ninth session of the General Assembly.</w:t>
      </w:r>
    </w:p>
    <w:p w14:paraId="42623C9B" w14:textId="15773470" w:rsidR="008C0FC3" w:rsidRPr="00E64197" w:rsidRDefault="00E15490" w:rsidP="00C266C5">
      <w:pPr>
        <w:pStyle w:val="COMPara"/>
        <w:numPr>
          <w:ilvl w:val="0"/>
          <w:numId w:val="0"/>
        </w:numPr>
        <w:tabs>
          <w:tab w:val="left" w:pos="567"/>
        </w:tabs>
        <w:spacing w:before="240"/>
        <w:jc w:val="both"/>
        <w:rPr>
          <w:b/>
          <w:bCs/>
        </w:rPr>
      </w:pPr>
      <w:bookmarkStart w:id="0" w:name="_Hlk84601281"/>
      <w:r w:rsidRPr="00E64197">
        <w:rPr>
          <w:b/>
          <w:bCs/>
        </w:rPr>
        <w:t>‘</w:t>
      </w:r>
      <w:r w:rsidR="008C0FC3" w:rsidRPr="00E64197">
        <w:rPr>
          <w:b/>
          <w:bCs/>
        </w:rPr>
        <w:t>Other functions of the Committee’</w:t>
      </w:r>
    </w:p>
    <w:bookmarkEnd w:id="0"/>
    <w:p w14:paraId="26AA1D58" w14:textId="63925B09" w:rsidR="00E15490" w:rsidRPr="00E64197" w:rsidRDefault="00B913C4" w:rsidP="00C266C5">
      <w:pPr>
        <w:pStyle w:val="COMPara"/>
        <w:tabs>
          <w:tab w:val="left" w:pos="567"/>
        </w:tabs>
        <w:ind w:left="567" w:hanging="567"/>
        <w:jc w:val="both"/>
      </w:pPr>
      <w:r w:rsidRPr="00E64197">
        <w:rPr>
          <w:b/>
        </w:rPr>
        <w:t>Budget line 3</w:t>
      </w:r>
      <w:r w:rsidRPr="00E64197">
        <w:t xml:space="preserve"> (‘</w:t>
      </w:r>
      <w:r w:rsidR="00463FAC" w:rsidRPr="00E64197">
        <w:t>o</w:t>
      </w:r>
      <w:r w:rsidRPr="00E64197">
        <w:t>ther functions of the Committee’)</w:t>
      </w:r>
      <w:r w:rsidR="00E15490" w:rsidRPr="00E64197">
        <w:t xml:space="preserve"> will be maintained at 20% in order to strengthen the work initiated during the current biennium</w:t>
      </w:r>
      <w:r w:rsidR="005F7BAC" w:rsidRPr="00E64197">
        <w:t>, taking into consideration the recommendations made by the IOS evaluation</w:t>
      </w:r>
      <w:r w:rsidR="00E15490" w:rsidRPr="00E64197">
        <w:t>. Such functions are listed under Article 7 of the Convention</w:t>
      </w:r>
      <w:r w:rsidR="00A402C3" w:rsidRPr="00E64197">
        <w:t>,</w:t>
      </w:r>
      <w:r w:rsidR="00E15490" w:rsidRPr="00E64197">
        <w:t xml:space="preserve"> and the Secretariat makes use of these funds to assist the Committee in performing these functions, as required by Article 10 of the Convention. In other words, these funds will primarily be used for </w:t>
      </w:r>
      <w:r w:rsidR="00363734" w:rsidRPr="00E64197">
        <w:rPr>
          <w:rStyle w:val="hps"/>
        </w:rPr>
        <w:t xml:space="preserve">upstream and cross-cutting actions aiming to </w:t>
      </w:r>
      <w:r w:rsidR="00E15490" w:rsidRPr="00E64197">
        <w:t>promot</w:t>
      </w:r>
      <w:r w:rsidR="00363734" w:rsidRPr="00E64197">
        <w:t>e</w:t>
      </w:r>
      <w:r w:rsidR="00E15490" w:rsidRPr="00E64197">
        <w:t xml:space="preserve"> the objectives of the Convention and encourag</w:t>
      </w:r>
      <w:r w:rsidR="00363734" w:rsidRPr="00E64197">
        <w:t>e</w:t>
      </w:r>
      <w:r w:rsidR="00E15490" w:rsidRPr="00E64197">
        <w:t xml:space="preserve"> and monitor its implementation (Article 7[a])</w:t>
      </w:r>
      <w:r w:rsidR="00A27B60" w:rsidRPr="00E64197">
        <w:t>, as well as provid</w:t>
      </w:r>
      <w:r w:rsidR="00363734" w:rsidRPr="00E64197">
        <w:t>e</w:t>
      </w:r>
      <w:r w:rsidR="00A27B60" w:rsidRPr="00E64197">
        <w:t xml:space="preserve"> guidance on measures for the safeguarding of intangible cultural heritage (Article 7[b])</w:t>
      </w:r>
      <w:r w:rsidR="00E15490" w:rsidRPr="00E64197">
        <w:t>.</w:t>
      </w:r>
    </w:p>
    <w:p w14:paraId="65549E30" w14:textId="72BF2677" w:rsidR="00483DEF" w:rsidRPr="00E64197" w:rsidRDefault="00E15490" w:rsidP="00463FAC">
      <w:pPr>
        <w:pStyle w:val="COMPara"/>
        <w:tabs>
          <w:tab w:val="left" w:pos="567"/>
        </w:tabs>
        <w:ind w:left="567" w:hanging="567"/>
        <w:jc w:val="both"/>
        <w:rPr>
          <w:rStyle w:val="hps"/>
        </w:rPr>
      </w:pPr>
      <w:r w:rsidRPr="00E64197">
        <w:rPr>
          <w:bCs/>
        </w:rPr>
        <w:t>At its fourteenth session in 2019, the Committee introduced a new approval procedure for the spending plan under budget line 3 (</w:t>
      </w:r>
      <w:r w:rsidR="00A27B60" w:rsidRPr="00E64197">
        <w:t xml:space="preserve">Decision </w:t>
      </w:r>
      <w:hyperlink r:id="rId21" w:history="1">
        <w:r w:rsidR="00A27B60" w:rsidRPr="002B061E">
          <w:rPr>
            <w:rStyle w:val="Hyperlink"/>
            <w:bCs/>
          </w:rPr>
          <w:t>14.COM 7</w:t>
        </w:r>
      </w:hyperlink>
      <w:r w:rsidRPr="00E64197">
        <w:rPr>
          <w:bCs/>
        </w:rPr>
        <w:t xml:space="preserve">). In </w:t>
      </w:r>
      <w:r w:rsidR="00937F5C" w:rsidRPr="002B061E">
        <w:rPr>
          <w:bCs/>
        </w:rPr>
        <w:t xml:space="preserve">accordance </w:t>
      </w:r>
      <w:r w:rsidRPr="00E64197">
        <w:rPr>
          <w:bCs/>
        </w:rPr>
        <w:t xml:space="preserve">with this Decision, the </w:t>
      </w:r>
      <w:r w:rsidR="00A27B60" w:rsidRPr="00E64197">
        <w:rPr>
          <w:bCs/>
        </w:rPr>
        <w:t xml:space="preserve">proposed Plan presented to the Committee includes </w:t>
      </w:r>
      <w:r w:rsidRPr="00E64197">
        <w:rPr>
          <w:bCs/>
        </w:rPr>
        <w:t>a percentage breakdown under budget line 3</w:t>
      </w:r>
      <w:r w:rsidR="00937F5C" w:rsidRPr="00E64197">
        <w:t xml:space="preserve"> </w:t>
      </w:r>
      <w:r w:rsidRPr="00E64197">
        <w:rPr>
          <w:bCs/>
        </w:rPr>
        <w:t xml:space="preserve">in </w:t>
      </w:r>
      <w:r w:rsidRPr="00E64197">
        <w:t>terms</w:t>
      </w:r>
      <w:r w:rsidRPr="00E64197">
        <w:rPr>
          <w:bCs/>
        </w:rPr>
        <w:t xml:space="preserve"> of Expected Results</w:t>
      </w:r>
      <w:r w:rsidR="00463FAC" w:rsidRPr="00E64197">
        <w:rPr>
          <w:bCs/>
        </w:rPr>
        <w:t xml:space="preserve"> (ERs)</w:t>
      </w:r>
      <w:r w:rsidRPr="00E64197">
        <w:rPr>
          <w:bCs/>
        </w:rPr>
        <w:t xml:space="preserve"> as per the approved C/5, with a view to presenting it for approval by the following session of the General Assembly</w:t>
      </w:r>
      <w:r w:rsidR="002B12D9" w:rsidRPr="00E64197">
        <w:rPr>
          <w:bCs/>
        </w:rPr>
        <w:t xml:space="preserve">. </w:t>
      </w:r>
      <w:r w:rsidR="002B12D9" w:rsidRPr="00E64197">
        <w:t xml:space="preserve">Continuing with the approach of the previous biennium, the </w:t>
      </w:r>
      <w:r w:rsidR="002B12D9" w:rsidRPr="00E64197">
        <w:rPr>
          <w:rStyle w:val="hps"/>
        </w:rPr>
        <w:t xml:space="preserve">proposed Expected Results are aligned with the </w:t>
      </w:r>
      <w:r w:rsidR="002B12D9" w:rsidRPr="00E64197">
        <w:t>performance indicators</w:t>
      </w:r>
      <w:r w:rsidR="002B12D9" w:rsidRPr="00E64197">
        <w:rPr>
          <w:rStyle w:val="Hyperlink"/>
          <w:u w:val="none"/>
        </w:rPr>
        <w:t xml:space="preserve"> </w:t>
      </w:r>
      <w:r w:rsidR="002B12D9" w:rsidRPr="00E64197">
        <w:t xml:space="preserve">defined in the approved </w:t>
      </w:r>
      <w:hyperlink r:id="rId22" w:history="1">
        <w:r w:rsidR="002B12D9" w:rsidRPr="002B061E">
          <w:rPr>
            <w:rStyle w:val="Hyperlink"/>
          </w:rPr>
          <w:t>40 C/5</w:t>
        </w:r>
      </w:hyperlink>
      <w:r w:rsidR="002B12D9" w:rsidRPr="00E64197">
        <w:t xml:space="preserve"> </w:t>
      </w:r>
      <w:r w:rsidR="002B12D9" w:rsidRPr="002B061E">
        <w:t>for the Major Programme IV Culture, Main Line of Action 2, E</w:t>
      </w:r>
      <w:r w:rsidR="002B12D9" w:rsidRPr="00E64197">
        <w:t>xpected Result 6 ‘Intangible cultural heritage identified and safeguarded by Member States and communities, in particular through the effective implementation of the 2003 Convention’</w:t>
      </w:r>
      <w:r w:rsidR="00582DA2" w:rsidRPr="00E64197">
        <w:t xml:space="preserve">. </w:t>
      </w:r>
      <w:r w:rsidR="00582DA2" w:rsidRPr="00E64197">
        <w:rPr>
          <w:rStyle w:val="hps"/>
        </w:rPr>
        <w:t>The budget proposed for the current biennium aims to balance the allocation between the different ERs:</w:t>
      </w:r>
    </w:p>
    <w:tbl>
      <w:tblPr>
        <w:tblpPr w:leftFromText="141" w:rightFromText="141" w:vertAnchor="text" w:horzAnchor="margin" w:tblpXSpec="center" w:tblpY="66"/>
        <w:tblW w:w="8340" w:type="dxa"/>
        <w:tblLook w:val="04A0" w:firstRow="1" w:lastRow="0" w:firstColumn="1" w:lastColumn="0" w:noHBand="0" w:noVBand="1"/>
      </w:tblPr>
      <w:tblGrid>
        <w:gridCol w:w="5283"/>
        <w:gridCol w:w="1528"/>
        <w:gridCol w:w="1529"/>
      </w:tblGrid>
      <w:tr w:rsidR="00CD42D3" w:rsidRPr="00E64197" w14:paraId="17B1349F" w14:textId="77777777" w:rsidTr="00463FAC">
        <w:trPr>
          <w:cantSplit/>
          <w:trHeight w:val="576"/>
        </w:trPr>
        <w:tc>
          <w:tcPr>
            <w:tcW w:w="5283" w:type="dxa"/>
            <w:shd w:val="clear" w:color="auto" w:fill="BFBFBF"/>
          </w:tcPr>
          <w:p w14:paraId="022CFF74" w14:textId="77777777" w:rsidR="00CD42D3" w:rsidRPr="00E64197" w:rsidRDefault="00CD42D3" w:rsidP="00C266C5">
            <w:pPr>
              <w:keepNext/>
              <w:keepLines/>
              <w:spacing w:before="60" w:after="60"/>
              <w:ind w:left="567" w:hanging="567"/>
              <w:rPr>
                <w:rFonts w:ascii="Arial" w:hAnsi="Arial" w:cs="Arial"/>
                <w:b/>
                <w:sz w:val="20"/>
                <w:szCs w:val="20"/>
                <w:lang w:val="en-GB"/>
              </w:rPr>
            </w:pPr>
            <w:r w:rsidRPr="00E64197">
              <w:rPr>
                <w:rFonts w:ascii="Arial" w:hAnsi="Arial" w:cs="Arial"/>
                <w:b/>
                <w:sz w:val="20"/>
                <w:szCs w:val="20"/>
                <w:lang w:val="en-GB"/>
              </w:rPr>
              <w:t>Expected Result</w:t>
            </w:r>
          </w:p>
        </w:tc>
        <w:tc>
          <w:tcPr>
            <w:tcW w:w="1528" w:type="dxa"/>
            <w:shd w:val="clear" w:color="auto" w:fill="BFBFBF"/>
          </w:tcPr>
          <w:p w14:paraId="1350B985" w14:textId="00BB47BB" w:rsidR="00CD42D3" w:rsidRPr="00E64197" w:rsidRDefault="00CD42D3" w:rsidP="00582DA2">
            <w:pPr>
              <w:keepNext/>
              <w:spacing w:before="60" w:after="60"/>
              <w:ind w:left="567" w:hanging="567"/>
              <w:jc w:val="center"/>
              <w:rPr>
                <w:rFonts w:ascii="Arial" w:hAnsi="Arial" w:cs="Arial"/>
                <w:b/>
                <w:sz w:val="20"/>
                <w:szCs w:val="20"/>
                <w:lang w:val="en-GB"/>
              </w:rPr>
            </w:pPr>
            <w:r w:rsidRPr="00E64197">
              <w:rPr>
                <w:rFonts w:ascii="Arial" w:hAnsi="Arial" w:cs="Arial"/>
                <w:b/>
                <w:sz w:val="20"/>
                <w:szCs w:val="20"/>
                <w:lang w:val="en-GB"/>
              </w:rPr>
              <w:t>2020</w:t>
            </w:r>
            <w:r w:rsidRPr="00E64197">
              <w:rPr>
                <w:rFonts w:ascii="Arial" w:hAnsi="Arial" w:cs="Arial"/>
                <w:b/>
                <w:sz w:val="20"/>
                <w:szCs w:val="20"/>
                <w:lang w:val="en-GB"/>
              </w:rPr>
              <w:sym w:font="Symbol" w:char="F02D"/>
            </w:r>
            <w:r w:rsidRPr="00E64197">
              <w:rPr>
                <w:rFonts w:ascii="Arial" w:hAnsi="Arial" w:cs="Arial"/>
                <w:b/>
                <w:sz w:val="20"/>
                <w:szCs w:val="20"/>
                <w:lang w:val="en-GB"/>
              </w:rPr>
              <w:t>2021</w:t>
            </w:r>
            <w:r w:rsidRPr="00E64197">
              <w:rPr>
                <w:rStyle w:val="FootnoteReference"/>
                <w:rFonts w:ascii="Arial" w:hAnsi="Arial" w:cs="Arial"/>
                <w:b/>
                <w:sz w:val="20"/>
                <w:szCs w:val="20"/>
                <w:lang w:val="en-GB"/>
              </w:rPr>
              <w:footnoteReference w:id="5"/>
            </w:r>
          </w:p>
        </w:tc>
        <w:tc>
          <w:tcPr>
            <w:tcW w:w="1529" w:type="dxa"/>
            <w:shd w:val="clear" w:color="auto" w:fill="BFBFBF"/>
          </w:tcPr>
          <w:p w14:paraId="1AE9D586" w14:textId="2BBB9425" w:rsidR="00CD42D3" w:rsidRPr="002B061E" w:rsidRDefault="00CD42D3" w:rsidP="00582DA2">
            <w:pPr>
              <w:keepNext/>
              <w:spacing w:before="60" w:after="60"/>
              <w:ind w:left="567" w:hanging="567"/>
              <w:jc w:val="center"/>
              <w:rPr>
                <w:rFonts w:ascii="Arial" w:hAnsi="Arial" w:cs="Arial"/>
                <w:b/>
                <w:sz w:val="20"/>
                <w:szCs w:val="20"/>
                <w:lang w:val="en-GB"/>
              </w:rPr>
            </w:pPr>
            <w:r w:rsidRPr="002B061E">
              <w:rPr>
                <w:rFonts w:ascii="Arial" w:hAnsi="Arial" w:cs="Arial"/>
                <w:b/>
                <w:sz w:val="20"/>
                <w:szCs w:val="20"/>
                <w:lang w:val="en-GB"/>
              </w:rPr>
              <w:t>2022</w:t>
            </w:r>
            <w:r w:rsidRPr="00E64197">
              <w:rPr>
                <w:rFonts w:ascii="Arial" w:hAnsi="Arial" w:cs="Arial"/>
                <w:b/>
                <w:sz w:val="20"/>
                <w:szCs w:val="20"/>
                <w:lang w:val="en-GB"/>
              </w:rPr>
              <w:sym w:font="Symbol" w:char="F02D"/>
            </w:r>
            <w:r w:rsidRPr="00E64197">
              <w:rPr>
                <w:rFonts w:ascii="Arial" w:hAnsi="Arial" w:cs="Arial"/>
                <w:b/>
                <w:sz w:val="20"/>
                <w:szCs w:val="20"/>
                <w:lang w:val="en-GB"/>
              </w:rPr>
              <w:t>2023</w:t>
            </w:r>
          </w:p>
        </w:tc>
      </w:tr>
      <w:tr w:rsidR="00CD42D3" w:rsidRPr="00E64197" w14:paraId="2EA6B7D0" w14:textId="77777777" w:rsidTr="00463FAC">
        <w:trPr>
          <w:cantSplit/>
          <w:trHeight w:val="707"/>
        </w:trPr>
        <w:tc>
          <w:tcPr>
            <w:tcW w:w="5283" w:type="dxa"/>
            <w:shd w:val="clear" w:color="auto" w:fill="auto"/>
          </w:tcPr>
          <w:p w14:paraId="043C816C" w14:textId="77777777" w:rsidR="00CD42D3" w:rsidRPr="00E64197" w:rsidRDefault="00CD42D3" w:rsidP="00582DA2">
            <w:pPr>
              <w:keepNext/>
              <w:spacing w:before="60" w:after="60"/>
              <w:ind w:left="567" w:hanging="567"/>
              <w:rPr>
                <w:rFonts w:ascii="Arial" w:hAnsi="Arial" w:cs="Arial"/>
                <w:sz w:val="20"/>
                <w:szCs w:val="20"/>
                <w:lang w:val="en-GB"/>
              </w:rPr>
            </w:pPr>
            <w:r w:rsidRPr="00E64197">
              <w:rPr>
                <w:rFonts w:ascii="Arial" w:hAnsi="Arial" w:cs="Arial"/>
                <w:sz w:val="20"/>
                <w:szCs w:val="20"/>
                <w:lang w:val="en-GB"/>
              </w:rPr>
              <w:t>ER 1: Sound governance of the 2003 Convention facilitated by enhanced monitoring and knowledge management services</w:t>
            </w:r>
          </w:p>
        </w:tc>
        <w:tc>
          <w:tcPr>
            <w:tcW w:w="1528" w:type="dxa"/>
          </w:tcPr>
          <w:p w14:paraId="203DAE8E" w14:textId="77777777" w:rsidR="00CD42D3" w:rsidRPr="00E64197" w:rsidRDefault="00CD42D3" w:rsidP="00582DA2">
            <w:pPr>
              <w:keepNext/>
              <w:spacing w:before="60" w:after="60"/>
              <w:ind w:left="567" w:hanging="567"/>
              <w:jc w:val="center"/>
              <w:rPr>
                <w:rFonts w:ascii="Arial" w:hAnsi="Arial" w:cs="Arial"/>
                <w:sz w:val="20"/>
                <w:szCs w:val="20"/>
                <w:lang w:val="en-GB"/>
              </w:rPr>
            </w:pPr>
            <w:r w:rsidRPr="00E64197">
              <w:rPr>
                <w:rFonts w:ascii="Arial" w:hAnsi="Arial" w:cs="Arial"/>
                <w:sz w:val="20"/>
                <w:szCs w:val="20"/>
                <w:lang w:val="en-GB"/>
              </w:rPr>
              <w:t>27%</w:t>
            </w:r>
          </w:p>
        </w:tc>
        <w:tc>
          <w:tcPr>
            <w:tcW w:w="1529" w:type="dxa"/>
            <w:shd w:val="clear" w:color="auto" w:fill="auto"/>
          </w:tcPr>
          <w:p w14:paraId="795E3867" w14:textId="77777777" w:rsidR="00CD42D3" w:rsidRPr="00E64197" w:rsidRDefault="00CD42D3" w:rsidP="00582DA2">
            <w:pPr>
              <w:keepNext/>
              <w:spacing w:before="60" w:after="60"/>
              <w:ind w:left="567" w:hanging="567"/>
              <w:jc w:val="center"/>
              <w:rPr>
                <w:rFonts w:ascii="Arial" w:hAnsi="Arial" w:cs="Arial"/>
                <w:b/>
                <w:bCs/>
                <w:sz w:val="20"/>
                <w:szCs w:val="20"/>
                <w:lang w:val="en-GB"/>
              </w:rPr>
            </w:pPr>
            <w:r w:rsidRPr="00E64197">
              <w:rPr>
                <w:rFonts w:ascii="Arial" w:hAnsi="Arial" w:cs="Arial"/>
                <w:b/>
                <w:bCs/>
                <w:sz w:val="20"/>
                <w:szCs w:val="20"/>
                <w:lang w:val="en-GB"/>
              </w:rPr>
              <w:t>25%</w:t>
            </w:r>
          </w:p>
        </w:tc>
      </w:tr>
      <w:tr w:rsidR="00CD42D3" w:rsidRPr="00E64197" w14:paraId="059CBDA7" w14:textId="77777777" w:rsidTr="00463FAC">
        <w:trPr>
          <w:cantSplit/>
          <w:trHeight w:val="785"/>
        </w:trPr>
        <w:tc>
          <w:tcPr>
            <w:tcW w:w="5283" w:type="dxa"/>
            <w:shd w:val="clear" w:color="auto" w:fill="auto"/>
          </w:tcPr>
          <w:p w14:paraId="4CE66BB9" w14:textId="77777777" w:rsidR="00CD42D3" w:rsidRPr="00E64197" w:rsidRDefault="00CD42D3" w:rsidP="00582DA2">
            <w:pPr>
              <w:keepNext/>
              <w:spacing w:before="60" w:after="60"/>
              <w:ind w:left="567" w:hanging="567"/>
              <w:rPr>
                <w:rFonts w:ascii="Arial" w:hAnsi="Arial" w:cs="Arial"/>
                <w:sz w:val="20"/>
                <w:szCs w:val="20"/>
                <w:lang w:val="en-GB"/>
              </w:rPr>
            </w:pPr>
            <w:r w:rsidRPr="00E64197">
              <w:rPr>
                <w:rFonts w:ascii="Arial" w:hAnsi="Arial" w:cs="Arial"/>
                <w:sz w:val="20"/>
                <w:szCs w:val="20"/>
                <w:lang w:val="en-GB"/>
              </w:rPr>
              <w:t xml:space="preserve">ER 2: Implementation of the Convention in Member States encouraged through a strengthened capacity-building programme </w:t>
            </w:r>
          </w:p>
        </w:tc>
        <w:tc>
          <w:tcPr>
            <w:tcW w:w="1528" w:type="dxa"/>
          </w:tcPr>
          <w:p w14:paraId="3EBF64C9" w14:textId="77777777" w:rsidR="00CD42D3" w:rsidRPr="00E64197" w:rsidRDefault="00CD42D3" w:rsidP="00582DA2">
            <w:pPr>
              <w:keepNext/>
              <w:spacing w:before="60" w:after="60"/>
              <w:ind w:left="567" w:hanging="567"/>
              <w:jc w:val="center"/>
              <w:rPr>
                <w:rFonts w:ascii="Arial" w:hAnsi="Arial" w:cs="Arial"/>
                <w:sz w:val="20"/>
                <w:szCs w:val="20"/>
                <w:lang w:val="en-GB"/>
              </w:rPr>
            </w:pPr>
            <w:r w:rsidRPr="00E64197">
              <w:rPr>
                <w:rFonts w:ascii="Arial" w:hAnsi="Arial" w:cs="Arial"/>
                <w:sz w:val="20"/>
                <w:szCs w:val="20"/>
                <w:lang w:val="en-GB"/>
              </w:rPr>
              <w:t>33%</w:t>
            </w:r>
          </w:p>
        </w:tc>
        <w:tc>
          <w:tcPr>
            <w:tcW w:w="1529" w:type="dxa"/>
            <w:shd w:val="clear" w:color="auto" w:fill="auto"/>
          </w:tcPr>
          <w:p w14:paraId="4F8A3EEC" w14:textId="77777777" w:rsidR="00CD42D3" w:rsidRPr="00E64197" w:rsidRDefault="00CD42D3" w:rsidP="00582DA2">
            <w:pPr>
              <w:keepNext/>
              <w:spacing w:before="60" w:after="60"/>
              <w:ind w:left="567" w:hanging="567"/>
              <w:jc w:val="center"/>
              <w:rPr>
                <w:rFonts w:ascii="Arial" w:hAnsi="Arial" w:cs="Arial"/>
                <w:b/>
                <w:bCs/>
                <w:sz w:val="20"/>
                <w:szCs w:val="20"/>
                <w:lang w:val="en-GB"/>
              </w:rPr>
            </w:pPr>
            <w:r w:rsidRPr="00E64197">
              <w:rPr>
                <w:rFonts w:ascii="Arial" w:hAnsi="Arial" w:cs="Arial"/>
                <w:b/>
                <w:bCs/>
                <w:sz w:val="20"/>
                <w:szCs w:val="20"/>
                <w:lang w:val="en-GB"/>
              </w:rPr>
              <w:t>33%</w:t>
            </w:r>
          </w:p>
        </w:tc>
      </w:tr>
      <w:tr w:rsidR="00CD42D3" w:rsidRPr="00E64197" w14:paraId="10121015" w14:textId="77777777" w:rsidTr="00463FAC">
        <w:trPr>
          <w:cantSplit/>
          <w:trHeight w:val="785"/>
        </w:trPr>
        <w:tc>
          <w:tcPr>
            <w:tcW w:w="5283" w:type="dxa"/>
            <w:shd w:val="clear" w:color="auto" w:fill="auto"/>
          </w:tcPr>
          <w:p w14:paraId="692461F1" w14:textId="77777777" w:rsidR="00CD42D3" w:rsidRPr="00E64197" w:rsidRDefault="00CD42D3" w:rsidP="00582DA2">
            <w:pPr>
              <w:keepNext/>
              <w:spacing w:before="60" w:after="60"/>
              <w:ind w:left="567" w:hanging="567"/>
              <w:rPr>
                <w:rFonts w:ascii="Arial" w:hAnsi="Arial" w:cs="Arial"/>
                <w:sz w:val="20"/>
                <w:szCs w:val="20"/>
                <w:lang w:val="en-GB"/>
              </w:rPr>
            </w:pPr>
            <w:r w:rsidRPr="00E64197">
              <w:rPr>
                <w:rFonts w:ascii="Arial" w:hAnsi="Arial" w:cs="Arial"/>
                <w:sz w:val="20"/>
                <w:szCs w:val="20"/>
                <w:lang w:val="en-GB"/>
              </w:rPr>
              <w:t>ER 3: Integration of intangible cultural heritage into development plans, policies and programmes supported</w:t>
            </w:r>
          </w:p>
        </w:tc>
        <w:tc>
          <w:tcPr>
            <w:tcW w:w="1528" w:type="dxa"/>
          </w:tcPr>
          <w:p w14:paraId="33CE562F" w14:textId="77777777" w:rsidR="00CD42D3" w:rsidRPr="00E64197" w:rsidRDefault="00CD42D3" w:rsidP="00582DA2">
            <w:pPr>
              <w:keepNext/>
              <w:spacing w:before="60" w:after="60"/>
              <w:ind w:left="567" w:hanging="567"/>
              <w:jc w:val="center"/>
              <w:rPr>
                <w:rFonts w:ascii="Arial" w:hAnsi="Arial" w:cs="Arial"/>
                <w:sz w:val="20"/>
                <w:szCs w:val="20"/>
                <w:lang w:val="en-GB"/>
              </w:rPr>
            </w:pPr>
            <w:r w:rsidRPr="00E64197">
              <w:rPr>
                <w:rFonts w:ascii="Arial" w:hAnsi="Arial" w:cs="Arial"/>
                <w:sz w:val="20"/>
                <w:szCs w:val="20"/>
                <w:lang w:val="en-GB"/>
              </w:rPr>
              <w:t>13%</w:t>
            </w:r>
          </w:p>
        </w:tc>
        <w:tc>
          <w:tcPr>
            <w:tcW w:w="1529" w:type="dxa"/>
            <w:shd w:val="clear" w:color="auto" w:fill="auto"/>
          </w:tcPr>
          <w:p w14:paraId="0DCD17AD" w14:textId="77777777" w:rsidR="00CD42D3" w:rsidRPr="00E64197" w:rsidRDefault="00CD42D3" w:rsidP="00582DA2">
            <w:pPr>
              <w:keepNext/>
              <w:spacing w:before="60" w:after="60"/>
              <w:ind w:left="567" w:hanging="567"/>
              <w:jc w:val="center"/>
              <w:rPr>
                <w:rFonts w:ascii="Arial" w:hAnsi="Arial" w:cs="Arial"/>
                <w:b/>
                <w:bCs/>
                <w:sz w:val="20"/>
                <w:szCs w:val="20"/>
                <w:lang w:val="en-GB"/>
              </w:rPr>
            </w:pPr>
            <w:r w:rsidRPr="00E64197">
              <w:rPr>
                <w:rFonts w:ascii="Arial" w:hAnsi="Arial" w:cs="Arial"/>
                <w:b/>
                <w:bCs/>
                <w:sz w:val="20"/>
                <w:szCs w:val="20"/>
                <w:lang w:val="en-GB"/>
              </w:rPr>
              <w:t>19%</w:t>
            </w:r>
          </w:p>
        </w:tc>
      </w:tr>
      <w:tr w:rsidR="00CD42D3" w:rsidRPr="00E64197" w14:paraId="0309EBAD" w14:textId="77777777" w:rsidTr="00463FAC">
        <w:trPr>
          <w:cantSplit/>
          <w:trHeight w:val="550"/>
        </w:trPr>
        <w:tc>
          <w:tcPr>
            <w:tcW w:w="5283" w:type="dxa"/>
            <w:shd w:val="clear" w:color="auto" w:fill="auto"/>
          </w:tcPr>
          <w:p w14:paraId="1FFFAD01" w14:textId="77777777" w:rsidR="00CD42D3" w:rsidRPr="00E64197" w:rsidRDefault="00CD42D3" w:rsidP="00582DA2">
            <w:pPr>
              <w:keepNext/>
              <w:spacing w:before="60" w:after="60"/>
              <w:ind w:left="567" w:hanging="567"/>
              <w:rPr>
                <w:rFonts w:ascii="Arial" w:hAnsi="Arial" w:cs="Arial"/>
                <w:sz w:val="20"/>
                <w:szCs w:val="20"/>
                <w:lang w:val="en-GB"/>
              </w:rPr>
            </w:pPr>
            <w:r w:rsidRPr="00E64197">
              <w:rPr>
                <w:rFonts w:ascii="Arial" w:hAnsi="Arial" w:cs="Arial"/>
                <w:sz w:val="20"/>
                <w:szCs w:val="20"/>
                <w:lang w:val="en-GB"/>
              </w:rPr>
              <w:t>ER 4: Objectives of the Convention promoted through awareness-raising and outreach</w:t>
            </w:r>
          </w:p>
        </w:tc>
        <w:tc>
          <w:tcPr>
            <w:tcW w:w="1528" w:type="dxa"/>
          </w:tcPr>
          <w:p w14:paraId="2E9CBBC2" w14:textId="77777777" w:rsidR="00CD42D3" w:rsidRPr="00E64197" w:rsidRDefault="00CD42D3" w:rsidP="00582DA2">
            <w:pPr>
              <w:keepNext/>
              <w:spacing w:before="60" w:after="60"/>
              <w:ind w:left="567" w:hanging="567"/>
              <w:jc w:val="center"/>
              <w:rPr>
                <w:rFonts w:ascii="Arial" w:hAnsi="Arial" w:cs="Arial"/>
                <w:sz w:val="20"/>
                <w:szCs w:val="20"/>
                <w:lang w:val="en-GB"/>
              </w:rPr>
            </w:pPr>
            <w:r w:rsidRPr="00E64197">
              <w:rPr>
                <w:rFonts w:ascii="Arial" w:hAnsi="Arial" w:cs="Arial"/>
                <w:sz w:val="20"/>
                <w:szCs w:val="20"/>
                <w:lang w:val="en-GB"/>
              </w:rPr>
              <w:t>27%</w:t>
            </w:r>
          </w:p>
        </w:tc>
        <w:tc>
          <w:tcPr>
            <w:tcW w:w="1529" w:type="dxa"/>
            <w:shd w:val="clear" w:color="auto" w:fill="auto"/>
          </w:tcPr>
          <w:p w14:paraId="4DDBC463" w14:textId="77777777" w:rsidR="00CD42D3" w:rsidRPr="00E64197" w:rsidRDefault="00CD42D3" w:rsidP="00582DA2">
            <w:pPr>
              <w:keepNext/>
              <w:spacing w:before="60" w:after="60"/>
              <w:ind w:left="567" w:hanging="567"/>
              <w:jc w:val="center"/>
              <w:rPr>
                <w:rFonts w:ascii="Arial" w:hAnsi="Arial" w:cs="Arial"/>
                <w:b/>
                <w:bCs/>
                <w:sz w:val="20"/>
                <w:szCs w:val="20"/>
                <w:lang w:val="en-GB"/>
              </w:rPr>
            </w:pPr>
            <w:r w:rsidRPr="00E64197">
              <w:rPr>
                <w:rFonts w:ascii="Arial" w:hAnsi="Arial" w:cs="Arial"/>
                <w:b/>
                <w:bCs/>
                <w:sz w:val="20"/>
                <w:szCs w:val="20"/>
                <w:lang w:val="en-GB"/>
              </w:rPr>
              <w:t>23%</w:t>
            </w:r>
          </w:p>
        </w:tc>
      </w:tr>
    </w:tbl>
    <w:p w14:paraId="1E480187" w14:textId="77777777" w:rsidR="00CD42D3" w:rsidRPr="00E64197" w:rsidRDefault="00CD42D3" w:rsidP="00C266C5">
      <w:pPr>
        <w:pStyle w:val="COMPara"/>
        <w:numPr>
          <w:ilvl w:val="0"/>
          <w:numId w:val="0"/>
        </w:numPr>
        <w:tabs>
          <w:tab w:val="left" w:pos="567"/>
        </w:tabs>
        <w:ind w:left="567"/>
        <w:jc w:val="both"/>
      </w:pPr>
    </w:p>
    <w:p w14:paraId="7286C1D4" w14:textId="2E9EBCD4" w:rsidR="00582DA2" w:rsidRPr="00E64197" w:rsidRDefault="00582DA2" w:rsidP="00463FAC">
      <w:pPr>
        <w:pStyle w:val="COMPara"/>
        <w:spacing w:before="240"/>
        <w:ind w:left="567" w:hanging="567"/>
        <w:jc w:val="both"/>
      </w:pPr>
      <w:r w:rsidRPr="002B061E">
        <w:t xml:space="preserve">In line with the </w:t>
      </w:r>
      <w:r w:rsidRPr="00E64197">
        <w:t xml:space="preserve">previous decisions of the Committee (most recently Decision </w:t>
      </w:r>
      <w:hyperlink r:id="rId23" w:history="1">
        <w:r w:rsidRPr="002B061E">
          <w:rPr>
            <w:rStyle w:val="Hyperlink"/>
          </w:rPr>
          <w:t>14.COM 7</w:t>
        </w:r>
      </w:hyperlink>
      <w:r w:rsidRPr="00E64197">
        <w:t xml:space="preserve">), </w:t>
      </w:r>
      <w:r w:rsidRPr="002B061E">
        <w:t xml:space="preserve">it is proposed that the Committee authorize the Secretariat to make transfers between </w:t>
      </w:r>
      <w:r w:rsidRPr="00E64197">
        <w:t xml:space="preserve">Expected </w:t>
      </w:r>
      <w:r w:rsidRPr="00E64197">
        <w:lastRenderedPageBreak/>
        <w:t xml:space="preserve">Results within budget line 3. In </w:t>
      </w:r>
      <w:r w:rsidR="00463FAC" w:rsidRPr="00E64197">
        <w:t>accordance</w:t>
      </w:r>
      <w:r w:rsidRPr="00E64197">
        <w:t xml:space="preserve"> with </w:t>
      </w:r>
      <w:hyperlink r:id="rId24" w:history="1">
        <w:r w:rsidRPr="002B061E">
          <w:rPr>
            <w:rStyle w:val="Hyperlink"/>
          </w:rPr>
          <w:t>40</w:t>
        </w:r>
        <w:r w:rsidRPr="00E64197">
          <w:rPr>
            <w:rStyle w:val="Hyperlink"/>
          </w:rPr>
          <w:t xml:space="preserve"> C/Resolution 101</w:t>
        </w:r>
      </w:hyperlink>
      <w:r w:rsidRPr="00E64197">
        <w:t xml:space="preserve"> adopted by the </w:t>
      </w:r>
      <w:r w:rsidRPr="002B061E">
        <w:t>General Conference</w:t>
      </w:r>
      <w:r w:rsidRPr="00E64197">
        <w:t xml:space="preserve"> at its fortieth session in November 2019, authorizing the Director-General to make transfers between appropriation lines of UNESCO’s regular programme up to an amount of 5% of the initial appropriation under the 40 C/5, the draft decision proposes correspondingly that such transfers may be made up to a cumulative amount equivalent to 5% of the initial total allocation likely to be proposed for this purpose to the General Assembly. The Secretariat would inform the Committee in writing, at the session following such action, of the details and reasons for these transfers; any transfers larger than that amount would require the Committee’s prior approval of a revised spending plan.</w:t>
      </w:r>
    </w:p>
    <w:p w14:paraId="3154CE38" w14:textId="2E285AF1" w:rsidR="00D24637" w:rsidRPr="00490E36" w:rsidRDefault="00D24637" w:rsidP="00C266C5">
      <w:pPr>
        <w:pStyle w:val="COMPara"/>
        <w:numPr>
          <w:ilvl w:val="0"/>
          <w:numId w:val="0"/>
        </w:numPr>
        <w:spacing w:before="240"/>
        <w:ind w:left="567"/>
        <w:jc w:val="both"/>
        <w:rPr>
          <w:b/>
          <w:bCs/>
          <w:iCs/>
          <w:sz w:val="24"/>
          <w:szCs w:val="24"/>
        </w:rPr>
      </w:pPr>
      <w:r w:rsidRPr="00E64197">
        <w:rPr>
          <w:b/>
          <w:bCs/>
        </w:rPr>
        <w:t>Expected Result 1: Sound governance of the 2003 Convention facilitated by enhanced monitoring and knowledge management services</w:t>
      </w:r>
      <w:bookmarkStart w:id="1" w:name="_Ref87123526"/>
      <w:r w:rsidR="004E77BF" w:rsidRPr="00E64197">
        <w:rPr>
          <w:rStyle w:val="FootnoteReference"/>
        </w:rPr>
        <w:footnoteReference w:id="6"/>
      </w:r>
      <w:bookmarkEnd w:id="1"/>
    </w:p>
    <w:p w14:paraId="520D94BF" w14:textId="48C2E0CF" w:rsidR="00D606B2" w:rsidRPr="00490E36" w:rsidRDefault="00E84742" w:rsidP="00C266C5">
      <w:pPr>
        <w:pStyle w:val="COMPara"/>
        <w:ind w:left="567" w:hanging="567"/>
        <w:jc w:val="both"/>
        <w:rPr>
          <w:rStyle w:val="hps"/>
        </w:rPr>
      </w:pPr>
      <w:r w:rsidRPr="00E64197">
        <w:rPr>
          <w:rStyle w:val="hps"/>
        </w:rPr>
        <w:t>Providing adequate support to</w:t>
      </w:r>
      <w:r w:rsidR="002B12D9" w:rsidRPr="00E64197">
        <w:rPr>
          <w:rStyle w:val="hps"/>
        </w:rPr>
        <w:t xml:space="preserve"> the Convention’s governing bodies a</w:t>
      </w:r>
      <w:r w:rsidR="002B12D9" w:rsidRPr="002B061E">
        <w:rPr>
          <w:rStyle w:val="hps"/>
        </w:rPr>
        <w:t xml:space="preserve">nd Member States </w:t>
      </w:r>
      <w:r w:rsidRPr="00E64197">
        <w:rPr>
          <w:rStyle w:val="hps"/>
        </w:rPr>
        <w:t>remains key for the good governance of the Convention.</w:t>
      </w:r>
      <w:r w:rsidR="00D606B2" w:rsidRPr="00E64197">
        <w:rPr>
          <w:rStyle w:val="hps"/>
        </w:rPr>
        <w:t xml:space="preserve"> In this regard, the IOS Evaluation underline</w:t>
      </w:r>
      <w:r w:rsidR="006506C3" w:rsidRPr="00E64197">
        <w:rPr>
          <w:rStyle w:val="hps"/>
        </w:rPr>
        <w:t>d</w:t>
      </w:r>
      <w:r w:rsidR="00D606B2" w:rsidRPr="00E64197">
        <w:rPr>
          <w:rStyle w:val="hps"/>
        </w:rPr>
        <w:t xml:space="preserve"> the importance of a solid knowledge strategy to leverage abundant quantities of information and recommend</w:t>
      </w:r>
      <w:r w:rsidR="006506C3" w:rsidRPr="00E64197">
        <w:rPr>
          <w:rStyle w:val="hps"/>
        </w:rPr>
        <w:t>ed</w:t>
      </w:r>
      <w:r w:rsidR="00D606B2" w:rsidRPr="00E64197">
        <w:rPr>
          <w:rStyle w:val="hps"/>
        </w:rPr>
        <w:t xml:space="preserve"> facilitating knowledge management on intangible cultural heritage and safeguarding measures (</w:t>
      </w:r>
      <w:r w:rsidR="00582DA2" w:rsidRPr="00E64197">
        <w:rPr>
          <w:rStyle w:val="hps"/>
        </w:rPr>
        <w:t xml:space="preserve">IOS </w:t>
      </w:r>
      <w:r w:rsidR="00D606B2" w:rsidRPr="00E64197">
        <w:rPr>
          <w:rStyle w:val="hps"/>
        </w:rPr>
        <w:t xml:space="preserve">Recommendation 10). Since the establishment of the Convention, a critical mass of information has been collected and the amount of data is increasing at a growing pace and intensity, due to the introduction of the Overall Results Framework and the reform of the periodic reporting mechanism, the increasing number of stakeholders involved, the high number of nominations submitted, the enhanced monitoring and evaluation of International Assistance projects or the initial results from the work on new thematic areas. In line with </w:t>
      </w:r>
      <w:r w:rsidR="00471EBA" w:rsidRPr="00E64197">
        <w:rPr>
          <w:rStyle w:val="hps"/>
        </w:rPr>
        <w:t xml:space="preserve">the </w:t>
      </w:r>
      <w:r w:rsidR="00D606B2" w:rsidRPr="00E64197">
        <w:rPr>
          <w:rStyle w:val="hps"/>
        </w:rPr>
        <w:t>IOS evaluation, the Secretariat will redefine its knowledge management strategy to streamline data production,</w:t>
      </w:r>
      <w:r w:rsidR="00471EBA" w:rsidRPr="00E64197">
        <w:rPr>
          <w:rStyle w:val="hps"/>
        </w:rPr>
        <w:t xml:space="preserve"> improve its data analysis tools,</w:t>
      </w:r>
      <w:r w:rsidR="00D606B2" w:rsidRPr="00E64197">
        <w:rPr>
          <w:rStyle w:val="hps"/>
        </w:rPr>
        <w:t xml:space="preserve"> ensure the usefulness of the information collected for safeguarding and facilitate access to such information through </w:t>
      </w:r>
      <w:r w:rsidR="00471EBA" w:rsidRPr="00E64197">
        <w:rPr>
          <w:rStyle w:val="hps"/>
        </w:rPr>
        <w:t>user-friendly</w:t>
      </w:r>
      <w:r w:rsidR="00D606B2" w:rsidRPr="00E64197">
        <w:rPr>
          <w:rStyle w:val="hps"/>
        </w:rPr>
        <w:t xml:space="preserve"> and open formats. This new strategy </w:t>
      </w:r>
      <w:r w:rsidR="006506C3" w:rsidRPr="00E64197">
        <w:rPr>
          <w:rStyle w:val="hps"/>
        </w:rPr>
        <w:t>could</w:t>
      </w:r>
      <w:r w:rsidR="00D606B2" w:rsidRPr="00E64197">
        <w:rPr>
          <w:rStyle w:val="hps"/>
        </w:rPr>
        <w:t xml:space="preserve"> also provide more space for information emanating from partners such as </w:t>
      </w:r>
      <w:r w:rsidR="00A402C3" w:rsidRPr="00E64197">
        <w:rPr>
          <w:rStyle w:val="hps"/>
        </w:rPr>
        <w:t xml:space="preserve">category </w:t>
      </w:r>
      <w:r w:rsidR="00D606B2" w:rsidRPr="00E64197">
        <w:rPr>
          <w:rStyle w:val="hps"/>
        </w:rPr>
        <w:t xml:space="preserve">2 </w:t>
      </w:r>
      <w:r w:rsidR="00A402C3" w:rsidRPr="00E64197">
        <w:rPr>
          <w:rStyle w:val="hps"/>
        </w:rPr>
        <w:t>centres</w:t>
      </w:r>
      <w:r w:rsidR="00D606B2" w:rsidRPr="00E64197">
        <w:rPr>
          <w:rStyle w:val="hps"/>
        </w:rPr>
        <w:t>, accredited NGOs, UNESCO Chairs and national institutions, in particular about their operational activities, safeguarding practices and research.</w:t>
      </w:r>
    </w:p>
    <w:p w14:paraId="31D668D7" w14:textId="562F26A8" w:rsidR="002E2156" w:rsidRPr="00E64197" w:rsidRDefault="00471EBA" w:rsidP="00471EBA">
      <w:pPr>
        <w:pStyle w:val="COMPara"/>
        <w:ind w:left="567" w:hanging="567"/>
        <w:jc w:val="both"/>
        <w:rPr>
          <w:rStyle w:val="hps"/>
        </w:rPr>
      </w:pPr>
      <w:r w:rsidRPr="00E64197">
        <w:rPr>
          <w:rStyle w:val="hps"/>
        </w:rPr>
        <w:t>Responding to the recommendation from IOS to tackle priority thematic areas (</w:t>
      </w:r>
      <w:r w:rsidR="00582DA2" w:rsidRPr="00E64197">
        <w:rPr>
          <w:rStyle w:val="hps"/>
        </w:rPr>
        <w:t xml:space="preserve">IOS </w:t>
      </w:r>
      <w:r w:rsidRPr="00E64197">
        <w:rPr>
          <w:rStyle w:val="hps"/>
        </w:rPr>
        <w:t xml:space="preserve">Recommendation 3), the Secretariat intends to continue its work on the economic aspects of living heritage based on the ongoing work initiated during the present biennium on the safeguarding measures and good practices that address the risk of decontextualization and over-commercialization of elements. Thematic work will be extended to other areas such as climate change or </w:t>
      </w:r>
      <w:r w:rsidR="00BF516F" w:rsidRPr="00E64197">
        <w:rPr>
          <w:rStyle w:val="hps"/>
        </w:rPr>
        <w:t>intangible cultural heritage in urban planning</w:t>
      </w:r>
      <w:r w:rsidRPr="00E64197">
        <w:rPr>
          <w:rStyle w:val="hps"/>
        </w:rPr>
        <w:t xml:space="preserve">. </w:t>
      </w:r>
      <w:r w:rsidR="006063C4" w:rsidRPr="00E64197">
        <w:rPr>
          <w:rStyle w:val="hps"/>
        </w:rPr>
        <w:t>Furthermore, building on the increased operationalization of the International Assistance mechanism</w:t>
      </w:r>
      <w:r w:rsidR="00463FAC" w:rsidRPr="00E64197">
        <w:rPr>
          <w:rStyle w:val="hps"/>
        </w:rPr>
        <w:t>s</w:t>
      </w:r>
      <w:r w:rsidR="006063C4" w:rsidRPr="00E64197">
        <w:rPr>
          <w:rStyle w:val="hps"/>
        </w:rPr>
        <w:t xml:space="preserve"> over the past few years, </w:t>
      </w:r>
      <w:r w:rsidR="004525EA" w:rsidRPr="00E64197">
        <w:rPr>
          <w:rStyle w:val="hps"/>
        </w:rPr>
        <w:t>the Secretariat</w:t>
      </w:r>
      <w:r w:rsidR="006063C4" w:rsidRPr="00E64197">
        <w:rPr>
          <w:rStyle w:val="hps"/>
        </w:rPr>
        <w:t xml:space="preserve"> will enhanc</w:t>
      </w:r>
      <w:r w:rsidR="004525EA" w:rsidRPr="00E64197">
        <w:rPr>
          <w:rStyle w:val="hps"/>
        </w:rPr>
        <w:t>e</w:t>
      </w:r>
      <w:r w:rsidR="00D956C8" w:rsidRPr="00E64197">
        <w:rPr>
          <w:rStyle w:val="hps"/>
        </w:rPr>
        <w:t xml:space="preserve"> the </w:t>
      </w:r>
      <w:r w:rsidR="006063C4" w:rsidRPr="00E64197">
        <w:rPr>
          <w:rStyle w:val="hps"/>
        </w:rPr>
        <w:t xml:space="preserve">monitoring of the projects funded by the Fund and gather lessons learned from ongoing and completed projects. This will be achieved with the development of a monitoring strategy </w:t>
      </w:r>
      <w:r w:rsidR="00D956C8" w:rsidRPr="00E64197">
        <w:rPr>
          <w:rStyle w:val="hps"/>
        </w:rPr>
        <w:t xml:space="preserve">aiming at assessing the outcomes of International </w:t>
      </w:r>
      <w:r w:rsidR="004525EA" w:rsidRPr="00E64197">
        <w:rPr>
          <w:rStyle w:val="hps"/>
        </w:rPr>
        <w:t>A</w:t>
      </w:r>
      <w:r w:rsidR="00D956C8" w:rsidRPr="00E64197">
        <w:rPr>
          <w:rStyle w:val="hps"/>
        </w:rPr>
        <w:t xml:space="preserve">ssistance projects and their impacts on the safeguarding of living heritage. </w:t>
      </w:r>
      <w:r w:rsidR="004525EA" w:rsidRPr="00E64197">
        <w:rPr>
          <w:rStyle w:val="hps"/>
        </w:rPr>
        <w:t>Efforts</w:t>
      </w:r>
      <w:r w:rsidR="00D956C8" w:rsidRPr="00E64197">
        <w:rPr>
          <w:rStyle w:val="hps"/>
        </w:rPr>
        <w:t xml:space="preserve"> will also focus on </w:t>
      </w:r>
      <w:r w:rsidR="003D5C1C" w:rsidRPr="00E64197">
        <w:rPr>
          <w:rStyle w:val="hps"/>
        </w:rPr>
        <w:t>developing communication</w:t>
      </w:r>
      <w:r w:rsidR="00D956C8" w:rsidRPr="00E64197">
        <w:rPr>
          <w:rStyle w:val="hps"/>
        </w:rPr>
        <w:t xml:space="preserve"> tools to</w:t>
      </w:r>
      <w:r w:rsidR="003D5C1C" w:rsidRPr="00E64197">
        <w:rPr>
          <w:rStyle w:val="hps"/>
        </w:rPr>
        <w:t xml:space="preserve"> promote</w:t>
      </w:r>
      <w:r w:rsidR="00463FAC" w:rsidRPr="00E64197">
        <w:rPr>
          <w:rStyle w:val="hps"/>
        </w:rPr>
        <w:t xml:space="preserve"> </w:t>
      </w:r>
      <w:r w:rsidR="003D5C1C" w:rsidRPr="00E64197">
        <w:rPr>
          <w:rStyle w:val="hps"/>
        </w:rPr>
        <w:t>International Assistance, so as to encourage the submission of requests.</w:t>
      </w:r>
    </w:p>
    <w:p w14:paraId="23F5D9BE" w14:textId="4F3E5088" w:rsidR="002B6965" w:rsidRPr="00E64197" w:rsidRDefault="00D24637" w:rsidP="00463FAC">
      <w:pPr>
        <w:pStyle w:val="COMPara"/>
        <w:keepNext/>
        <w:numPr>
          <w:ilvl w:val="0"/>
          <w:numId w:val="0"/>
        </w:numPr>
        <w:spacing w:before="240"/>
        <w:ind w:left="567"/>
        <w:jc w:val="both"/>
        <w:rPr>
          <w:rStyle w:val="hps"/>
          <w:b/>
          <w:bCs/>
        </w:rPr>
      </w:pPr>
      <w:r w:rsidRPr="00E64197">
        <w:rPr>
          <w:b/>
          <w:bCs/>
        </w:rPr>
        <w:lastRenderedPageBreak/>
        <w:t>Expected</w:t>
      </w:r>
      <w:r w:rsidRPr="00E64197">
        <w:rPr>
          <w:rStyle w:val="hps"/>
          <w:b/>
          <w:bCs/>
        </w:rPr>
        <w:t xml:space="preserve"> Result</w:t>
      </w:r>
      <w:r w:rsidR="00342926" w:rsidRPr="00E64197">
        <w:rPr>
          <w:rStyle w:val="hps"/>
          <w:b/>
          <w:bCs/>
        </w:rPr>
        <w:t> </w:t>
      </w:r>
      <w:r w:rsidRPr="00E64197">
        <w:rPr>
          <w:rStyle w:val="hps"/>
          <w:b/>
          <w:bCs/>
        </w:rPr>
        <w:t>2: Implementation of the Convention in Member States encouraged through a strengthened capacity-building programme</w:t>
      </w:r>
      <w:bookmarkStart w:id="3" w:name="_Ref87123499"/>
      <w:r w:rsidR="004E77BF" w:rsidRPr="00E64197">
        <w:rPr>
          <w:rStyle w:val="FootnoteReference"/>
        </w:rPr>
        <w:footnoteReference w:id="7"/>
      </w:r>
      <w:bookmarkEnd w:id="3"/>
    </w:p>
    <w:p w14:paraId="0E918F17" w14:textId="3CA39401" w:rsidR="00927333" w:rsidRPr="00490E36" w:rsidRDefault="00927333" w:rsidP="004A2AFA">
      <w:pPr>
        <w:pStyle w:val="COMPara"/>
        <w:keepLines/>
        <w:ind w:left="567" w:hanging="567"/>
        <w:jc w:val="both"/>
        <w:rPr>
          <w:rStyle w:val="hps"/>
        </w:rPr>
      </w:pPr>
      <w:r w:rsidRPr="00E64197">
        <w:rPr>
          <w:rStyle w:val="hps"/>
        </w:rPr>
        <w:t>The success and central role of the global capacity-building programme for the implementation of the Convention was positively highlighted in the IOS evaluation</w:t>
      </w:r>
      <w:r w:rsidR="006506C3" w:rsidRPr="00E64197">
        <w:rPr>
          <w:rStyle w:val="hps"/>
        </w:rPr>
        <w:t xml:space="preserve">, noting </w:t>
      </w:r>
      <w:r w:rsidRPr="00E64197">
        <w:rPr>
          <w:rStyle w:val="hps"/>
        </w:rPr>
        <w:t xml:space="preserve">that while demand continues to grow, the context and needs are evolving, which requires strategic adaptation and programme development. The COVID-19 pandemic, in particular, created challenges for programme delivery, but also provided new opportunities for digital learning, consultation, and networking. At the same time, an increased awareness </w:t>
      </w:r>
      <w:r w:rsidR="00A402C3" w:rsidRPr="00E64197">
        <w:rPr>
          <w:rStyle w:val="hps"/>
        </w:rPr>
        <w:t xml:space="preserve">of </w:t>
      </w:r>
      <w:r w:rsidRPr="00E64197">
        <w:rPr>
          <w:rStyle w:val="hps"/>
        </w:rPr>
        <w:t xml:space="preserve">the important role of </w:t>
      </w:r>
      <w:r w:rsidR="006506C3" w:rsidRPr="00E64197">
        <w:rPr>
          <w:rStyle w:val="hps"/>
        </w:rPr>
        <w:t xml:space="preserve">intangible cultural heritage </w:t>
      </w:r>
      <w:r w:rsidRPr="00E64197">
        <w:rPr>
          <w:rStyle w:val="hps"/>
        </w:rPr>
        <w:t>safeguarding in responding to socio-development challenges has resulted in evolving capacity-building needs in a wider range of policy and thematic areas with new audiences.</w:t>
      </w:r>
    </w:p>
    <w:p w14:paraId="42EA4951" w14:textId="69EAF0DB" w:rsidR="00927333" w:rsidRPr="00E64197" w:rsidRDefault="00927333" w:rsidP="00A338B1">
      <w:pPr>
        <w:pStyle w:val="COMPara"/>
        <w:ind w:left="567" w:hanging="567"/>
        <w:jc w:val="both"/>
        <w:rPr>
          <w:rStyle w:val="hps"/>
        </w:rPr>
      </w:pPr>
      <w:r w:rsidRPr="00E64197">
        <w:rPr>
          <w:rStyle w:val="hps"/>
        </w:rPr>
        <w:t>The Secretariat will focus on strengthening the regional scope and thematic expertise of its facilitators</w:t>
      </w:r>
      <w:r w:rsidR="006506C3" w:rsidRPr="00E64197">
        <w:rPr>
          <w:rStyle w:val="hps"/>
        </w:rPr>
        <w:t>’</w:t>
      </w:r>
      <w:r w:rsidRPr="00E64197">
        <w:rPr>
          <w:rStyle w:val="hps"/>
        </w:rPr>
        <w:t xml:space="preserve"> network, while adapting its programme approach to new online and hybrid modalities and reaching out to new audiences (IOS </w:t>
      </w:r>
      <w:r w:rsidR="006506C3" w:rsidRPr="00E64197">
        <w:rPr>
          <w:rStyle w:val="hps"/>
        </w:rPr>
        <w:t>R</w:t>
      </w:r>
      <w:r w:rsidRPr="00E64197">
        <w:rPr>
          <w:rStyle w:val="hps"/>
        </w:rPr>
        <w:t>ecommendation</w:t>
      </w:r>
      <w:r w:rsidR="006506C3" w:rsidRPr="00E64197">
        <w:rPr>
          <w:rStyle w:val="hps"/>
        </w:rPr>
        <w:t>s</w:t>
      </w:r>
      <w:r w:rsidRPr="00E64197">
        <w:rPr>
          <w:rStyle w:val="hps"/>
        </w:rPr>
        <w:t xml:space="preserve"> 8 </w:t>
      </w:r>
      <w:r w:rsidR="00A402C3" w:rsidRPr="00E64197">
        <w:rPr>
          <w:rStyle w:val="hps"/>
        </w:rPr>
        <w:t xml:space="preserve">and </w:t>
      </w:r>
      <w:r w:rsidRPr="00E64197">
        <w:rPr>
          <w:rStyle w:val="hps"/>
        </w:rPr>
        <w:t xml:space="preserve">9). It will map </w:t>
      </w:r>
      <w:r w:rsidR="00A402C3" w:rsidRPr="00E64197">
        <w:rPr>
          <w:rStyle w:val="hps"/>
        </w:rPr>
        <w:t xml:space="preserve">the </w:t>
      </w:r>
      <w:r w:rsidRPr="00E64197">
        <w:rPr>
          <w:rStyle w:val="hps"/>
        </w:rPr>
        <w:t>existing capacities and needs of the network, utilize technology and social media platforms to support networking, and provide opportunities for new membership. The Secretariat will pursue reorienting the Programme, combining online learning, in-person training and self-learning. This will involve materials adaptation and updating in core action areas of the Convention, tools development</w:t>
      </w:r>
      <w:r w:rsidR="00A402C3" w:rsidRPr="00E64197">
        <w:rPr>
          <w:rStyle w:val="hps"/>
        </w:rPr>
        <w:t>, and</w:t>
      </w:r>
      <w:r w:rsidRPr="00E64197">
        <w:rPr>
          <w:rStyle w:val="hps"/>
        </w:rPr>
        <w:t xml:space="preserve"> broadening the programme’s thematic scope in areas such as </w:t>
      </w:r>
      <w:r w:rsidR="00587C88" w:rsidRPr="00E64197">
        <w:rPr>
          <w:rStyle w:val="hps"/>
        </w:rPr>
        <w:t>intangible cultural heritage</w:t>
      </w:r>
      <w:r w:rsidR="00632539" w:rsidRPr="00E64197">
        <w:rPr>
          <w:rStyle w:val="hps"/>
        </w:rPr>
        <w:t xml:space="preserve"> and </w:t>
      </w:r>
      <w:r w:rsidRPr="00E64197">
        <w:rPr>
          <w:rStyle w:val="hps"/>
        </w:rPr>
        <w:t xml:space="preserve">commercialization and </w:t>
      </w:r>
      <w:r w:rsidR="00587C88" w:rsidRPr="00E64197">
        <w:rPr>
          <w:rStyle w:val="hps"/>
        </w:rPr>
        <w:t>intangible cultural heritage</w:t>
      </w:r>
      <w:r w:rsidR="00632539" w:rsidRPr="00E64197">
        <w:rPr>
          <w:rStyle w:val="hps"/>
        </w:rPr>
        <w:t xml:space="preserve"> and </w:t>
      </w:r>
      <w:r w:rsidRPr="00E64197">
        <w:rPr>
          <w:rStyle w:val="hps"/>
        </w:rPr>
        <w:t xml:space="preserve">urban </w:t>
      </w:r>
      <w:r w:rsidR="00632539" w:rsidRPr="00E64197">
        <w:rPr>
          <w:rStyle w:val="hps"/>
        </w:rPr>
        <w:t>planning</w:t>
      </w:r>
      <w:r w:rsidRPr="00E64197">
        <w:rPr>
          <w:rStyle w:val="hps"/>
        </w:rPr>
        <w:t>. The Secretariat will notably establish a Learning management system in close collaboration with the facilitators</w:t>
      </w:r>
      <w:r w:rsidR="006506C3" w:rsidRPr="00E64197">
        <w:rPr>
          <w:rStyle w:val="hps"/>
        </w:rPr>
        <w:t>’</w:t>
      </w:r>
      <w:r w:rsidRPr="00E64197">
        <w:rPr>
          <w:rStyle w:val="hps"/>
        </w:rPr>
        <w:t xml:space="preserve"> network and other partners, to allow users to easily create, manage and deliver training content for different modalities and contexts. </w:t>
      </w:r>
      <w:r w:rsidR="006506C3" w:rsidRPr="00E64197">
        <w:rPr>
          <w:rStyle w:val="hps"/>
        </w:rPr>
        <w:t>P</w:t>
      </w:r>
      <w:r w:rsidRPr="00E64197">
        <w:rPr>
          <w:rStyle w:val="hps"/>
        </w:rPr>
        <w:t>artnerships with category 2 centres</w:t>
      </w:r>
      <w:r w:rsidR="00632539" w:rsidRPr="00E64197">
        <w:rPr>
          <w:rStyle w:val="hps"/>
        </w:rPr>
        <w:t xml:space="preserve">, UNESCO </w:t>
      </w:r>
      <w:r w:rsidR="00404156" w:rsidRPr="00E64197">
        <w:rPr>
          <w:rStyle w:val="hps"/>
        </w:rPr>
        <w:t>C</w:t>
      </w:r>
      <w:r w:rsidR="00632539" w:rsidRPr="00E64197">
        <w:rPr>
          <w:rStyle w:val="hps"/>
        </w:rPr>
        <w:t>hairs</w:t>
      </w:r>
      <w:r w:rsidR="00A402C3" w:rsidRPr="00E64197">
        <w:rPr>
          <w:rStyle w:val="hps"/>
        </w:rPr>
        <w:t>,</w:t>
      </w:r>
      <w:r w:rsidRPr="00E64197">
        <w:rPr>
          <w:rStyle w:val="hps"/>
        </w:rPr>
        <w:t xml:space="preserve"> universities</w:t>
      </w:r>
      <w:r w:rsidR="00A402C3" w:rsidRPr="00E64197">
        <w:rPr>
          <w:rStyle w:val="hps"/>
        </w:rPr>
        <w:t xml:space="preserve">, </w:t>
      </w:r>
      <w:r w:rsidRPr="00E64197">
        <w:rPr>
          <w:rStyle w:val="hps"/>
        </w:rPr>
        <w:t>NGOs and organizations active in the field</w:t>
      </w:r>
      <w:r w:rsidR="00A402C3" w:rsidRPr="00E64197">
        <w:rPr>
          <w:rStyle w:val="hps"/>
        </w:rPr>
        <w:t>s</w:t>
      </w:r>
      <w:r w:rsidRPr="00E64197">
        <w:rPr>
          <w:rStyle w:val="hps"/>
        </w:rPr>
        <w:t xml:space="preserve"> of culture and heritage</w:t>
      </w:r>
      <w:r w:rsidR="006506C3" w:rsidRPr="00E64197">
        <w:rPr>
          <w:rStyle w:val="hps"/>
        </w:rPr>
        <w:t xml:space="preserve"> will be strengthened</w:t>
      </w:r>
      <w:r w:rsidRPr="00E64197">
        <w:rPr>
          <w:rStyle w:val="hps"/>
        </w:rPr>
        <w:t>.</w:t>
      </w:r>
    </w:p>
    <w:p w14:paraId="2AD6A674" w14:textId="48C6DD2B" w:rsidR="00D24637" w:rsidRPr="00E64197" w:rsidRDefault="00D24637" w:rsidP="00C266C5">
      <w:pPr>
        <w:pStyle w:val="COMPara"/>
        <w:numPr>
          <w:ilvl w:val="0"/>
          <w:numId w:val="0"/>
        </w:numPr>
        <w:spacing w:before="240"/>
        <w:ind w:left="567"/>
        <w:jc w:val="both"/>
        <w:rPr>
          <w:rStyle w:val="hps"/>
          <w:b/>
          <w:bCs/>
        </w:rPr>
      </w:pPr>
      <w:r w:rsidRPr="00E64197">
        <w:rPr>
          <w:rStyle w:val="hps"/>
          <w:b/>
          <w:bCs/>
        </w:rPr>
        <w:t>Expected Result</w:t>
      </w:r>
      <w:r w:rsidR="00342926" w:rsidRPr="00E64197">
        <w:rPr>
          <w:rStyle w:val="hps"/>
          <w:b/>
          <w:bCs/>
        </w:rPr>
        <w:t> </w:t>
      </w:r>
      <w:r w:rsidRPr="00E64197">
        <w:rPr>
          <w:rStyle w:val="hps"/>
          <w:b/>
          <w:bCs/>
        </w:rPr>
        <w:t>3: Integration of intangible cultural heritage into development plans, policies and programmes supported</w:t>
      </w:r>
      <w:r w:rsidR="00947538" w:rsidRPr="002B061E">
        <w:rPr>
          <w:rStyle w:val="hps"/>
          <w:vertAlign w:val="superscript"/>
        </w:rPr>
        <w:fldChar w:fldCharType="begin"/>
      </w:r>
      <w:r w:rsidR="00947538" w:rsidRPr="00E64197">
        <w:rPr>
          <w:rStyle w:val="hps"/>
          <w:vertAlign w:val="superscript"/>
        </w:rPr>
        <w:instrText xml:space="preserve"> NOTEREF _Ref87123499 \h  \* MERGEFORMAT </w:instrText>
      </w:r>
      <w:r w:rsidR="00947538" w:rsidRPr="002B061E">
        <w:rPr>
          <w:rStyle w:val="hps"/>
          <w:vertAlign w:val="superscript"/>
        </w:rPr>
      </w:r>
      <w:r w:rsidR="00947538" w:rsidRPr="002B061E">
        <w:rPr>
          <w:rStyle w:val="hps"/>
          <w:vertAlign w:val="superscript"/>
        </w:rPr>
        <w:fldChar w:fldCharType="separate"/>
      </w:r>
      <w:r w:rsidR="00342926" w:rsidRPr="002B061E">
        <w:rPr>
          <w:rStyle w:val="hps"/>
          <w:vertAlign w:val="superscript"/>
        </w:rPr>
        <w:t>7</w:t>
      </w:r>
      <w:r w:rsidR="00947538" w:rsidRPr="002B061E">
        <w:rPr>
          <w:rStyle w:val="hps"/>
          <w:vertAlign w:val="superscript"/>
        </w:rPr>
        <w:fldChar w:fldCharType="end"/>
      </w:r>
    </w:p>
    <w:p w14:paraId="1437B925" w14:textId="5FB6C433" w:rsidR="00927333" w:rsidRPr="00E64197" w:rsidRDefault="00B26B10" w:rsidP="00A338B1">
      <w:pPr>
        <w:pStyle w:val="COMPara"/>
        <w:ind w:left="567" w:hanging="567"/>
        <w:jc w:val="both"/>
        <w:rPr>
          <w:rStyle w:val="hps"/>
        </w:rPr>
      </w:pPr>
      <w:r w:rsidRPr="00E64197">
        <w:rPr>
          <w:rStyle w:val="hps"/>
        </w:rPr>
        <w:t xml:space="preserve">Some inroads have been made in developing methods and projects to incorporate living heritage in a wide range of formal and non-formal education programmes and settings since the establishment of the programme ‘Safeguarding intangible cultural heritage in formal and non-formal education’ in 2017, resulting in stronger appreciation of cultural diversity among participating youth, more confidence in teachers and a better understanding of the important role of intangible cultural heritage for quality education (SDG 4). Now it is time to scale up through a combined approach of strengthening inter-ministerial collaboration at all levels and bottom-up initiatives. This is the conclusion of the IOS evaluation which recommended that, as a next step, the Secretariat </w:t>
      </w:r>
      <w:r w:rsidR="00A402C3" w:rsidRPr="00E64197">
        <w:rPr>
          <w:rStyle w:val="hps"/>
        </w:rPr>
        <w:t>and</w:t>
      </w:r>
      <w:r w:rsidRPr="00E64197">
        <w:rPr>
          <w:rStyle w:val="hps"/>
        </w:rPr>
        <w:t xml:space="preserve"> UNESCO’s Education sector sharpen and reflect on the scope of the programme by using the proposed Theory of </w:t>
      </w:r>
      <w:r w:rsidR="00A402C3" w:rsidRPr="00E64197">
        <w:rPr>
          <w:rStyle w:val="hps"/>
        </w:rPr>
        <w:t xml:space="preserve">Change </w:t>
      </w:r>
      <w:r w:rsidRPr="00E64197">
        <w:rPr>
          <w:rStyle w:val="hps"/>
        </w:rPr>
        <w:t>(</w:t>
      </w:r>
      <w:r w:rsidR="00582DA2" w:rsidRPr="00E64197">
        <w:rPr>
          <w:rStyle w:val="hps"/>
        </w:rPr>
        <w:t xml:space="preserve">IOS </w:t>
      </w:r>
      <w:r w:rsidRPr="00E64197">
        <w:rPr>
          <w:rStyle w:val="hps"/>
        </w:rPr>
        <w:t>Recommendation 4)</w:t>
      </w:r>
      <w:r w:rsidR="00927333" w:rsidRPr="00E64197">
        <w:rPr>
          <w:rStyle w:val="hps"/>
        </w:rPr>
        <w:t>.</w:t>
      </w:r>
    </w:p>
    <w:p w14:paraId="578A8131" w14:textId="7526E06A" w:rsidR="00B26B10" w:rsidRPr="00E64197" w:rsidRDefault="00B26B10" w:rsidP="00A338B1">
      <w:pPr>
        <w:pStyle w:val="COMPara"/>
        <w:ind w:left="567" w:hanging="567"/>
        <w:jc w:val="both"/>
        <w:rPr>
          <w:rStyle w:val="hps"/>
        </w:rPr>
      </w:pPr>
      <w:r w:rsidRPr="00E64197">
        <w:rPr>
          <w:rStyle w:val="hps"/>
        </w:rPr>
        <w:t xml:space="preserve">The Secretariat will </w:t>
      </w:r>
      <w:r w:rsidR="00A402C3" w:rsidRPr="00E64197">
        <w:rPr>
          <w:rStyle w:val="hps"/>
        </w:rPr>
        <w:t xml:space="preserve">organize </w:t>
      </w:r>
      <w:r w:rsidRPr="00E64197">
        <w:rPr>
          <w:rStyle w:val="hps"/>
        </w:rPr>
        <w:t xml:space="preserve">this intersectoral reflection process jointly with the Education Sector, develop a common framework for the second phase of this programme and facilitate its utilization for project design, monitoring and reporting. Moreover, the Secretariat will develop relevant capacities, tools and methodologies with experts and actors that can be utilized in supporting countries in scaling up the programme at country level. Particular attention will be given to the development of innovative assessment methods to evaluate learning achievement in this new area and generate more robust data and analysis, which are required to advocate for the further integration of living heritage in education systems. Collaboration with relevant research and education institutions will be established for this </w:t>
      </w:r>
      <w:r w:rsidRPr="00E64197">
        <w:rPr>
          <w:rStyle w:val="hps"/>
        </w:rPr>
        <w:lastRenderedPageBreak/>
        <w:t>purpose</w:t>
      </w:r>
      <w:r w:rsidR="008124DD" w:rsidRPr="00E64197">
        <w:rPr>
          <w:rStyle w:val="hps"/>
        </w:rPr>
        <w:t>.</w:t>
      </w:r>
      <w:r w:rsidRPr="00E64197">
        <w:rPr>
          <w:rStyle w:val="hps"/>
        </w:rPr>
        <w:t xml:space="preserve"> </w:t>
      </w:r>
      <w:r w:rsidR="00455E6C" w:rsidRPr="00E64197">
        <w:rPr>
          <w:rStyle w:val="hps"/>
        </w:rPr>
        <w:t>T</w:t>
      </w:r>
      <w:r w:rsidRPr="00E64197">
        <w:rPr>
          <w:rStyle w:val="hps"/>
        </w:rPr>
        <w:t xml:space="preserve">he Secretariat will </w:t>
      </w:r>
      <w:r w:rsidR="00455E6C" w:rsidRPr="00E64197">
        <w:rPr>
          <w:rStyle w:val="hps"/>
        </w:rPr>
        <w:t xml:space="preserve">also </w:t>
      </w:r>
      <w:r w:rsidRPr="00E64197">
        <w:rPr>
          <w:rStyle w:val="hps"/>
        </w:rPr>
        <w:t>facilitate knowledge-sharing and networking by further developing the online clearinghouse on living heritage and education to allow peer learning and the effective dissemination of the knowledge and tools generated. In addition, the Secretariat will continue strengthening intersectoral and inter-institutional collaboration for safeguarding living heritage in other development programmes, notably in the context of the International Decade on Indigenous Languages.</w:t>
      </w:r>
    </w:p>
    <w:p w14:paraId="2F9DC876" w14:textId="27C2D6B4" w:rsidR="00D24637" w:rsidRPr="00E64197" w:rsidRDefault="00D24637" w:rsidP="00C266C5">
      <w:pPr>
        <w:pStyle w:val="COMPara"/>
        <w:keepNext/>
        <w:numPr>
          <w:ilvl w:val="0"/>
          <w:numId w:val="0"/>
        </w:numPr>
        <w:spacing w:before="240"/>
        <w:ind w:left="567"/>
        <w:rPr>
          <w:b/>
          <w:bCs/>
        </w:rPr>
      </w:pPr>
      <w:r w:rsidRPr="00E64197">
        <w:rPr>
          <w:b/>
          <w:bCs/>
        </w:rPr>
        <w:t>Expected Result 4: Objectives of the Convention promoted through awareness-raising and outreach</w:t>
      </w:r>
      <w:r w:rsidR="00947538" w:rsidRPr="00490E36">
        <w:rPr>
          <w:vertAlign w:val="superscript"/>
        </w:rPr>
        <w:fldChar w:fldCharType="begin"/>
      </w:r>
      <w:r w:rsidR="00947538" w:rsidRPr="00E64197">
        <w:rPr>
          <w:vertAlign w:val="superscript"/>
        </w:rPr>
        <w:instrText xml:space="preserve"> NOTEREF _Ref87123526 \h  \* MERGEFORMAT </w:instrText>
      </w:r>
      <w:r w:rsidR="00947538" w:rsidRPr="00490E36">
        <w:rPr>
          <w:vertAlign w:val="superscript"/>
        </w:rPr>
      </w:r>
      <w:r w:rsidR="00947538" w:rsidRPr="00490E36">
        <w:rPr>
          <w:vertAlign w:val="superscript"/>
        </w:rPr>
        <w:fldChar w:fldCharType="separate"/>
      </w:r>
      <w:r w:rsidR="00342926" w:rsidRPr="00E64197">
        <w:rPr>
          <w:vertAlign w:val="superscript"/>
        </w:rPr>
        <w:t>6</w:t>
      </w:r>
      <w:r w:rsidR="00947538" w:rsidRPr="00490E36">
        <w:rPr>
          <w:vertAlign w:val="superscript"/>
        </w:rPr>
        <w:fldChar w:fldCharType="end"/>
      </w:r>
    </w:p>
    <w:p w14:paraId="37A01766" w14:textId="03046A16" w:rsidR="00922C41" w:rsidRPr="00E64197" w:rsidRDefault="00922C41" w:rsidP="00922C41">
      <w:pPr>
        <w:pStyle w:val="COMPara"/>
        <w:tabs>
          <w:tab w:val="left" w:pos="567"/>
        </w:tabs>
        <w:ind w:left="567" w:hanging="567"/>
        <w:jc w:val="both"/>
        <w:rPr>
          <w:bCs/>
        </w:rPr>
      </w:pPr>
      <w:r w:rsidRPr="00E64197">
        <w:rPr>
          <w:bCs/>
        </w:rPr>
        <w:t xml:space="preserve">As defined in its Article 1, one of the main purposes of the Convention is to raise awareness about the importance of intangible cultural heritage and ensuring mutual appreciation thereof, </w:t>
      </w:r>
      <w:r w:rsidR="00582DA2" w:rsidRPr="00E64197">
        <w:rPr>
          <w:bCs/>
        </w:rPr>
        <w:t>while</w:t>
      </w:r>
      <w:r w:rsidRPr="00E64197">
        <w:rPr>
          <w:bCs/>
        </w:rPr>
        <w:t xml:space="preserve"> Article 14 highlights the role of awareness-raising as a safeguarding measure in itself. The </w:t>
      </w:r>
      <w:hyperlink r:id="rId25" w:history="1">
        <w:r w:rsidRPr="00E64197">
          <w:rPr>
            <w:rStyle w:val="Hyperlink"/>
            <w:bCs/>
          </w:rPr>
          <w:t>Convention’s website</w:t>
        </w:r>
      </w:hyperlink>
      <w:r w:rsidRPr="00E64197">
        <w:rPr>
          <w:bCs/>
        </w:rPr>
        <w:t xml:space="preserve"> is the backbone for disseminating information on the Convention and its implementation, from the work of governing bodies to projects and activities implemented at the national level. While it is a key repository of information for States representatives and experts, its current format and content </w:t>
      </w:r>
      <w:r w:rsidR="00582DA2" w:rsidRPr="00E64197">
        <w:rPr>
          <w:bCs/>
        </w:rPr>
        <w:t xml:space="preserve">focuses on </w:t>
      </w:r>
      <w:r w:rsidRPr="00E64197">
        <w:rPr>
          <w:bCs/>
        </w:rPr>
        <w:t>statutory</w:t>
      </w:r>
      <w:r w:rsidR="00582DA2" w:rsidRPr="00E64197">
        <w:rPr>
          <w:bCs/>
        </w:rPr>
        <w:t xml:space="preserve"> mechanisms</w:t>
      </w:r>
      <w:r w:rsidRPr="00E64197">
        <w:rPr>
          <w:bCs/>
        </w:rPr>
        <w:t xml:space="preserve"> and the website does not currently constitute the engaging communication tool it could be. </w:t>
      </w:r>
      <w:r w:rsidR="00270A24" w:rsidRPr="00E64197">
        <w:rPr>
          <w:bCs/>
        </w:rPr>
        <w:t xml:space="preserve">Actions planned for the coming biennium will contribute to exploring new avenues for communication and outreach targeting the general public and youth in particular, as recommended by the IOS evaluation (IOS Recommendation 11). </w:t>
      </w:r>
      <w:r w:rsidRPr="00E64197">
        <w:rPr>
          <w:bCs/>
        </w:rPr>
        <w:t xml:space="preserve">Beyond its </w:t>
      </w:r>
      <w:r w:rsidR="00455E6C" w:rsidRPr="00E64197">
        <w:rPr>
          <w:bCs/>
        </w:rPr>
        <w:t xml:space="preserve">alignment </w:t>
      </w:r>
      <w:r w:rsidR="00A402C3" w:rsidRPr="00E64197">
        <w:rPr>
          <w:bCs/>
        </w:rPr>
        <w:t>with UNESCO’s</w:t>
      </w:r>
      <w:r w:rsidRPr="00E64197">
        <w:rPr>
          <w:bCs/>
        </w:rPr>
        <w:t xml:space="preserve"> new graphic charter, the website will be restructured to better tell stories, provide thematic approaches, offer transversal navigations – in particular around Sustainable Development Goals – and highlight striking content such as data-visualization, high-quality photos and audio-visual materials depicting living heritage in action.</w:t>
      </w:r>
    </w:p>
    <w:p w14:paraId="6AA80C99" w14:textId="19B8F8BD" w:rsidR="00922C41" w:rsidRPr="00E64197" w:rsidRDefault="00922C41" w:rsidP="00582DA2">
      <w:pPr>
        <w:pStyle w:val="COMPara"/>
        <w:tabs>
          <w:tab w:val="left" w:pos="567"/>
        </w:tabs>
        <w:ind w:left="567" w:hanging="567"/>
        <w:jc w:val="both"/>
        <w:rPr>
          <w:bCs/>
        </w:rPr>
      </w:pPr>
      <w:r w:rsidRPr="00E64197">
        <w:rPr>
          <w:bCs/>
        </w:rPr>
        <w:t xml:space="preserve">Building on the successful experience of the </w:t>
      </w:r>
      <w:hyperlink r:id="rId26" w:history="1">
        <w:r w:rsidRPr="00E64197">
          <w:rPr>
            <w:rStyle w:val="Hyperlink"/>
            <w:bCs/>
          </w:rPr>
          <w:t>platform on living heritage experiences and the COVID-19 pandemic</w:t>
        </w:r>
      </w:hyperlink>
      <w:r w:rsidRPr="00E64197">
        <w:rPr>
          <w:bCs/>
        </w:rPr>
        <w:t xml:space="preserve"> launched in May 2020, the Secretariat will also reinforce the capacity of its website to serve as an exchange and communication platform, in particular building on the communication and outreach potential of its partners (</w:t>
      </w:r>
      <w:r w:rsidR="00A402C3" w:rsidRPr="00E64197">
        <w:rPr>
          <w:rStyle w:val="hps"/>
        </w:rPr>
        <w:t xml:space="preserve">category </w:t>
      </w:r>
      <w:r w:rsidRPr="00E64197">
        <w:rPr>
          <w:rStyle w:val="hps"/>
        </w:rPr>
        <w:t xml:space="preserve">2 </w:t>
      </w:r>
      <w:r w:rsidR="00A402C3" w:rsidRPr="00E64197">
        <w:rPr>
          <w:rStyle w:val="hps"/>
        </w:rPr>
        <w:t>centres</w:t>
      </w:r>
      <w:r w:rsidRPr="00E64197">
        <w:rPr>
          <w:rStyle w:val="hps"/>
        </w:rPr>
        <w:t xml:space="preserve">, accredited NGOs, UNESCO Chairs and national institutions). To better reach out to youth, the Secretariat will also elaborate and implement a communication plan intensifying the usage of social media, using all possible channels and relays. </w:t>
      </w:r>
      <w:r w:rsidRPr="00E64197">
        <w:rPr>
          <w:bCs/>
        </w:rPr>
        <w:t>Guidance tools will be developed to help States Parties establish communication strategies at the national level.</w:t>
      </w:r>
      <w:r w:rsidR="00582DA2" w:rsidRPr="00E64197">
        <w:rPr>
          <w:bCs/>
        </w:rPr>
        <w:t xml:space="preserve"> </w:t>
      </w:r>
      <w:r w:rsidRPr="00E64197">
        <w:rPr>
          <w:bCs/>
        </w:rPr>
        <w:t xml:space="preserve">Already envisaged for last biennium but delayed because of the pandemic, new initiatives will be undertaken to reach out beyond the usual audiences of the Convention and </w:t>
      </w:r>
      <w:r w:rsidR="00582DA2" w:rsidRPr="00E64197">
        <w:rPr>
          <w:bCs/>
        </w:rPr>
        <w:t xml:space="preserve">promote the presentation of </w:t>
      </w:r>
      <w:r w:rsidRPr="00E64197">
        <w:rPr>
          <w:bCs/>
        </w:rPr>
        <w:t>living heritage within other major</w:t>
      </w:r>
      <w:r w:rsidR="00582DA2" w:rsidRPr="00E64197">
        <w:rPr>
          <w:bCs/>
        </w:rPr>
        <w:t xml:space="preserve"> relevant</w:t>
      </w:r>
      <w:r w:rsidRPr="00E64197">
        <w:rPr>
          <w:bCs/>
        </w:rPr>
        <w:t xml:space="preserve"> international events </w:t>
      </w:r>
      <w:r w:rsidR="00582DA2" w:rsidRPr="00E64197">
        <w:rPr>
          <w:bCs/>
        </w:rPr>
        <w:t>linked to priority thematic areas</w:t>
      </w:r>
      <w:r w:rsidRPr="00E64197">
        <w:rPr>
          <w:bCs/>
        </w:rPr>
        <w:t xml:space="preserve"> (</w:t>
      </w:r>
      <w:r w:rsidR="008C3FBA" w:rsidRPr="00E64197">
        <w:rPr>
          <w:bCs/>
        </w:rPr>
        <w:t>cities</w:t>
      </w:r>
      <w:r w:rsidRPr="00E64197">
        <w:rPr>
          <w:bCs/>
        </w:rPr>
        <w:t>, climate change, environment). The transversal potential of ‘</w:t>
      </w:r>
      <w:r w:rsidRPr="00E64197">
        <w:t>Dive into intangible cultural heritage!</w:t>
      </w:r>
      <w:r w:rsidRPr="00E64197">
        <w:rPr>
          <w:bCs/>
        </w:rPr>
        <w:t xml:space="preserve">’ interfaces will be further exploited through </w:t>
      </w:r>
      <w:r w:rsidR="00E316DB" w:rsidRPr="00E64197">
        <w:rPr>
          <w:bCs/>
        </w:rPr>
        <w:t xml:space="preserve">physical and virtual </w:t>
      </w:r>
      <w:r w:rsidRPr="00E64197">
        <w:rPr>
          <w:bCs/>
        </w:rPr>
        <w:t>exhibitions and electronic brochures will be prepared and organized around strategic themes.</w:t>
      </w:r>
    </w:p>
    <w:p w14:paraId="5874BF50" w14:textId="616376B2" w:rsidR="00383A3C" w:rsidRPr="00E64197" w:rsidRDefault="00383A3C" w:rsidP="007B3EB6">
      <w:pPr>
        <w:pStyle w:val="COMPara"/>
        <w:numPr>
          <w:ilvl w:val="0"/>
          <w:numId w:val="0"/>
        </w:numPr>
        <w:spacing w:before="240"/>
      </w:pPr>
      <w:r w:rsidRPr="00E64197">
        <w:rPr>
          <w:b/>
          <w:bCs/>
        </w:rPr>
        <w:t>Participation</w:t>
      </w:r>
      <w:r w:rsidR="00D22FC9" w:rsidRPr="00E64197">
        <w:rPr>
          <w:b/>
          <w:bCs/>
        </w:rPr>
        <w:t xml:space="preserve"> of experts</w:t>
      </w:r>
      <w:r w:rsidRPr="00E64197">
        <w:rPr>
          <w:b/>
          <w:bCs/>
        </w:rPr>
        <w:t xml:space="preserve"> in the meetings of the governing bodies</w:t>
      </w:r>
    </w:p>
    <w:p w14:paraId="37D5AE79" w14:textId="49B85E46" w:rsidR="008D0470" w:rsidRPr="00E64197" w:rsidRDefault="003A616B" w:rsidP="00770F1E">
      <w:pPr>
        <w:pStyle w:val="COMPara"/>
        <w:ind w:left="567" w:hanging="567"/>
        <w:jc w:val="both"/>
      </w:pPr>
      <w:r w:rsidRPr="00E64197">
        <w:t xml:space="preserve">The participation of experts in intangible cultural heritage representing developing States Parties in statutory meetings is covered either by </w:t>
      </w:r>
      <w:r w:rsidRPr="00E64197">
        <w:rPr>
          <w:b/>
          <w:bCs/>
        </w:rPr>
        <w:t>budget line 4</w:t>
      </w:r>
      <w:r w:rsidRPr="00E64197">
        <w:t xml:space="preserve"> when they are members of the Committee or by </w:t>
      </w:r>
      <w:r w:rsidRPr="00E64197">
        <w:rPr>
          <w:b/>
          <w:bCs/>
        </w:rPr>
        <w:t>budget line 5</w:t>
      </w:r>
      <w:r w:rsidRPr="00E64197">
        <w:t xml:space="preserve"> when they are not. The participation of experts representing accredited NGOs from developing countries in the sessions of the Committee is covered by </w:t>
      </w:r>
      <w:r w:rsidRPr="00E64197">
        <w:rPr>
          <w:b/>
        </w:rPr>
        <w:t>budget line 6</w:t>
      </w:r>
      <w:r w:rsidRPr="00E64197">
        <w:t xml:space="preserve">. It is proposed that </w:t>
      </w:r>
      <w:r w:rsidR="003875D3" w:rsidRPr="00E64197">
        <w:t>3</w:t>
      </w:r>
      <w:r w:rsidR="00E316DB" w:rsidRPr="00E64197">
        <w:t>.1</w:t>
      </w:r>
      <w:r w:rsidRPr="00E64197">
        <w:t xml:space="preserve">%, 3.3% and 3.3%, respectively, be dedicated to the above-mentioned lines. </w:t>
      </w:r>
      <w:r w:rsidR="00A338B1" w:rsidRPr="00E64197">
        <w:t xml:space="preserve">While </w:t>
      </w:r>
      <w:r w:rsidR="008D0470" w:rsidRPr="00E64197">
        <w:t>budget lines</w:t>
      </w:r>
      <w:r w:rsidR="00770F1E" w:rsidRPr="00E64197">
        <w:t xml:space="preserve"> </w:t>
      </w:r>
      <w:r w:rsidR="008D0470" w:rsidRPr="00E64197">
        <w:t>5 and 6 remain</w:t>
      </w:r>
      <w:r w:rsidR="003875D3" w:rsidRPr="00E64197">
        <w:t xml:space="preserve"> </w:t>
      </w:r>
      <w:r w:rsidR="008D0470" w:rsidRPr="00E64197">
        <w:t>unchanged</w:t>
      </w:r>
      <w:r w:rsidR="00770F1E" w:rsidRPr="00E64197">
        <w:t>, it is proposed that budget line</w:t>
      </w:r>
      <w:r w:rsidR="003875D3" w:rsidRPr="00E64197">
        <w:t> </w:t>
      </w:r>
      <w:r w:rsidR="00770F1E" w:rsidRPr="00E64197">
        <w:t>4 be slightly increased</w:t>
      </w:r>
      <w:r w:rsidR="003875D3" w:rsidRPr="00E64197">
        <w:t>, to support the participation costs of experts</w:t>
      </w:r>
      <w:r w:rsidR="00A176D9" w:rsidRPr="00E64197">
        <w:t xml:space="preserve"> in intangible cultural heritage representing developing States that are Members of the Committee in a potential extraordinary session of the Committee </w:t>
      </w:r>
      <w:r w:rsidR="00271EF4" w:rsidRPr="00E64197">
        <w:t xml:space="preserve">in the first half of 2022, </w:t>
      </w:r>
      <w:r w:rsidR="00A176D9" w:rsidRPr="00E64197">
        <w:t xml:space="preserve">as a result of the </w:t>
      </w:r>
      <w:r w:rsidR="00A176D9" w:rsidRPr="00E64197">
        <w:lastRenderedPageBreak/>
        <w:t xml:space="preserve">recommendations from the Open-ended intergovernmental working group in the framework of the global reflection on the listing mechanisms (see document </w:t>
      </w:r>
      <w:hyperlink r:id="rId27" w:history="1">
        <w:r w:rsidR="00A176D9" w:rsidRPr="00E94AAA">
          <w:rPr>
            <w:rStyle w:val="Hyperlink"/>
          </w:rPr>
          <w:t>LHE/21/16.COM/14</w:t>
        </w:r>
      </w:hyperlink>
      <w:r w:rsidR="00A176D9" w:rsidRPr="00E64197">
        <w:t>)</w:t>
      </w:r>
      <w:r w:rsidR="00770F1E" w:rsidRPr="00E94AAA">
        <w:t>.</w:t>
      </w:r>
      <w:r w:rsidR="00A176D9" w:rsidRPr="00E64197">
        <w:rPr>
          <w:rStyle w:val="FootnoteReference"/>
        </w:rPr>
        <w:footnoteReference w:id="8"/>
      </w:r>
    </w:p>
    <w:p w14:paraId="0C490A20" w14:textId="09F05679" w:rsidR="003875D3" w:rsidRPr="00E64197" w:rsidRDefault="00D22FC9" w:rsidP="007B3EB6">
      <w:pPr>
        <w:pStyle w:val="COMPara"/>
        <w:numPr>
          <w:ilvl w:val="0"/>
          <w:numId w:val="0"/>
        </w:numPr>
        <w:spacing w:before="240"/>
        <w:jc w:val="both"/>
      </w:pPr>
      <w:r w:rsidRPr="00E64197">
        <w:rPr>
          <w:b/>
          <w:bCs/>
        </w:rPr>
        <w:t>A</w:t>
      </w:r>
      <w:r w:rsidR="003875D3" w:rsidRPr="00E64197">
        <w:rPr>
          <w:b/>
          <w:bCs/>
        </w:rPr>
        <w:t>dvisory services to the Committee</w:t>
      </w:r>
    </w:p>
    <w:p w14:paraId="2B43D4A4" w14:textId="0CD8D4B6" w:rsidR="008D0470" w:rsidRPr="00E64197" w:rsidRDefault="008D0470" w:rsidP="00C266C5">
      <w:pPr>
        <w:pStyle w:val="COMPara"/>
        <w:ind w:left="567" w:hanging="567"/>
        <w:jc w:val="both"/>
      </w:pPr>
      <w:r w:rsidRPr="00E64197">
        <w:rPr>
          <w:b/>
          <w:bCs/>
        </w:rPr>
        <w:t>Budget line 7</w:t>
      </w:r>
      <w:r w:rsidRPr="00E64197">
        <w:t xml:space="preserve"> is proposed to be </w:t>
      </w:r>
      <w:r w:rsidR="009C40DA" w:rsidRPr="00E64197">
        <w:t xml:space="preserve">increased from 6% to </w:t>
      </w:r>
      <w:r w:rsidR="001D0121" w:rsidRPr="00E64197">
        <w:t>7.7</w:t>
      </w:r>
      <w:r w:rsidRPr="00E64197">
        <w:t>% to</w:t>
      </w:r>
      <w:r w:rsidR="009C40DA" w:rsidRPr="00E64197">
        <w:t xml:space="preserve"> </w:t>
      </w:r>
      <w:r w:rsidRPr="00E64197">
        <w:t>cover</w:t>
      </w:r>
      <w:r w:rsidR="00820D7E" w:rsidRPr="00E64197">
        <w:t xml:space="preserve"> </w:t>
      </w:r>
      <w:r w:rsidRPr="00E64197">
        <w:t>the cost of the advisory services provided at the request of the Committee from January 2022 to December 2023</w:t>
      </w:r>
      <w:r w:rsidR="00820D7E" w:rsidRPr="00E64197">
        <w:t xml:space="preserve">, in particular those associated with the work of </w:t>
      </w:r>
      <w:r w:rsidR="00AF085E" w:rsidRPr="00E64197">
        <w:t>the Evaluation Body</w:t>
      </w:r>
      <w:r w:rsidR="00E6450D" w:rsidRPr="00E64197">
        <w:t xml:space="preserve"> and of accredited NGOs</w:t>
      </w:r>
      <w:r w:rsidR="008436D8" w:rsidRPr="00E64197">
        <w:t>.</w:t>
      </w:r>
      <w:r w:rsidR="00820D7E" w:rsidRPr="00E64197">
        <w:t xml:space="preserve"> The </w:t>
      </w:r>
      <w:r w:rsidR="005B5E57" w:rsidRPr="00E64197">
        <w:t>1.7</w:t>
      </w:r>
      <w:r w:rsidR="00820D7E" w:rsidRPr="00E64197">
        <w:t>% increase is proposed in light of the potential additional costs that may result from the global reflection on the listing mechanisms of the 2003 Convention based on the recommendation</w:t>
      </w:r>
      <w:r w:rsidR="003351CB" w:rsidRPr="00E64197">
        <w:t>s</w:t>
      </w:r>
      <w:r w:rsidR="00820D7E" w:rsidRPr="00E64197">
        <w:t xml:space="preserve"> o</w:t>
      </w:r>
      <w:r w:rsidR="00CA6440" w:rsidRPr="00E64197">
        <w:t xml:space="preserve">f the Open-ended intergovernmental working group (see paragraphs 5 to 8 in document </w:t>
      </w:r>
      <w:hyperlink r:id="rId28" w:history="1">
        <w:r w:rsidR="00CA6440" w:rsidRPr="00E94AAA">
          <w:rPr>
            <w:rStyle w:val="Hyperlink"/>
          </w:rPr>
          <w:t>LHE/21/16.COM WG/Recom</w:t>
        </w:r>
        <w:r w:rsidR="00CA6440" w:rsidRPr="00E64197">
          <w:rPr>
            <w:rStyle w:val="Hyperlink"/>
          </w:rPr>
          <w:t>mendations</w:t>
        </w:r>
      </w:hyperlink>
      <w:r w:rsidR="00CA6440" w:rsidRPr="00E64197">
        <w:t>)</w:t>
      </w:r>
      <w:r w:rsidR="00820D7E" w:rsidRPr="00E94AAA">
        <w:t>, including the treatment, evaluation and examination</w:t>
      </w:r>
      <w:r w:rsidR="00CA6440" w:rsidRPr="00E64197">
        <w:t xml:space="preserve"> of </w:t>
      </w:r>
      <w:r w:rsidR="008436D8" w:rsidRPr="00E64197">
        <w:t>transfer</w:t>
      </w:r>
      <w:r w:rsidR="00CA6440" w:rsidRPr="00E64197">
        <w:t xml:space="preserve"> requests</w:t>
      </w:r>
      <w:r w:rsidR="008436D8" w:rsidRPr="00E64197">
        <w:t xml:space="preserve"> of elements between the Lists and Register of the Convention, the inscription of elements on an extended or reduced basis and the follow-up of elements inscribed on the Lists of the Convention.</w:t>
      </w:r>
      <w:r w:rsidR="00463FAC" w:rsidRPr="00E64197">
        <w:t xml:space="preserve"> Should the Committee and the General Assembly approve the abovementioned procedures, the proposed increased allocation would allow the treatment, evaluation and examination of an initial number of requests that the Secretariat may receive during the 2022</w:t>
      </w:r>
      <w:r w:rsidR="00E6450D" w:rsidRPr="00E64197">
        <w:t>–</w:t>
      </w:r>
      <w:r w:rsidR="00463FAC" w:rsidRPr="00E64197">
        <w:t>2023</w:t>
      </w:r>
      <w:r w:rsidR="00E6450D" w:rsidRPr="00E64197">
        <w:t xml:space="preserve"> </w:t>
      </w:r>
      <w:r w:rsidR="00463FAC" w:rsidRPr="00E64197">
        <w:t>biennium, after the ninth session of the General Assembly.</w:t>
      </w:r>
    </w:p>
    <w:p w14:paraId="5B3B076C" w14:textId="7565121F" w:rsidR="00FA1E41" w:rsidRPr="00E64197" w:rsidRDefault="00FA1E41" w:rsidP="00FA1E41">
      <w:pPr>
        <w:pStyle w:val="COMPara"/>
        <w:ind w:left="567" w:hanging="567"/>
        <w:jc w:val="both"/>
      </w:pPr>
      <w:r w:rsidRPr="00E64197">
        <w:t>At its eight</w:t>
      </w:r>
      <w:r w:rsidR="002C0C88" w:rsidRPr="00E64197">
        <w:t>h</w:t>
      </w:r>
      <w:r w:rsidRPr="00E64197">
        <w:t xml:space="preserve"> session, the General Assembly recommended that the Secretariat be authorized to make transfers between budget lines 4, 5</w:t>
      </w:r>
      <w:r w:rsidR="00220555" w:rsidRPr="00E64197">
        <w:t xml:space="preserve">, </w:t>
      </w:r>
      <w:r w:rsidRPr="00E64197">
        <w:t>6</w:t>
      </w:r>
      <w:r w:rsidR="00220555" w:rsidRPr="00E64197">
        <w:t xml:space="preserve"> and 7</w:t>
      </w:r>
      <w:r w:rsidRPr="00E64197">
        <w:t xml:space="preserve">, </w:t>
      </w:r>
      <w:r w:rsidR="00E316DB" w:rsidRPr="00E64197">
        <w:t xml:space="preserve">for </w:t>
      </w:r>
      <w:r w:rsidRPr="00E64197">
        <w:t>up to 30% of their initial total allocation</w:t>
      </w:r>
      <w:r w:rsidR="002C0C88" w:rsidRPr="00E64197">
        <w:t xml:space="preserve"> (Resolution </w:t>
      </w:r>
      <w:hyperlink r:id="rId29" w:history="1">
        <w:r w:rsidR="002C0C88" w:rsidRPr="00E94AAA">
          <w:rPr>
            <w:rStyle w:val="Hyperlink"/>
          </w:rPr>
          <w:t>8.GA 7</w:t>
        </w:r>
      </w:hyperlink>
      <w:r w:rsidR="002C0C88" w:rsidRPr="00E64197">
        <w:t>)</w:t>
      </w:r>
      <w:r w:rsidRPr="00E94AAA">
        <w:t xml:space="preserve">. While no transfer has been necessary during the reporting period, </w:t>
      </w:r>
      <w:r w:rsidR="008C3FBA" w:rsidRPr="00E64197">
        <w:t xml:space="preserve">since travel costs have been reduced dramatically due to the pandemic, </w:t>
      </w:r>
      <w:r w:rsidRPr="00E64197">
        <w:t xml:space="preserve">the intention </w:t>
      </w:r>
      <w:r w:rsidR="002C0C88" w:rsidRPr="00E64197">
        <w:t>remains</w:t>
      </w:r>
      <w:r w:rsidRPr="00E64197">
        <w:t xml:space="preserve"> to make efficient use of the funds in accordance with the necessities of each cycle. Therefore, </w:t>
      </w:r>
      <w:r w:rsidR="003875D3" w:rsidRPr="00E64197">
        <w:t>in order to be able</w:t>
      </w:r>
      <w:r w:rsidRPr="00E64197">
        <w:t xml:space="preserve"> to respond to as many requests for financial assistance as possible across the different categories of participants, it is proposed that the Committee recommend to the General Assembly to </w:t>
      </w:r>
      <w:r w:rsidR="002C0C88" w:rsidRPr="00E64197">
        <w:t xml:space="preserve">continue </w:t>
      </w:r>
      <w:r w:rsidRPr="00E64197">
        <w:t>authoriz</w:t>
      </w:r>
      <w:r w:rsidR="002C0C88" w:rsidRPr="00E64197">
        <w:t>ing</w:t>
      </w:r>
      <w:r w:rsidRPr="00E64197">
        <w:t xml:space="preserve"> the Secretariat to make transfers between budget lines 4, 5, 6 and 7, up to an equivalent of 30% of their initial total. Should such a transfer be necessary, the Secretariat would be requested to inform the Committee and the General Assembly in writing, at the session following such action, of the details of and reasons for these transfers.</w:t>
      </w:r>
    </w:p>
    <w:p w14:paraId="50D3EAFF" w14:textId="1EC210F0" w:rsidR="00D95C4C" w:rsidRPr="00E64197" w:rsidRDefault="000B1C8F" w:rsidP="000B535C">
      <w:pPr>
        <w:pStyle w:val="COMPara"/>
        <w:ind w:left="567" w:hanging="567"/>
        <w:jc w:val="both"/>
      </w:pPr>
      <w:r w:rsidRPr="00E64197">
        <w:t>The Committee may wish to adopt the following decision</w:t>
      </w:r>
      <w:r w:rsidR="00D95C4C" w:rsidRPr="00E64197">
        <w:t>:</w:t>
      </w:r>
    </w:p>
    <w:p w14:paraId="6CEB1E9D" w14:textId="10400A99" w:rsidR="00D95C4C" w:rsidRPr="00E64197" w:rsidRDefault="004A34A0" w:rsidP="001D14FE">
      <w:pPr>
        <w:pStyle w:val="COMTitleDecision"/>
        <w:rPr>
          <w:rFonts w:eastAsia="SimSun"/>
        </w:rPr>
      </w:pPr>
      <w:r w:rsidRPr="00E64197">
        <w:t xml:space="preserve">DRAFT </w:t>
      </w:r>
      <w:r w:rsidR="00CB0542" w:rsidRPr="00E64197">
        <w:t>DECISION 1</w:t>
      </w:r>
      <w:r w:rsidR="00B2172B" w:rsidRPr="00E64197">
        <w:t>6</w:t>
      </w:r>
      <w:r w:rsidR="00EC6F8D" w:rsidRPr="00E64197">
        <w:t>.COM</w:t>
      </w:r>
      <w:r w:rsidR="00342926" w:rsidRPr="00E64197">
        <w:t> </w:t>
      </w:r>
      <w:r w:rsidR="00383A3C" w:rsidRPr="00E64197">
        <w:t>13</w:t>
      </w:r>
    </w:p>
    <w:p w14:paraId="13024F0B" w14:textId="77777777" w:rsidR="00D95C4C" w:rsidRPr="00E64197" w:rsidRDefault="00285BB4" w:rsidP="00285BB4">
      <w:pPr>
        <w:pStyle w:val="COMPreambulaDecisions"/>
        <w:rPr>
          <w:rFonts w:eastAsia="SimSun"/>
        </w:rPr>
      </w:pPr>
      <w:r w:rsidRPr="00E64197">
        <w:t>The Committee,</w:t>
      </w:r>
    </w:p>
    <w:p w14:paraId="5A9F22F3" w14:textId="6F06C1E3" w:rsidR="0057439C" w:rsidRPr="00E64197" w:rsidRDefault="00D95C4C" w:rsidP="004A2875">
      <w:pPr>
        <w:pStyle w:val="COMParaDecision"/>
      </w:pPr>
      <w:r w:rsidRPr="00E64197">
        <w:t>Having examined</w:t>
      </w:r>
      <w:r w:rsidRPr="00E64197">
        <w:rPr>
          <w:u w:val="none"/>
        </w:rPr>
        <w:t xml:space="preserve"> doc</w:t>
      </w:r>
      <w:r w:rsidR="00CB0542" w:rsidRPr="00E64197">
        <w:rPr>
          <w:u w:val="none"/>
        </w:rPr>
        <w:t>ument</w:t>
      </w:r>
      <w:r w:rsidR="002C0C88" w:rsidRPr="00E64197">
        <w:rPr>
          <w:u w:val="none"/>
        </w:rPr>
        <w:t>s</w:t>
      </w:r>
      <w:r w:rsidR="00CB0542" w:rsidRPr="00E64197">
        <w:rPr>
          <w:u w:val="none"/>
        </w:rPr>
        <w:t xml:space="preserve"> </w:t>
      </w:r>
      <w:r w:rsidR="00C5776D" w:rsidRPr="00E64197">
        <w:rPr>
          <w:u w:val="none"/>
        </w:rPr>
        <w:t>LHE</w:t>
      </w:r>
      <w:r w:rsidR="00CB0542" w:rsidRPr="00E64197">
        <w:rPr>
          <w:u w:val="none"/>
        </w:rPr>
        <w:t>/</w:t>
      </w:r>
      <w:r w:rsidR="00D7105A" w:rsidRPr="00E64197">
        <w:rPr>
          <w:u w:val="none"/>
        </w:rPr>
        <w:t>2</w:t>
      </w:r>
      <w:r w:rsidR="00B2172B" w:rsidRPr="00E64197">
        <w:rPr>
          <w:u w:val="none"/>
        </w:rPr>
        <w:t>1</w:t>
      </w:r>
      <w:r w:rsidR="00337CEB" w:rsidRPr="00E64197">
        <w:rPr>
          <w:u w:val="none"/>
        </w:rPr>
        <w:t>/1</w:t>
      </w:r>
      <w:r w:rsidR="00B2172B" w:rsidRPr="00E64197">
        <w:rPr>
          <w:u w:val="none"/>
        </w:rPr>
        <w:t>6</w:t>
      </w:r>
      <w:r w:rsidR="00EC6F8D" w:rsidRPr="00E64197">
        <w:rPr>
          <w:u w:val="none"/>
        </w:rPr>
        <w:t>.COM</w:t>
      </w:r>
      <w:r w:rsidR="004A34A0" w:rsidRPr="00E64197">
        <w:rPr>
          <w:u w:val="none"/>
        </w:rPr>
        <w:t>/</w:t>
      </w:r>
      <w:r w:rsidR="00383A3C" w:rsidRPr="00E64197">
        <w:rPr>
          <w:u w:val="none"/>
        </w:rPr>
        <w:t>13</w:t>
      </w:r>
      <w:r w:rsidR="002C0C88" w:rsidRPr="00E64197">
        <w:rPr>
          <w:u w:val="none"/>
        </w:rPr>
        <w:t>,</w:t>
      </w:r>
      <w:r w:rsidR="000B535C" w:rsidRPr="00E64197">
        <w:rPr>
          <w:u w:val="none"/>
        </w:rPr>
        <w:t xml:space="preserve"> </w:t>
      </w:r>
      <w:hyperlink r:id="rId30" w:history="1">
        <w:r w:rsidR="000B535C" w:rsidRPr="00E94AAA">
          <w:rPr>
            <w:rStyle w:val="Hyperlink"/>
          </w:rPr>
          <w:t>LHE/21/16.COM/INF.</w:t>
        </w:r>
        <w:r w:rsidR="003351CB" w:rsidRPr="00E94AAA">
          <w:rPr>
            <w:rStyle w:val="Hyperlink"/>
          </w:rPr>
          <w:t>13.</w:t>
        </w:r>
        <w:r w:rsidR="00383A3C" w:rsidRPr="00E94AAA">
          <w:rPr>
            <w:rStyle w:val="Hyperlink"/>
          </w:rPr>
          <w:t>1</w:t>
        </w:r>
      </w:hyperlink>
      <w:r w:rsidR="006E75EB" w:rsidRPr="00E94AAA">
        <w:rPr>
          <w:u w:val="none"/>
        </w:rPr>
        <w:t xml:space="preserve"> and </w:t>
      </w:r>
      <w:r w:rsidR="002C0C88" w:rsidRPr="00E94AAA">
        <w:rPr>
          <w:u w:val="none"/>
        </w:rPr>
        <w:t xml:space="preserve">their respective </w:t>
      </w:r>
      <w:r w:rsidR="006E75EB" w:rsidRPr="00E64197">
        <w:rPr>
          <w:u w:val="none"/>
        </w:rPr>
        <w:t>annex</w:t>
      </w:r>
      <w:r w:rsidR="002C0C88" w:rsidRPr="00E64197">
        <w:rPr>
          <w:u w:val="none"/>
        </w:rPr>
        <w:t>es</w:t>
      </w:r>
      <w:r w:rsidR="006E75EB" w:rsidRPr="00E64197">
        <w:rPr>
          <w:u w:val="none"/>
        </w:rPr>
        <w:t>,</w:t>
      </w:r>
    </w:p>
    <w:p w14:paraId="71A367C9" w14:textId="18FDE5B7" w:rsidR="000B535C" w:rsidRPr="00E94AAA" w:rsidRDefault="0057439C" w:rsidP="002D4711">
      <w:pPr>
        <w:pStyle w:val="COMParaDecision"/>
      </w:pPr>
      <w:r w:rsidRPr="00E64197">
        <w:t>Recallin</w:t>
      </w:r>
      <w:r w:rsidR="00517FD8" w:rsidRPr="00E64197">
        <w:t>g</w:t>
      </w:r>
      <w:r w:rsidR="00517FD8" w:rsidRPr="00E64197">
        <w:rPr>
          <w:u w:val="none"/>
        </w:rPr>
        <w:t xml:space="preserve"> </w:t>
      </w:r>
      <w:r w:rsidR="000B535C" w:rsidRPr="00E64197">
        <w:rPr>
          <w:u w:val="none"/>
        </w:rPr>
        <w:t>Article 7(c) of the Convention</w:t>
      </w:r>
      <w:r w:rsidR="00B86627" w:rsidRPr="00E64197">
        <w:rPr>
          <w:u w:val="none"/>
        </w:rPr>
        <w:t xml:space="preserve">, Resolution </w:t>
      </w:r>
      <w:hyperlink r:id="rId31" w:history="1">
        <w:r w:rsidR="00B86627" w:rsidRPr="00E94AAA">
          <w:rPr>
            <w:rStyle w:val="Hyperlink"/>
          </w:rPr>
          <w:t>8.GA</w:t>
        </w:r>
        <w:r w:rsidR="00342926" w:rsidRPr="00E64197">
          <w:rPr>
            <w:rStyle w:val="Hyperlink"/>
          </w:rPr>
          <w:t> </w:t>
        </w:r>
        <w:r w:rsidR="00B86627" w:rsidRPr="00E64197">
          <w:rPr>
            <w:rStyle w:val="Hyperlink"/>
          </w:rPr>
          <w:t>7</w:t>
        </w:r>
      </w:hyperlink>
      <w:r w:rsidR="000B535C" w:rsidRPr="00E64197">
        <w:rPr>
          <w:u w:val="none"/>
        </w:rPr>
        <w:t xml:space="preserve"> of the General Assembly</w:t>
      </w:r>
      <w:r w:rsidR="00B86627" w:rsidRPr="00E94AAA">
        <w:rPr>
          <w:u w:val="none"/>
        </w:rPr>
        <w:t xml:space="preserve"> and Decision </w:t>
      </w:r>
      <w:hyperlink r:id="rId32" w:history="1">
        <w:r w:rsidR="00B86627" w:rsidRPr="00E94AAA">
          <w:rPr>
            <w:rStyle w:val="Hyperlink"/>
          </w:rPr>
          <w:t>14.COM</w:t>
        </w:r>
        <w:r w:rsidR="00342926" w:rsidRPr="00E64197">
          <w:rPr>
            <w:rStyle w:val="Hyperlink"/>
          </w:rPr>
          <w:t> </w:t>
        </w:r>
        <w:r w:rsidR="00B86627" w:rsidRPr="00E64197">
          <w:rPr>
            <w:rStyle w:val="Hyperlink"/>
          </w:rPr>
          <w:t>7</w:t>
        </w:r>
      </w:hyperlink>
      <w:r w:rsidR="00B86627" w:rsidRPr="00E64197">
        <w:rPr>
          <w:u w:val="none"/>
        </w:rPr>
        <w:t>,</w:t>
      </w:r>
    </w:p>
    <w:p w14:paraId="1067BB24" w14:textId="49D129C7" w:rsidR="00271EF4" w:rsidRPr="00E94AAA" w:rsidRDefault="00271EF4" w:rsidP="002D4711">
      <w:pPr>
        <w:pStyle w:val="COMParaDecision"/>
      </w:pPr>
      <w:r w:rsidRPr="00E64197">
        <w:t>Further recalling</w:t>
      </w:r>
      <w:r w:rsidRPr="00E64197">
        <w:rPr>
          <w:u w:val="none"/>
        </w:rPr>
        <w:t xml:space="preserve"> the UNESCO’s General Conference’s</w:t>
      </w:r>
      <w:r w:rsidR="00E6450D" w:rsidRPr="00E64197">
        <w:rPr>
          <w:rStyle w:val="Hyperlink"/>
          <w:color w:val="auto"/>
          <w:u w:val="none"/>
        </w:rPr>
        <w:t xml:space="preserve"> Appropriation resolution for 2020</w:t>
      </w:r>
      <w:r w:rsidR="00E6450D" w:rsidRPr="00E64197">
        <w:rPr>
          <w:u w:val="none"/>
        </w:rPr>
        <w:t>–</w:t>
      </w:r>
      <w:r w:rsidR="00E6450D" w:rsidRPr="00E64197">
        <w:rPr>
          <w:rStyle w:val="Hyperlink"/>
          <w:color w:val="auto"/>
          <w:u w:val="none"/>
        </w:rPr>
        <w:t>2021</w:t>
      </w:r>
      <w:r w:rsidRPr="00E64197">
        <w:rPr>
          <w:u w:val="none"/>
        </w:rPr>
        <w:t xml:space="preserve"> </w:t>
      </w:r>
      <w:hyperlink r:id="rId33" w:history="1">
        <w:r w:rsidRPr="00E94AAA">
          <w:rPr>
            <w:rStyle w:val="Hyperlink"/>
          </w:rPr>
          <w:t>40</w:t>
        </w:r>
        <w:r w:rsidRPr="00E64197">
          <w:rPr>
            <w:rStyle w:val="Hyperlink"/>
          </w:rPr>
          <w:t> C/Resolution 101</w:t>
        </w:r>
      </w:hyperlink>
      <w:r w:rsidRPr="00E64197">
        <w:rPr>
          <w:rStyle w:val="Hyperlink"/>
          <w:color w:val="auto"/>
          <w:u w:val="none"/>
        </w:rPr>
        <w:t>,</w:t>
      </w:r>
    </w:p>
    <w:p w14:paraId="2AFD2F09" w14:textId="6A292886" w:rsidR="00F518C9" w:rsidRPr="00E64197" w:rsidRDefault="00F518C9" w:rsidP="00F518C9">
      <w:pPr>
        <w:pStyle w:val="COMParaDecision"/>
        <w:rPr>
          <w:u w:val="none"/>
        </w:rPr>
      </w:pPr>
      <w:r w:rsidRPr="00E64197">
        <w:t>Takes note</w:t>
      </w:r>
      <w:r w:rsidRPr="00E64197">
        <w:rPr>
          <w:u w:val="none"/>
        </w:rPr>
        <w:t xml:space="preserve"> of the statement of accounts of the Fund for 2020</w:t>
      </w:r>
      <w:r w:rsidR="00E6450D" w:rsidRPr="00E64197">
        <w:rPr>
          <w:u w:val="none"/>
        </w:rPr>
        <w:t>–</w:t>
      </w:r>
      <w:r w:rsidRPr="00E64197">
        <w:rPr>
          <w:u w:val="none"/>
        </w:rPr>
        <w:t xml:space="preserve">2021 as of 30 June 2021, </w:t>
      </w:r>
      <w:r w:rsidRPr="00E64197">
        <w:t>recalls</w:t>
      </w:r>
      <w:r w:rsidRPr="00E64197">
        <w:rPr>
          <w:u w:val="none"/>
        </w:rPr>
        <w:t xml:space="preserve"> that the payment of compulsory and assessed voluntary contributions is, per Article 26 of the Convention, an obligation incumbent on all States Parties which have ratified the Convention</w:t>
      </w:r>
      <w:r w:rsidR="00665CE2" w:rsidRPr="00E64197">
        <w:rPr>
          <w:u w:val="none"/>
        </w:rPr>
        <w:t>,</w:t>
      </w:r>
      <w:r w:rsidRPr="00E64197">
        <w:rPr>
          <w:u w:val="none"/>
        </w:rPr>
        <w:t xml:space="preserve"> and </w:t>
      </w:r>
      <w:r w:rsidRPr="00E64197">
        <w:t>calls upon</w:t>
      </w:r>
      <w:r w:rsidRPr="00E64197">
        <w:rPr>
          <w:u w:val="none"/>
        </w:rPr>
        <w:t xml:space="preserve"> all States Parties which have not yet paid the totality of their assessed contributions for 2021 or previous years, including voluntary contributions, to ensure that their contributions are paid at the earliest opportunity;</w:t>
      </w:r>
    </w:p>
    <w:p w14:paraId="4DD7C38E" w14:textId="3B6B91B6" w:rsidR="003351CB" w:rsidRPr="00E64197" w:rsidRDefault="003351CB" w:rsidP="003351CB">
      <w:pPr>
        <w:pStyle w:val="COMParaDecision"/>
        <w:rPr>
          <w:u w:val="none"/>
        </w:rPr>
      </w:pPr>
      <w:r w:rsidRPr="00E64197">
        <w:lastRenderedPageBreak/>
        <w:t>Further takes note</w:t>
      </w:r>
      <w:r w:rsidRPr="00E64197">
        <w:rPr>
          <w:u w:val="none"/>
        </w:rPr>
        <w:t xml:space="preserve"> that the </w:t>
      </w:r>
      <w:r w:rsidR="004D37C8" w:rsidRPr="00E64197">
        <w:rPr>
          <w:u w:val="none"/>
        </w:rPr>
        <w:t>draft plan for the use of the resources of the Fund</w:t>
      </w:r>
      <w:r w:rsidRPr="00E64197">
        <w:rPr>
          <w:u w:val="none"/>
        </w:rPr>
        <w:t xml:space="preserve"> </w:t>
      </w:r>
      <w:r w:rsidR="004D37C8" w:rsidRPr="00E64197">
        <w:rPr>
          <w:u w:val="none"/>
        </w:rPr>
        <w:t xml:space="preserve">takes into account </w:t>
      </w:r>
      <w:r w:rsidRPr="00E64197">
        <w:rPr>
          <w:u w:val="none"/>
        </w:rPr>
        <w:t>the potential additional costs that may result from the global reflection on the listing mechanisms of the Convention;</w:t>
      </w:r>
    </w:p>
    <w:p w14:paraId="4323C3D0" w14:textId="24283CCD" w:rsidR="00F518C9" w:rsidRPr="00E64197" w:rsidRDefault="00F518C9" w:rsidP="00582DA2">
      <w:pPr>
        <w:pStyle w:val="COMParaDecision"/>
        <w:rPr>
          <w:u w:val="none"/>
        </w:rPr>
      </w:pPr>
      <w:r w:rsidRPr="00E64197">
        <w:t>Decides</w:t>
      </w:r>
      <w:r w:rsidRPr="00E64197">
        <w:rPr>
          <w:u w:val="none"/>
        </w:rPr>
        <w:t xml:space="preserve"> to base the draft plan for the use of the resources of the Fund for the periods 1 January 2022 to 31 December 2023 and 1 January </w:t>
      </w:r>
      <w:r w:rsidR="00B86627" w:rsidRPr="00E64197">
        <w:rPr>
          <w:u w:val="none"/>
        </w:rPr>
        <w:t xml:space="preserve">2024 </w:t>
      </w:r>
      <w:r w:rsidRPr="00E64197">
        <w:rPr>
          <w:u w:val="none"/>
        </w:rPr>
        <w:t>to 30 June 2024 on the total unrestricted operating reserves available as of 31 December 2021;</w:t>
      </w:r>
    </w:p>
    <w:p w14:paraId="5C6D6FF4" w14:textId="31FE594D" w:rsidR="003351CB" w:rsidRPr="00E64197" w:rsidRDefault="003351CB" w:rsidP="003351CB">
      <w:pPr>
        <w:pStyle w:val="COMParaDecision"/>
        <w:keepLines/>
        <w:rPr>
          <w:u w:val="none"/>
        </w:rPr>
      </w:pPr>
      <w:r w:rsidRPr="00E64197">
        <w:t>Submits</w:t>
      </w:r>
      <w:r w:rsidRPr="00E64197">
        <w:rPr>
          <w:u w:val="none"/>
        </w:rPr>
        <w:t xml:space="preserve"> for approval to the ninth session of the General Assembly the </w:t>
      </w:r>
      <w:r w:rsidR="004D37C8" w:rsidRPr="00E64197">
        <w:rPr>
          <w:u w:val="none"/>
        </w:rPr>
        <w:t xml:space="preserve">draft </w:t>
      </w:r>
      <w:r w:rsidRPr="00E64197">
        <w:rPr>
          <w:u w:val="none"/>
        </w:rPr>
        <w:t xml:space="preserve">plan for the use of the resources of the Fund, as included in the Annex of document LHE/21/16.COM/13, and </w:t>
      </w:r>
      <w:r w:rsidRPr="00E64197">
        <w:t>proposes</w:t>
      </w:r>
      <w:r w:rsidRPr="00E64197">
        <w:rPr>
          <w:u w:val="none"/>
        </w:rPr>
        <w:t xml:space="preserve"> to the General Assembly that one fourth of the amount established for the two-year period from 1 January 2022 to 31 December 2023 be provisionally allocated to the first semester of 2024;</w:t>
      </w:r>
    </w:p>
    <w:p w14:paraId="4D171345" w14:textId="0C69BFCC" w:rsidR="00E6450D" w:rsidRPr="00E64197" w:rsidRDefault="00E6450D" w:rsidP="00E6450D">
      <w:pPr>
        <w:pStyle w:val="COMParaDecision"/>
        <w:rPr>
          <w:u w:val="none"/>
        </w:rPr>
      </w:pPr>
      <w:r w:rsidRPr="00E64197">
        <w:t>Welcomes</w:t>
      </w:r>
      <w:r w:rsidRPr="00E64197">
        <w:rPr>
          <w:u w:val="none"/>
        </w:rPr>
        <w:t xml:space="preserve"> the proposed strengthening of the monitoring and evaluation of International Assistance projects in line with the IOS evaluation of UNESCO’s action in the framework of the Convention, </w:t>
      </w:r>
      <w:r w:rsidRPr="00E64197">
        <w:t>authorizes</w:t>
      </w:r>
      <w:r w:rsidRPr="00E64197">
        <w:rPr>
          <w:u w:val="none"/>
        </w:rPr>
        <w:t xml:space="preserve"> the Secretariat, to this end, to use on an experimental basis an amount not exceeding 10% of the approved budget of each International Assistance project, in addition to the amount granted by the Committee or its Bureau for each project, to monitor and assess the impact of projects supported by the Fund</w:t>
      </w:r>
      <w:r w:rsidR="008C48F4" w:rsidRPr="00E64197">
        <w:rPr>
          <w:u w:val="none"/>
        </w:rPr>
        <w:t>,</w:t>
      </w:r>
      <w:r w:rsidRPr="00E64197">
        <w:rPr>
          <w:u w:val="none"/>
        </w:rPr>
        <w:t xml:space="preserve"> and </w:t>
      </w:r>
      <w:r w:rsidRPr="00E64197">
        <w:t>requests</w:t>
      </w:r>
      <w:r w:rsidRPr="00E64197">
        <w:rPr>
          <w:u w:val="none"/>
        </w:rPr>
        <w:t xml:space="preserve"> the Secretariat to report on the use of funds for this purpose at its eighteenth session;</w:t>
      </w:r>
    </w:p>
    <w:p w14:paraId="40C321F0" w14:textId="0D92B206" w:rsidR="00E16F73" w:rsidRPr="00E64197" w:rsidRDefault="00E6450D" w:rsidP="002D4711">
      <w:pPr>
        <w:pStyle w:val="COMParaDecision"/>
      </w:pPr>
      <w:r w:rsidRPr="00E64197">
        <w:t>Further a</w:t>
      </w:r>
      <w:r w:rsidR="00E16F73" w:rsidRPr="00E64197">
        <w:t>uthorizes</w:t>
      </w:r>
      <w:r w:rsidR="00E16F73" w:rsidRPr="00E64197">
        <w:rPr>
          <w:u w:val="none"/>
        </w:rPr>
        <w:t> the Secretariat, when utilizing the funds allocated under budget line</w:t>
      </w:r>
      <w:r w:rsidR="00270A24" w:rsidRPr="00E64197">
        <w:rPr>
          <w:u w:val="none"/>
        </w:rPr>
        <w:t> </w:t>
      </w:r>
      <w:r w:rsidR="00E16F73" w:rsidRPr="00E64197">
        <w:rPr>
          <w:u w:val="none"/>
        </w:rPr>
        <w:t>3 of the Plan, to make transfers between activities included within the specific proposals for budget line 3 up to a cumulative amount equivalent to 5</w:t>
      </w:r>
      <w:r w:rsidRPr="00E64197">
        <w:rPr>
          <w:u w:val="none"/>
        </w:rPr>
        <w:t>%</w:t>
      </w:r>
      <w:r w:rsidR="00E16F73" w:rsidRPr="00E64197">
        <w:rPr>
          <w:u w:val="none"/>
        </w:rPr>
        <w:t xml:space="preserve"> of the initial total allocation proposed to the General Assembly for this purpose, and </w:t>
      </w:r>
      <w:r w:rsidRPr="00E64197">
        <w:t xml:space="preserve">further </w:t>
      </w:r>
      <w:r w:rsidR="00E16F73" w:rsidRPr="00E64197">
        <w:t>requests</w:t>
      </w:r>
      <w:r w:rsidR="00E16F73" w:rsidRPr="00E64197">
        <w:rPr>
          <w:u w:val="none"/>
        </w:rPr>
        <w:t xml:space="preserve"> that, in such cases, the Secretariat inform the Committee in writing, at the session following such action, of the details </w:t>
      </w:r>
      <w:r w:rsidR="003B618E" w:rsidRPr="00E64197">
        <w:rPr>
          <w:u w:val="none"/>
        </w:rPr>
        <w:t xml:space="preserve">of </w:t>
      </w:r>
      <w:r w:rsidR="00E16F73" w:rsidRPr="00E64197">
        <w:rPr>
          <w:u w:val="none"/>
        </w:rPr>
        <w:t>and reasons for these transfers;</w:t>
      </w:r>
    </w:p>
    <w:p w14:paraId="1957452C" w14:textId="71D2832A" w:rsidR="00FA1E41" w:rsidRPr="00E64197" w:rsidRDefault="00FA1E41" w:rsidP="00F518C9">
      <w:pPr>
        <w:pStyle w:val="COMParaDecision"/>
        <w:rPr>
          <w:u w:val="none"/>
        </w:rPr>
      </w:pPr>
      <w:r w:rsidRPr="00E64197">
        <w:t>Recommends</w:t>
      </w:r>
      <w:r w:rsidRPr="00E64197">
        <w:rPr>
          <w:u w:val="none"/>
        </w:rPr>
        <w:t xml:space="preserve"> that the General Assembly authorize the Secretariat to make transfers between budget lines 4, 5, 6 and 7, up to an equivalent of 30</w:t>
      </w:r>
      <w:r w:rsidR="00E6450D" w:rsidRPr="00E64197">
        <w:rPr>
          <w:u w:val="none"/>
        </w:rPr>
        <w:t>%</w:t>
      </w:r>
      <w:r w:rsidRPr="00E64197">
        <w:rPr>
          <w:u w:val="none"/>
        </w:rPr>
        <w:t xml:space="preserve"> of their initial total allocation, and </w:t>
      </w:r>
      <w:r w:rsidR="00E6450D" w:rsidRPr="00E64197">
        <w:t xml:space="preserve">also </w:t>
      </w:r>
      <w:r w:rsidRPr="00E64197">
        <w:t>requests</w:t>
      </w:r>
      <w:r w:rsidRPr="00E64197">
        <w:rPr>
          <w:u w:val="none"/>
        </w:rPr>
        <w:t xml:space="preserve"> that the Secretariat inform the Committee and the General Assembly in writing, at the session following such action, of the details of and reasons for these transfers</w:t>
      </w:r>
      <w:r w:rsidR="003351CB" w:rsidRPr="00E64197">
        <w:rPr>
          <w:u w:val="none"/>
        </w:rPr>
        <w:t>.</w:t>
      </w:r>
    </w:p>
    <w:p w14:paraId="72AE5DED" w14:textId="77777777" w:rsidR="00ED1FEF" w:rsidRPr="00E64197" w:rsidRDefault="00ED1FEF">
      <w:pPr>
        <w:rPr>
          <w:rFonts w:ascii="Arial" w:eastAsia="SimSun" w:hAnsi="Arial" w:cs="Arial"/>
          <w:sz w:val="22"/>
          <w:szCs w:val="22"/>
          <w:u w:val="single"/>
          <w:lang w:val="en-GB"/>
        </w:rPr>
      </w:pPr>
      <w:r w:rsidRPr="00490E36">
        <w:rPr>
          <w:lang w:val="en-GB"/>
        </w:rPr>
        <w:br w:type="page"/>
      </w:r>
    </w:p>
    <w:p w14:paraId="540940F3" w14:textId="19FE0AD8" w:rsidR="00ED1FEF" w:rsidRPr="00E64197" w:rsidRDefault="00ED1FEF" w:rsidP="00ED1FEF">
      <w:pPr>
        <w:pStyle w:val="Annex"/>
        <w:rPr>
          <w:u w:val="single"/>
        </w:rPr>
      </w:pPr>
      <w:r w:rsidRPr="00E64197">
        <w:rPr>
          <w:u w:val="single"/>
        </w:rPr>
        <w:lastRenderedPageBreak/>
        <w:t>ANNEX</w:t>
      </w:r>
    </w:p>
    <w:tbl>
      <w:tblPr>
        <w:tblW w:w="9771" w:type="dxa"/>
        <w:tblCellMar>
          <w:left w:w="70" w:type="dxa"/>
          <w:right w:w="70" w:type="dxa"/>
        </w:tblCellMar>
        <w:tblLook w:val="04A0" w:firstRow="1" w:lastRow="0" w:firstColumn="1" w:lastColumn="0" w:noHBand="0" w:noVBand="1"/>
      </w:tblPr>
      <w:tblGrid>
        <w:gridCol w:w="416"/>
        <w:gridCol w:w="6804"/>
        <w:gridCol w:w="1275"/>
        <w:gridCol w:w="1276"/>
      </w:tblGrid>
      <w:tr w:rsidR="00922C41" w:rsidRPr="00FA2BA2" w14:paraId="3785CB58" w14:textId="77777777" w:rsidTr="00C266C5">
        <w:trPr>
          <w:trHeight w:val="315"/>
        </w:trPr>
        <w:tc>
          <w:tcPr>
            <w:tcW w:w="7220" w:type="dxa"/>
            <w:gridSpan w:val="2"/>
            <w:tcBorders>
              <w:top w:val="single" w:sz="8" w:space="0" w:color="auto"/>
              <w:left w:val="single" w:sz="8" w:space="0" w:color="auto"/>
              <w:bottom w:val="single" w:sz="8" w:space="0" w:color="auto"/>
              <w:right w:val="single" w:sz="4" w:space="0" w:color="auto"/>
            </w:tcBorders>
            <w:shd w:val="clear" w:color="000000" w:fill="D8D8D8"/>
            <w:vAlign w:val="center"/>
            <w:hideMark/>
          </w:tcPr>
          <w:p w14:paraId="16B79174" w14:textId="77777777" w:rsidR="00922C41" w:rsidRPr="00490E36" w:rsidRDefault="00922C41" w:rsidP="00C266C5">
            <w:pPr>
              <w:spacing w:before="60" w:after="60"/>
              <w:jc w:val="center"/>
              <w:rPr>
                <w:rFonts w:ascii="Arial" w:hAnsi="Arial" w:cs="Arial"/>
                <w:b/>
                <w:bCs/>
                <w:color w:val="000000"/>
                <w:sz w:val="18"/>
                <w:szCs w:val="18"/>
                <w:lang w:val="en-GB"/>
              </w:rPr>
            </w:pPr>
            <w:r w:rsidRPr="00490E36">
              <w:rPr>
                <w:rFonts w:ascii="Arial" w:hAnsi="Arial" w:cs="Arial"/>
                <w:b/>
                <w:bCs/>
                <w:color w:val="000000"/>
                <w:sz w:val="18"/>
                <w:szCs w:val="18"/>
                <w:lang w:val="en-GB"/>
              </w:rPr>
              <w:t>Draft plan for the use of the resources of the Fund</w:t>
            </w:r>
          </w:p>
        </w:tc>
        <w:tc>
          <w:tcPr>
            <w:tcW w:w="1275" w:type="dxa"/>
            <w:tcBorders>
              <w:top w:val="nil"/>
              <w:left w:val="single" w:sz="4" w:space="0" w:color="auto"/>
              <w:bottom w:val="nil"/>
              <w:right w:val="nil"/>
            </w:tcBorders>
            <w:shd w:val="clear" w:color="auto" w:fill="auto"/>
            <w:vAlign w:val="center"/>
            <w:hideMark/>
          </w:tcPr>
          <w:p w14:paraId="1B53D427" w14:textId="77777777" w:rsidR="00922C41" w:rsidRPr="00490E36" w:rsidRDefault="00922C41" w:rsidP="00C266C5">
            <w:pPr>
              <w:spacing w:before="60" w:after="60"/>
              <w:jc w:val="center"/>
              <w:rPr>
                <w:rFonts w:ascii="Arial" w:hAnsi="Arial" w:cs="Arial"/>
                <w:b/>
                <w:bCs/>
                <w:color w:val="000000"/>
                <w:sz w:val="18"/>
                <w:szCs w:val="18"/>
                <w:lang w:val="en-GB"/>
              </w:rPr>
            </w:pPr>
          </w:p>
        </w:tc>
        <w:tc>
          <w:tcPr>
            <w:tcW w:w="1276" w:type="dxa"/>
            <w:tcBorders>
              <w:top w:val="nil"/>
              <w:left w:val="nil"/>
              <w:bottom w:val="nil"/>
              <w:right w:val="nil"/>
            </w:tcBorders>
            <w:shd w:val="clear" w:color="auto" w:fill="auto"/>
            <w:noWrap/>
            <w:vAlign w:val="bottom"/>
            <w:hideMark/>
          </w:tcPr>
          <w:p w14:paraId="79FE9ACE" w14:textId="77777777" w:rsidR="00922C41" w:rsidRPr="00490E36" w:rsidRDefault="00922C41" w:rsidP="00C266C5">
            <w:pPr>
              <w:spacing w:before="60" w:after="60"/>
              <w:jc w:val="center"/>
              <w:rPr>
                <w:sz w:val="20"/>
                <w:szCs w:val="20"/>
                <w:lang w:val="en-GB"/>
              </w:rPr>
            </w:pPr>
          </w:p>
        </w:tc>
      </w:tr>
      <w:tr w:rsidR="00922C41" w:rsidRPr="00E64197" w14:paraId="6D7B5E05" w14:textId="77777777" w:rsidTr="00C266C5">
        <w:trPr>
          <w:trHeight w:val="567"/>
        </w:trPr>
        <w:tc>
          <w:tcPr>
            <w:tcW w:w="7220" w:type="dxa"/>
            <w:gridSpan w:val="2"/>
            <w:tcBorders>
              <w:top w:val="single" w:sz="8" w:space="0" w:color="auto"/>
              <w:left w:val="single" w:sz="8" w:space="0" w:color="auto"/>
              <w:bottom w:val="single" w:sz="8" w:space="0" w:color="auto"/>
              <w:right w:val="nil"/>
            </w:tcBorders>
            <w:shd w:val="clear" w:color="auto" w:fill="auto"/>
            <w:vAlign w:val="center"/>
            <w:hideMark/>
          </w:tcPr>
          <w:p w14:paraId="22D6C836" w14:textId="6C4C21EE" w:rsidR="00922C41" w:rsidRPr="00490E36" w:rsidRDefault="00922C41" w:rsidP="00C266C5">
            <w:pPr>
              <w:spacing w:before="60" w:after="60"/>
              <w:rPr>
                <w:rFonts w:asciiTheme="minorBidi" w:hAnsiTheme="minorBidi" w:cstheme="minorBidi"/>
                <w:color w:val="000000"/>
                <w:sz w:val="18"/>
                <w:szCs w:val="18"/>
                <w:lang w:val="en-GB"/>
              </w:rPr>
            </w:pPr>
            <w:r w:rsidRPr="00490E36">
              <w:rPr>
                <w:rFonts w:asciiTheme="minorBidi" w:hAnsiTheme="minorBidi" w:cstheme="minorBidi"/>
                <w:color w:val="000000"/>
                <w:sz w:val="18"/>
                <w:szCs w:val="18"/>
                <w:lang w:val="en-GB"/>
              </w:rPr>
              <w:t>For the period 1 January 2022 to 31 December 2023, as well as for the period 1 January to 30</w:t>
            </w:r>
            <w:r w:rsidR="002D4711" w:rsidRPr="00490E36">
              <w:rPr>
                <w:rFonts w:asciiTheme="minorBidi" w:hAnsiTheme="minorBidi" w:cstheme="minorBidi"/>
                <w:color w:val="000000"/>
                <w:sz w:val="18"/>
                <w:szCs w:val="18"/>
                <w:lang w:val="en-GB"/>
              </w:rPr>
              <w:t> </w:t>
            </w:r>
            <w:r w:rsidRPr="00490E36">
              <w:rPr>
                <w:rFonts w:asciiTheme="minorBidi" w:hAnsiTheme="minorBidi" w:cstheme="minorBidi"/>
                <w:color w:val="000000"/>
                <w:sz w:val="18"/>
                <w:szCs w:val="18"/>
                <w:lang w:val="en-GB"/>
              </w:rPr>
              <w:t>June 2024, the resources of the Intangible Cultural Heritage Fund may be used for the following purposes: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B7FE8" w14:textId="77777777" w:rsidR="00922C41" w:rsidRPr="00490E36" w:rsidRDefault="00922C41" w:rsidP="00C266C5">
            <w:pPr>
              <w:spacing w:before="60" w:after="60"/>
              <w:jc w:val="center"/>
              <w:rPr>
                <w:rFonts w:asciiTheme="minorBidi" w:hAnsiTheme="minorBidi" w:cstheme="minorBidi"/>
                <w:sz w:val="18"/>
                <w:szCs w:val="18"/>
                <w:lang w:val="en-GB"/>
              </w:rPr>
            </w:pPr>
            <w:r w:rsidRPr="00490E36">
              <w:rPr>
                <w:rFonts w:asciiTheme="minorBidi" w:hAnsiTheme="minorBidi" w:cstheme="minorBidi"/>
                <w:sz w:val="18"/>
                <w:szCs w:val="18"/>
                <w:lang w:val="en-GB"/>
              </w:rPr>
              <w:t xml:space="preserve">% of the total amount proposed </w:t>
            </w:r>
          </w:p>
        </w:tc>
        <w:tc>
          <w:tcPr>
            <w:tcW w:w="1276" w:type="dxa"/>
            <w:tcBorders>
              <w:top w:val="dashed" w:sz="4" w:space="0" w:color="auto"/>
              <w:left w:val="nil"/>
              <w:bottom w:val="dashed" w:sz="4" w:space="0" w:color="auto"/>
              <w:right w:val="dashed" w:sz="4" w:space="0" w:color="auto"/>
            </w:tcBorders>
            <w:shd w:val="clear" w:color="auto" w:fill="auto"/>
            <w:vAlign w:val="center"/>
            <w:hideMark/>
          </w:tcPr>
          <w:p w14:paraId="2DF6BB47" w14:textId="77777777" w:rsidR="00922C41" w:rsidRPr="00490E36" w:rsidRDefault="00922C41" w:rsidP="00C266C5">
            <w:pPr>
              <w:spacing w:before="60" w:after="60"/>
              <w:jc w:val="center"/>
              <w:rPr>
                <w:rFonts w:asciiTheme="minorBidi" w:hAnsiTheme="minorBidi" w:cstheme="minorBidi"/>
                <w:color w:val="000000"/>
                <w:sz w:val="18"/>
                <w:szCs w:val="18"/>
                <w:lang w:val="en-GB"/>
              </w:rPr>
            </w:pPr>
            <w:r w:rsidRPr="00490E36">
              <w:rPr>
                <w:rFonts w:asciiTheme="minorBidi" w:hAnsiTheme="minorBidi" w:cstheme="minorBidi"/>
                <w:color w:val="000000"/>
                <w:sz w:val="18"/>
                <w:szCs w:val="18"/>
                <w:lang w:val="en-GB"/>
              </w:rPr>
              <w:t>2020-2021</w:t>
            </w:r>
            <w:r w:rsidRPr="00490E36">
              <w:rPr>
                <w:rFonts w:asciiTheme="minorBidi" w:hAnsiTheme="minorBidi" w:cstheme="minorBidi"/>
                <w:color w:val="000000"/>
                <w:sz w:val="18"/>
                <w:szCs w:val="18"/>
                <w:lang w:val="en-GB"/>
              </w:rPr>
              <w:br/>
              <w:t>Plan</w:t>
            </w:r>
          </w:p>
        </w:tc>
      </w:tr>
      <w:tr w:rsidR="00922C41" w:rsidRPr="00E64197" w14:paraId="31E9D86E" w14:textId="77777777" w:rsidTr="00C266C5">
        <w:trPr>
          <w:trHeight w:val="1074"/>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30D2CDBE" w14:textId="77777777" w:rsidR="00922C41" w:rsidRPr="00490E36" w:rsidRDefault="00922C41" w:rsidP="00C266C5">
            <w:pPr>
              <w:spacing w:before="60" w:after="60"/>
              <w:rPr>
                <w:rFonts w:asciiTheme="minorBidi" w:hAnsiTheme="minorBidi" w:cstheme="minorBidi"/>
                <w:color w:val="000000"/>
                <w:sz w:val="18"/>
                <w:szCs w:val="18"/>
                <w:lang w:val="en-GB"/>
              </w:rPr>
            </w:pPr>
            <w:r w:rsidRPr="00490E36">
              <w:rPr>
                <w:rFonts w:asciiTheme="minorBidi" w:hAnsiTheme="minorBidi" w:cstheme="minorBidi"/>
                <w:color w:val="000000"/>
                <w:sz w:val="18"/>
                <w:szCs w:val="18"/>
                <w:lang w:val="en-GB"/>
              </w:rPr>
              <w:t>1.</w:t>
            </w:r>
          </w:p>
        </w:tc>
        <w:tc>
          <w:tcPr>
            <w:tcW w:w="6804" w:type="dxa"/>
            <w:tcBorders>
              <w:top w:val="nil"/>
              <w:left w:val="nil"/>
              <w:bottom w:val="single" w:sz="8" w:space="0" w:color="auto"/>
              <w:right w:val="nil"/>
            </w:tcBorders>
            <w:shd w:val="clear" w:color="auto" w:fill="auto"/>
            <w:vAlign w:val="center"/>
            <w:hideMark/>
          </w:tcPr>
          <w:p w14:paraId="222BC978" w14:textId="77777777" w:rsidR="00922C41" w:rsidRPr="00490E36" w:rsidRDefault="00922C41" w:rsidP="00C266C5">
            <w:pPr>
              <w:spacing w:before="60" w:after="60"/>
              <w:rPr>
                <w:rFonts w:asciiTheme="minorBidi" w:hAnsiTheme="minorBidi" w:cstheme="minorBidi"/>
                <w:color w:val="000000"/>
                <w:sz w:val="18"/>
                <w:szCs w:val="18"/>
                <w:lang w:val="en-GB"/>
              </w:rPr>
            </w:pPr>
            <w:r w:rsidRPr="00490E36">
              <w:rPr>
                <w:rFonts w:asciiTheme="minorBidi" w:hAnsiTheme="minorBidi" w:cstheme="minorBidi"/>
                <w:color w:val="000000"/>
                <w:sz w:val="18"/>
                <w:szCs w:val="18"/>
                <w:lang w:val="en-GB"/>
              </w:rPr>
              <w:t>International Assistance, comprising the safeguarding of the heritage inscribed on the List of Intangible Cultural Heritage in Need of Urgent Safeguarding, the preparation of inventories and support for other safeguarding programmes, projects and activities</w:t>
            </w:r>
            <w:r w:rsidRPr="00490E36">
              <w:rPr>
                <w:rFonts w:asciiTheme="minorBidi" w:hAnsiTheme="minorBidi" w:cstheme="minorBidi"/>
                <w:b/>
                <w:bCs/>
                <w:color w:val="000000"/>
                <w:sz w:val="18"/>
                <w:szCs w:val="18"/>
                <w:lang w:val="en-GB"/>
              </w:rPr>
              <w:t>, including the monitoring and evaluation of requests approved</w:t>
            </w:r>
            <w:r w:rsidRPr="00490E36">
              <w:rPr>
                <w:rFonts w:asciiTheme="minorBidi" w:hAnsiTheme="minorBidi" w:cstheme="minorBidi"/>
                <w:color w:val="000000"/>
                <w:sz w:val="18"/>
                <w:szCs w:val="18"/>
                <w:lang w:val="en-GB"/>
              </w:rPr>
              <w:t>;</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04DCB319" w14:textId="283585DD" w:rsidR="00922C41" w:rsidRPr="00490E36" w:rsidRDefault="001D0121" w:rsidP="00C266C5">
            <w:pPr>
              <w:spacing w:before="60" w:after="60"/>
              <w:jc w:val="center"/>
              <w:rPr>
                <w:rFonts w:asciiTheme="minorBidi" w:hAnsiTheme="minorBidi" w:cstheme="minorBidi"/>
                <w:sz w:val="18"/>
                <w:szCs w:val="18"/>
                <w:lang w:val="en-GB"/>
              </w:rPr>
            </w:pPr>
            <w:r w:rsidRPr="00490E36">
              <w:rPr>
                <w:rFonts w:asciiTheme="minorBidi" w:hAnsiTheme="minorBidi" w:cstheme="minorBidi"/>
                <w:sz w:val="18"/>
                <w:szCs w:val="18"/>
                <w:lang w:val="en-GB"/>
              </w:rPr>
              <w:t>50</w:t>
            </w:r>
            <w:r w:rsidR="003A6C82" w:rsidRPr="00490E36">
              <w:rPr>
                <w:rFonts w:asciiTheme="minorBidi" w:hAnsiTheme="minorBidi" w:cstheme="minorBidi"/>
                <w:sz w:val="18"/>
                <w:szCs w:val="18"/>
                <w:lang w:val="en-GB"/>
              </w:rPr>
              <w:t>.0</w:t>
            </w:r>
            <w:r w:rsidR="00922C41" w:rsidRPr="00490E36">
              <w:rPr>
                <w:rFonts w:asciiTheme="minorBidi" w:hAnsiTheme="minorBidi" w:cstheme="minorBidi"/>
                <w:sz w:val="18"/>
                <w:szCs w:val="18"/>
                <w:lang w:val="en-GB"/>
              </w:rPr>
              <w:t>%</w:t>
            </w:r>
          </w:p>
        </w:tc>
        <w:tc>
          <w:tcPr>
            <w:tcW w:w="1276" w:type="dxa"/>
            <w:tcBorders>
              <w:top w:val="nil"/>
              <w:left w:val="nil"/>
              <w:bottom w:val="dashed" w:sz="4" w:space="0" w:color="auto"/>
              <w:right w:val="dashed" w:sz="4" w:space="0" w:color="auto"/>
            </w:tcBorders>
            <w:shd w:val="clear" w:color="auto" w:fill="auto"/>
            <w:vAlign w:val="center"/>
            <w:hideMark/>
          </w:tcPr>
          <w:p w14:paraId="21CF89E5" w14:textId="77777777" w:rsidR="00922C41" w:rsidRPr="00490E36" w:rsidRDefault="00922C41" w:rsidP="00C266C5">
            <w:pPr>
              <w:spacing w:before="60" w:after="60"/>
              <w:jc w:val="center"/>
              <w:rPr>
                <w:rFonts w:asciiTheme="minorBidi" w:hAnsiTheme="minorBidi" w:cstheme="minorBidi"/>
                <w:color w:val="000000"/>
                <w:sz w:val="18"/>
                <w:szCs w:val="18"/>
                <w:lang w:val="en-GB"/>
              </w:rPr>
            </w:pPr>
            <w:r w:rsidRPr="00490E36">
              <w:rPr>
                <w:rFonts w:asciiTheme="minorBidi" w:hAnsiTheme="minorBidi" w:cstheme="minorBidi"/>
                <w:color w:val="000000"/>
                <w:sz w:val="18"/>
                <w:szCs w:val="18"/>
                <w:lang w:val="en-GB"/>
              </w:rPr>
              <w:t>51.96%</w:t>
            </w:r>
          </w:p>
        </w:tc>
      </w:tr>
      <w:tr w:rsidR="00922C41" w:rsidRPr="00E64197" w14:paraId="535D8CAA" w14:textId="77777777" w:rsidTr="00C266C5">
        <w:trPr>
          <w:trHeight w:val="608"/>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7320BD50" w14:textId="77777777" w:rsidR="00922C41" w:rsidRPr="00490E36" w:rsidRDefault="00922C41" w:rsidP="00C266C5">
            <w:pPr>
              <w:spacing w:before="60" w:after="60"/>
              <w:rPr>
                <w:rFonts w:asciiTheme="minorBidi" w:hAnsiTheme="minorBidi" w:cstheme="minorBidi"/>
                <w:color w:val="000000"/>
                <w:sz w:val="18"/>
                <w:szCs w:val="18"/>
                <w:lang w:val="en-GB"/>
              </w:rPr>
            </w:pPr>
            <w:r w:rsidRPr="00490E36">
              <w:rPr>
                <w:rFonts w:asciiTheme="minorBidi" w:hAnsiTheme="minorBidi" w:cstheme="minorBidi"/>
                <w:color w:val="000000"/>
                <w:sz w:val="18"/>
                <w:szCs w:val="18"/>
                <w:lang w:val="en-GB"/>
              </w:rPr>
              <w:t>1.1</w:t>
            </w:r>
          </w:p>
        </w:tc>
        <w:tc>
          <w:tcPr>
            <w:tcW w:w="6804" w:type="dxa"/>
            <w:tcBorders>
              <w:top w:val="nil"/>
              <w:left w:val="nil"/>
              <w:bottom w:val="single" w:sz="8" w:space="0" w:color="auto"/>
              <w:right w:val="nil"/>
            </w:tcBorders>
            <w:shd w:val="clear" w:color="auto" w:fill="auto"/>
            <w:vAlign w:val="center"/>
            <w:hideMark/>
          </w:tcPr>
          <w:p w14:paraId="4A0B9F99" w14:textId="77777777" w:rsidR="00922C41" w:rsidRPr="00490E36" w:rsidRDefault="00922C41" w:rsidP="00C266C5">
            <w:pPr>
              <w:spacing w:before="60" w:after="60"/>
              <w:rPr>
                <w:rFonts w:asciiTheme="minorBidi" w:hAnsiTheme="minorBidi" w:cstheme="minorBidi"/>
                <w:color w:val="000000"/>
                <w:sz w:val="18"/>
                <w:szCs w:val="18"/>
                <w:lang w:val="en-GB"/>
              </w:rPr>
            </w:pPr>
            <w:r w:rsidRPr="00490E36">
              <w:rPr>
                <w:rFonts w:asciiTheme="minorBidi" w:hAnsiTheme="minorBidi" w:cstheme="minorBidi"/>
                <w:color w:val="000000"/>
                <w:sz w:val="18"/>
                <w:szCs w:val="18"/>
                <w:lang w:val="en-GB"/>
              </w:rPr>
              <w:t>Enhancing human resources to improve the implementation of the International Assistance mechanisms through three extra-budgetary fixed-term posts (one P3, one P2 and one G5);</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3AF67C09" w14:textId="1DB14377" w:rsidR="00922C41" w:rsidRPr="00490E36" w:rsidRDefault="003A72A3" w:rsidP="00C266C5">
            <w:pPr>
              <w:spacing w:before="60" w:after="60"/>
              <w:jc w:val="center"/>
              <w:rPr>
                <w:rFonts w:asciiTheme="minorBidi" w:hAnsiTheme="minorBidi" w:cstheme="minorBidi"/>
                <w:sz w:val="18"/>
                <w:szCs w:val="18"/>
                <w:lang w:val="en-GB"/>
              </w:rPr>
            </w:pPr>
            <w:r w:rsidRPr="00490E36">
              <w:rPr>
                <w:rFonts w:asciiTheme="minorBidi" w:hAnsiTheme="minorBidi" w:cstheme="minorBidi"/>
                <w:sz w:val="18"/>
                <w:szCs w:val="18"/>
                <w:lang w:val="en-GB"/>
              </w:rPr>
              <w:t>10</w:t>
            </w:r>
            <w:r w:rsidR="003A6C82" w:rsidRPr="00490E36">
              <w:rPr>
                <w:rFonts w:asciiTheme="minorBidi" w:hAnsiTheme="minorBidi" w:cstheme="minorBidi"/>
                <w:sz w:val="18"/>
                <w:szCs w:val="18"/>
                <w:lang w:val="en-GB"/>
              </w:rPr>
              <w:t>.0</w:t>
            </w:r>
            <w:r w:rsidR="00922C41" w:rsidRPr="00490E36">
              <w:rPr>
                <w:rFonts w:asciiTheme="minorBidi" w:hAnsiTheme="minorBidi" w:cstheme="minorBidi"/>
                <w:sz w:val="18"/>
                <w:szCs w:val="18"/>
                <w:lang w:val="en-GB"/>
              </w:rPr>
              <w:t>%</w:t>
            </w:r>
          </w:p>
        </w:tc>
        <w:tc>
          <w:tcPr>
            <w:tcW w:w="1276" w:type="dxa"/>
            <w:tcBorders>
              <w:top w:val="nil"/>
              <w:left w:val="nil"/>
              <w:bottom w:val="dashed" w:sz="4" w:space="0" w:color="auto"/>
              <w:right w:val="dashed" w:sz="4" w:space="0" w:color="auto"/>
            </w:tcBorders>
            <w:shd w:val="clear" w:color="auto" w:fill="auto"/>
            <w:vAlign w:val="center"/>
            <w:hideMark/>
          </w:tcPr>
          <w:p w14:paraId="1D013BBD" w14:textId="77777777" w:rsidR="00922C41" w:rsidRPr="00490E36" w:rsidRDefault="00922C41" w:rsidP="00C266C5">
            <w:pPr>
              <w:spacing w:before="60" w:after="60"/>
              <w:jc w:val="center"/>
              <w:rPr>
                <w:rFonts w:asciiTheme="minorBidi" w:hAnsiTheme="minorBidi" w:cstheme="minorBidi"/>
                <w:color w:val="000000"/>
                <w:sz w:val="18"/>
                <w:szCs w:val="18"/>
                <w:lang w:val="en-GB"/>
              </w:rPr>
            </w:pPr>
            <w:r w:rsidRPr="00490E36">
              <w:rPr>
                <w:rFonts w:asciiTheme="minorBidi" w:hAnsiTheme="minorBidi" w:cstheme="minorBidi"/>
                <w:color w:val="000000"/>
                <w:sz w:val="18"/>
                <w:szCs w:val="18"/>
                <w:lang w:val="en-GB"/>
              </w:rPr>
              <w:t>10.79%</w:t>
            </w:r>
          </w:p>
        </w:tc>
      </w:tr>
      <w:tr w:rsidR="00922C41" w:rsidRPr="00E64197" w14:paraId="7B1F2B07" w14:textId="77777777" w:rsidTr="00C266C5">
        <w:trPr>
          <w:trHeight w:val="846"/>
        </w:trPr>
        <w:tc>
          <w:tcPr>
            <w:tcW w:w="416" w:type="dxa"/>
            <w:tcBorders>
              <w:top w:val="nil"/>
              <w:left w:val="single" w:sz="8" w:space="0" w:color="auto"/>
              <w:bottom w:val="single" w:sz="8" w:space="0" w:color="auto"/>
              <w:right w:val="single" w:sz="8" w:space="0" w:color="auto"/>
            </w:tcBorders>
            <w:shd w:val="clear" w:color="000000" w:fill="FFFFFF"/>
            <w:noWrap/>
            <w:vAlign w:val="center"/>
            <w:hideMark/>
          </w:tcPr>
          <w:p w14:paraId="46EA28C7" w14:textId="77777777" w:rsidR="00922C41" w:rsidRPr="00490E36" w:rsidRDefault="00922C41" w:rsidP="00C266C5">
            <w:pPr>
              <w:spacing w:before="60" w:after="60"/>
              <w:rPr>
                <w:rFonts w:asciiTheme="minorBidi" w:hAnsiTheme="minorBidi" w:cstheme="minorBidi"/>
                <w:color w:val="000000"/>
                <w:sz w:val="18"/>
                <w:szCs w:val="18"/>
                <w:lang w:val="en-GB"/>
              </w:rPr>
            </w:pPr>
            <w:r w:rsidRPr="00490E36">
              <w:rPr>
                <w:rFonts w:asciiTheme="minorBidi" w:hAnsiTheme="minorBidi" w:cstheme="minorBidi"/>
                <w:color w:val="000000"/>
                <w:sz w:val="18"/>
                <w:szCs w:val="18"/>
                <w:lang w:val="en-GB"/>
              </w:rPr>
              <w:t>2.</w:t>
            </w:r>
          </w:p>
        </w:tc>
        <w:tc>
          <w:tcPr>
            <w:tcW w:w="6804" w:type="dxa"/>
            <w:tcBorders>
              <w:top w:val="nil"/>
              <w:left w:val="nil"/>
              <w:bottom w:val="single" w:sz="8" w:space="0" w:color="auto"/>
              <w:right w:val="nil"/>
            </w:tcBorders>
            <w:shd w:val="clear" w:color="000000" w:fill="FFFFFF"/>
            <w:vAlign w:val="center"/>
            <w:hideMark/>
          </w:tcPr>
          <w:p w14:paraId="202B3E06" w14:textId="77777777" w:rsidR="00922C41" w:rsidRPr="00490E36" w:rsidRDefault="00922C41" w:rsidP="00C266C5">
            <w:pPr>
              <w:spacing w:before="60" w:after="60"/>
              <w:rPr>
                <w:rFonts w:asciiTheme="minorBidi" w:hAnsiTheme="minorBidi" w:cstheme="minorBidi"/>
                <w:color w:val="000000"/>
                <w:sz w:val="18"/>
                <w:szCs w:val="18"/>
                <w:lang w:val="en-GB"/>
              </w:rPr>
            </w:pPr>
            <w:r w:rsidRPr="00490E36">
              <w:rPr>
                <w:rFonts w:asciiTheme="minorBidi" w:hAnsiTheme="minorBidi" w:cstheme="minorBidi"/>
                <w:color w:val="000000"/>
                <w:sz w:val="18"/>
                <w:szCs w:val="18"/>
                <w:lang w:val="en-GB"/>
              </w:rPr>
              <w:t>Preparatory assistance for International Assistance requests, as well as for nomination files for the Urgent Safeguarding List, for proposals for the Register of Good Safeguarding Practices</w:t>
            </w:r>
            <w:r w:rsidRPr="00490E36">
              <w:rPr>
                <w:rFonts w:asciiTheme="minorBidi" w:hAnsiTheme="minorBidi" w:cstheme="minorBidi"/>
                <w:b/>
                <w:bCs/>
                <w:color w:val="000000"/>
                <w:sz w:val="18"/>
                <w:szCs w:val="18"/>
                <w:lang w:val="en-GB"/>
              </w:rPr>
              <w:t>, for</w:t>
            </w:r>
            <w:r w:rsidRPr="00490E36">
              <w:rPr>
                <w:rFonts w:asciiTheme="minorBidi" w:hAnsiTheme="minorBidi" w:cstheme="minorBidi"/>
                <w:color w:val="000000"/>
                <w:sz w:val="18"/>
                <w:szCs w:val="18"/>
                <w:lang w:val="en-GB"/>
              </w:rPr>
              <w:t xml:space="preserve"> </w:t>
            </w:r>
            <w:r w:rsidRPr="00490E36">
              <w:rPr>
                <w:rFonts w:asciiTheme="minorBidi" w:hAnsiTheme="minorBidi" w:cstheme="minorBidi"/>
                <w:b/>
                <w:bCs/>
                <w:color w:val="000000"/>
                <w:sz w:val="18"/>
                <w:szCs w:val="18"/>
                <w:lang w:val="en-GB"/>
              </w:rPr>
              <w:t>the transfer of elements between the Lists and Register of the Convention and for the inscription of elements on an extended or reduced basis;</w:t>
            </w:r>
          </w:p>
        </w:tc>
        <w:tc>
          <w:tcPr>
            <w:tcW w:w="1275" w:type="dxa"/>
            <w:tcBorders>
              <w:top w:val="nil"/>
              <w:left w:val="single" w:sz="4" w:space="0" w:color="auto"/>
              <w:bottom w:val="single" w:sz="4" w:space="0" w:color="auto"/>
              <w:right w:val="single" w:sz="4" w:space="0" w:color="auto"/>
            </w:tcBorders>
            <w:shd w:val="clear" w:color="000000" w:fill="FFFFFF"/>
            <w:vAlign w:val="center"/>
            <w:hideMark/>
          </w:tcPr>
          <w:p w14:paraId="35F73CF4" w14:textId="02DBFA6C" w:rsidR="00922C41" w:rsidRPr="00490E36" w:rsidRDefault="002D4711" w:rsidP="00C266C5">
            <w:pPr>
              <w:spacing w:before="60" w:after="60"/>
              <w:jc w:val="center"/>
              <w:rPr>
                <w:rFonts w:asciiTheme="minorBidi" w:hAnsiTheme="minorBidi" w:cstheme="minorBidi"/>
                <w:sz w:val="18"/>
                <w:szCs w:val="18"/>
                <w:lang w:val="en-GB"/>
              </w:rPr>
            </w:pPr>
            <w:r w:rsidRPr="00490E36">
              <w:rPr>
                <w:rFonts w:asciiTheme="minorBidi" w:hAnsiTheme="minorBidi" w:cstheme="minorBidi"/>
                <w:sz w:val="18"/>
                <w:szCs w:val="18"/>
                <w:lang w:val="en-GB"/>
              </w:rPr>
              <w:t>2.6</w:t>
            </w:r>
            <w:r w:rsidR="00922C41" w:rsidRPr="00490E36">
              <w:rPr>
                <w:rFonts w:asciiTheme="minorBidi" w:hAnsiTheme="minorBidi" w:cstheme="minorBidi"/>
                <w:sz w:val="18"/>
                <w:szCs w:val="18"/>
                <w:lang w:val="en-GB"/>
              </w:rPr>
              <w:t>%</w:t>
            </w:r>
          </w:p>
        </w:tc>
        <w:tc>
          <w:tcPr>
            <w:tcW w:w="1276" w:type="dxa"/>
            <w:tcBorders>
              <w:top w:val="nil"/>
              <w:left w:val="nil"/>
              <w:bottom w:val="dashed" w:sz="4" w:space="0" w:color="auto"/>
              <w:right w:val="dashed" w:sz="4" w:space="0" w:color="auto"/>
            </w:tcBorders>
            <w:shd w:val="clear" w:color="000000" w:fill="FFFFFF"/>
            <w:vAlign w:val="center"/>
            <w:hideMark/>
          </w:tcPr>
          <w:p w14:paraId="68EA2F22" w14:textId="77777777" w:rsidR="00922C41" w:rsidRPr="00490E36" w:rsidRDefault="00922C41" w:rsidP="00C266C5">
            <w:pPr>
              <w:spacing w:before="60" w:after="60"/>
              <w:jc w:val="center"/>
              <w:rPr>
                <w:rFonts w:asciiTheme="minorBidi" w:hAnsiTheme="minorBidi" w:cstheme="minorBidi"/>
                <w:color w:val="000000"/>
                <w:sz w:val="18"/>
                <w:szCs w:val="18"/>
                <w:lang w:val="en-GB"/>
              </w:rPr>
            </w:pPr>
            <w:r w:rsidRPr="00490E36">
              <w:rPr>
                <w:rFonts w:asciiTheme="minorBidi" w:hAnsiTheme="minorBidi" w:cstheme="minorBidi"/>
                <w:color w:val="000000"/>
                <w:sz w:val="18"/>
                <w:szCs w:val="18"/>
                <w:lang w:val="en-GB"/>
              </w:rPr>
              <w:t>2.00%</w:t>
            </w:r>
          </w:p>
        </w:tc>
      </w:tr>
      <w:tr w:rsidR="00922C41" w:rsidRPr="00E64197" w14:paraId="5C7E7536" w14:textId="77777777" w:rsidTr="00C266C5">
        <w:trPr>
          <w:trHeight w:val="1373"/>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75C29929" w14:textId="77777777" w:rsidR="00922C41" w:rsidRPr="00490E36" w:rsidRDefault="00922C41" w:rsidP="00C266C5">
            <w:pPr>
              <w:spacing w:before="60" w:after="60"/>
              <w:rPr>
                <w:rFonts w:asciiTheme="minorBidi" w:hAnsiTheme="minorBidi" w:cstheme="minorBidi"/>
                <w:color w:val="000000"/>
                <w:sz w:val="18"/>
                <w:szCs w:val="18"/>
                <w:lang w:val="en-GB"/>
              </w:rPr>
            </w:pPr>
            <w:r w:rsidRPr="00490E36">
              <w:rPr>
                <w:rFonts w:asciiTheme="minorBidi" w:hAnsiTheme="minorBidi" w:cstheme="minorBidi"/>
                <w:color w:val="000000"/>
                <w:sz w:val="18"/>
                <w:szCs w:val="18"/>
                <w:lang w:val="en-GB"/>
              </w:rPr>
              <w:t>3.</w:t>
            </w:r>
          </w:p>
        </w:tc>
        <w:tc>
          <w:tcPr>
            <w:tcW w:w="6804" w:type="dxa"/>
            <w:tcBorders>
              <w:top w:val="nil"/>
              <w:left w:val="nil"/>
              <w:bottom w:val="single" w:sz="8" w:space="0" w:color="auto"/>
              <w:right w:val="nil"/>
            </w:tcBorders>
            <w:shd w:val="clear" w:color="auto" w:fill="auto"/>
            <w:vAlign w:val="center"/>
            <w:hideMark/>
          </w:tcPr>
          <w:p w14:paraId="457AB035" w14:textId="77777777" w:rsidR="00922C41" w:rsidRPr="00490E36" w:rsidRDefault="00922C41" w:rsidP="00C266C5">
            <w:pPr>
              <w:spacing w:before="60" w:after="60"/>
              <w:rPr>
                <w:rFonts w:asciiTheme="minorBidi" w:hAnsiTheme="minorBidi" w:cstheme="minorBidi"/>
                <w:color w:val="000000"/>
                <w:sz w:val="18"/>
                <w:szCs w:val="18"/>
                <w:lang w:val="en-GB"/>
              </w:rPr>
            </w:pPr>
            <w:r w:rsidRPr="00490E36">
              <w:rPr>
                <w:rFonts w:asciiTheme="minorBidi" w:hAnsiTheme="minorBidi" w:cstheme="minorBidi"/>
                <w:color w:val="000000"/>
                <w:sz w:val="18"/>
                <w:szCs w:val="18"/>
                <w:lang w:val="en-GB"/>
              </w:rPr>
              <w:t xml:space="preserve">Other functions of the Committee, as described in Article 7 of the Convention, aimed at promoting the objectives of the Convention and encouraging and monitoring its implementation, in particular by strengthening capacities to effectively safeguard intangible cultural heritage, raising awareness of the importance of such heritage, providing guidance on good safeguarding practices and updating and publishing the Lists and the Register of Good Safeguarding Practices: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0EC6B3E7" w14:textId="4C22B084" w:rsidR="00922C41" w:rsidRPr="00490E36" w:rsidRDefault="00922C41" w:rsidP="00C266C5">
            <w:pPr>
              <w:spacing w:before="60" w:after="60"/>
              <w:jc w:val="center"/>
              <w:rPr>
                <w:rFonts w:asciiTheme="minorBidi" w:hAnsiTheme="minorBidi" w:cstheme="minorBidi"/>
                <w:sz w:val="18"/>
                <w:szCs w:val="18"/>
                <w:lang w:val="en-GB"/>
              </w:rPr>
            </w:pPr>
            <w:r w:rsidRPr="00490E36">
              <w:rPr>
                <w:rFonts w:asciiTheme="minorBidi" w:hAnsiTheme="minorBidi" w:cstheme="minorBidi"/>
                <w:sz w:val="18"/>
                <w:szCs w:val="18"/>
                <w:lang w:val="en-GB"/>
              </w:rPr>
              <w:t>20</w:t>
            </w:r>
            <w:r w:rsidR="002D4711" w:rsidRPr="00490E36">
              <w:rPr>
                <w:rFonts w:asciiTheme="minorBidi" w:hAnsiTheme="minorBidi" w:cstheme="minorBidi"/>
                <w:sz w:val="18"/>
                <w:szCs w:val="18"/>
                <w:lang w:val="en-GB"/>
              </w:rPr>
              <w:t>.</w:t>
            </w:r>
            <w:r w:rsidRPr="00490E36">
              <w:rPr>
                <w:rFonts w:asciiTheme="minorBidi" w:hAnsiTheme="minorBidi" w:cstheme="minorBidi"/>
                <w:sz w:val="18"/>
                <w:szCs w:val="18"/>
                <w:lang w:val="en-GB"/>
              </w:rPr>
              <w:t>0%</w:t>
            </w:r>
          </w:p>
        </w:tc>
        <w:tc>
          <w:tcPr>
            <w:tcW w:w="1276" w:type="dxa"/>
            <w:tcBorders>
              <w:top w:val="nil"/>
              <w:left w:val="nil"/>
              <w:bottom w:val="dashed" w:sz="4" w:space="0" w:color="auto"/>
              <w:right w:val="dashed" w:sz="4" w:space="0" w:color="auto"/>
            </w:tcBorders>
            <w:shd w:val="clear" w:color="auto" w:fill="auto"/>
            <w:vAlign w:val="center"/>
            <w:hideMark/>
          </w:tcPr>
          <w:p w14:paraId="77F065CE" w14:textId="77777777" w:rsidR="00922C41" w:rsidRPr="00490E36" w:rsidRDefault="00922C41" w:rsidP="00C266C5">
            <w:pPr>
              <w:spacing w:before="60" w:after="60"/>
              <w:jc w:val="center"/>
              <w:rPr>
                <w:rFonts w:asciiTheme="minorBidi" w:hAnsiTheme="minorBidi" w:cstheme="minorBidi"/>
                <w:color w:val="000000"/>
                <w:sz w:val="18"/>
                <w:szCs w:val="18"/>
                <w:lang w:val="en-GB"/>
              </w:rPr>
            </w:pPr>
            <w:r w:rsidRPr="00490E36">
              <w:rPr>
                <w:rFonts w:asciiTheme="minorBidi" w:hAnsiTheme="minorBidi" w:cstheme="minorBidi"/>
                <w:color w:val="000000"/>
                <w:sz w:val="18"/>
                <w:szCs w:val="18"/>
                <w:lang w:val="en-GB"/>
              </w:rPr>
              <w:t>20.00%</w:t>
            </w:r>
          </w:p>
        </w:tc>
      </w:tr>
      <w:tr w:rsidR="002D4711" w:rsidRPr="00E64197" w14:paraId="28B9ED21" w14:textId="77777777" w:rsidTr="00C266C5">
        <w:trPr>
          <w:trHeight w:val="293"/>
        </w:trPr>
        <w:tc>
          <w:tcPr>
            <w:tcW w:w="416" w:type="dxa"/>
            <w:vMerge w:val="restart"/>
            <w:tcBorders>
              <w:top w:val="nil"/>
              <w:left w:val="single" w:sz="8" w:space="0" w:color="auto"/>
              <w:right w:val="single" w:sz="8" w:space="0" w:color="auto"/>
            </w:tcBorders>
            <w:shd w:val="clear" w:color="000000" w:fill="E7E6E6"/>
            <w:noWrap/>
            <w:vAlign w:val="center"/>
            <w:hideMark/>
          </w:tcPr>
          <w:p w14:paraId="675D8408" w14:textId="77777777" w:rsidR="002D4711" w:rsidRPr="00490E36" w:rsidRDefault="002D4711" w:rsidP="002D4711">
            <w:pPr>
              <w:spacing w:before="60" w:after="60"/>
              <w:ind w:firstLineChars="100" w:firstLine="180"/>
              <w:rPr>
                <w:rFonts w:asciiTheme="minorBidi" w:hAnsiTheme="minorBidi" w:cstheme="minorBidi"/>
                <w:i/>
                <w:iCs/>
                <w:color w:val="000000"/>
                <w:sz w:val="18"/>
                <w:szCs w:val="18"/>
                <w:lang w:val="en-GB"/>
              </w:rPr>
            </w:pPr>
            <w:r w:rsidRPr="00490E36">
              <w:rPr>
                <w:rFonts w:asciiTheme="minorBidi" w:hAnsiTheme="minorBidi" w:cstheme="minorBidi"/>
                <w:i/>
                <w:iCs/>
                <w:color w:val="000000"/>
                <w:sz w:val="18"/>
                <w:szCs w:val="18"/>
                <w:lang w:val="en-GB"/>
              </w:rPr>
              <w:t> </w:t>
            </w:r>
          </w:p>
          <w:p w14:paraId="7A638FAD" w14:textId="099F2337" w:rsidR="002D4711" w:rsidRPr="00490E36" w:rsidRDefault="002D4711" w:rsidP="00C266C5">
            <w:pPr>
              <w:spacing w:before="60" w:after="60"/>
              <w:ind w:firstLineChars="100" w:firstLine="180"/>
              <w:rPr>
                <w:rFonts w:asciiTheme="minorBidi" w:hAnsiTheme="minorBidi" w:cstheme="minorBidi"/>
                <w:i/>
                <w:iCs/>
                <w:color w:val="000000"/>
                <w:sz w:val="18"/>
                <w:szCs w:val="18"/>
                <w:lang w:val="en-GB"/>
              </w:rPr>
            </w:pPr>
            <w:r w:rsidRPr="00490E36">
              <w:rPr>
                <w:rFonts w:asciiTheme="minorBidi" w:hAnsiTheme="minorBidi" w:cstheme="minorBidi"/>
                <w:i/>
                <w:iCs/>
                <w:color w:val="000000"/>
                <w:sz w:val="18"/>
                <w:szCs w:val="18"/>
                <w:lang w:val="en-GB"/>
              </w:rPr>
              <w:t> </w:t>
            </w:r>
          </w:p>
        </w:tc>
        <w:tc>
          <w:tcPr>
            <w:tcW w:w="6804" w:type="dxa"/>
            <w:vMerge w:val="restart"/>
            <w:tcBorders>
              <w:top w:val="nil"/>
              <w:left w:val="nil"/>
              <w:right w:val="nil"/>
            </w:tcBorders>
            <w:shd w:val="clear" w:color="000000" w:fill="E7E6E6"/>
            <w:hideMark/>
          </w:tcPr>
          <w:p w14:paraId="5E8AE91D" w14:textId="77777777" w:rsidR="002D4711" w:rsidRPr="00490E36" w:rsidRDefault="002D4711" w:rsidP="00C266C5">
            <w:pPr>
              <w:spacing w:before="60" w:after="60"/>
              <w:ind w:left="147"/>
              <w:rPr>
                <w:rFonts w:asciiTheme="minorBidi" w:hAnsiTheme="minorBidi" w:cstheme="minorBidi"/>
                <w:b/>
                <w:bCs/>
                <w:i/>
                <w:iCs/>
                <w:color w:val="000000"/>
                <w:sz w:val="16"/>
                <w:szCs w:val="16"/>
                <w:lang w:val="en-GB"/>
              </w:rPr>
            </w:pPr>
            <w:r w:rsidRPr="00490E36">
              <w:rPr>
                <w:rFonts w:asciiTheme="minorBidi" w:hAnsiTheme="minorBidi" w:cstheme="minorBidi"/>
                <w:b/>
                <w:bCs/>
                <w:i/>
                <w:iCs/>
                <w:color w:val="000000"/>
                <w:sz w:val="16"/>
                <w:szCs w:val="16"/>
                <w:lang w:val="en-GB"/>
              </w:rPr>
              <w:t>ER 1:</w:t>
            </w:r>
            <w:r w:rsidRPr="00490E36">
              <w:rPr>
                <w:rFonts w:asciiTheme="minorBidi" w:hAnsiTheme="minorBidi" w:cstheme="minorBidi"/>
                <w:i/>
                <w:iCs/>
                <w:color w:val="000000"/>
                <w:sz w:val="16"/>
                <w:szCs w:val="16"/>
                <w:lang w:val="en-GB"/>
              </w:rPr>
              <w:t xml:space="preserve"> Sound governance of the 2003 Convention facilitated by enhanced monitoring and knowledge management services;</w:t>
            </w:r>
          </w:p>
          <w:p w14:paraId="588BD1BD" w14:textId="121DDF52" w:rsidR="002D4711" w:rsidRPr="00490E36" w:rsidRDefault="002D4711" w:rsidP="00C266C5">
            <w:pPr>
              <w:spacing w:before="60" w:after="60"/>
              <w:ind w:firstLineChars="100" w:firstLine="161"/>
              <w:rPr>
                <w:rFonts w:asciiTheme="minorBidi" w:hAnsiTheme="minorBidi" w:cstheme="minorBidi"/>
                <w:b/>
                <w:bCs/>
                <w:i/>
                <w:iCs/>
                <w:color w:val="000000"/>
                <w:sz w:val="16"/>
                <w:szCs w:val="16"/>
                <w:lang w:val="en-GB"/>
              </w:rPr>
            </w:pPr>
            <w:r w:rsidRPr="00E64197">
              <w:rPr>
                <w:rFonts w:asciiTheme="minorBidi" w:hAnsiTheme="minorBidi" w:cstheme="minorBidi"/>
                <w:b/>
                <w:bCs/>
                <w:i/>
                <w:iCs/>
                <w:color w:val="000000"/>
                <w:sz w:val="16"/>
                <w:szCs w:val="16"/>
                <w:lang w:val="en-GB"/>
              </w:rPr>
              <w:t> </w:t>
            </w:r>
          </w:p>
        </w:tc>
        <w:tc>
          <w:tcPr>
            <w:tcW w:w="1275" w:type="dxa"/>
            <w:tcBorders>
              <w:top w:val="nil"/>
              <w:left w:val="single" w:sz="4" w:space="0" w:color="auto"/>
              <w:bottom w:val="single" w:sz="4" w:space="0" w:color="auto"/>
              <w:right w:val="single" w:sz="4" w:space="0" w:color="auto"/>
            </w:tcBorders>
            <w:shd w:val="clear" w:color="000000" w:fill="E7E6E6"/>
            <w:vAlign w:val="center"/>
            <w:hideMark/>
          </w:tcPr>
          <w:p w14:paraId="06FA1D19" w14:textId="69DA8308" w:rsidR="002D4711" w:rsidRPr="00490E36" w:rsidRDefault="002D4711" w:rsidP="00C266C5">
            <w:pPr>
              <w:spacing w:before="60" w:after="60"/>
              <w:jc w:val="center"/>
              <w:rPr>
                <w:rFonts w:asciiTheme="minorBidi" w:hAnsiTheme="minorBidi" w:cstheme="minorBidi"/>
                <w:i/>
                <w:iCs/>
                <w:sz w:val="16"/>
                <w:szCs w:val="16"/>
                <w:lang w:val="en-GB"/>
              </w:rPr>
            </w:pPr>
            <w:r w:rsidRPr="00490E36">
              <w:rPr>
                <w:rFonts w:asciiTheme="minorBidi" w:hAnsiTheme="minorBidi" w:cstheme="minorBidi"/>
                <w:i/>
                <w:iCs/>
                <w:sz w:val="16"/>
                <w:szCs w:val="16"/>
                <w:lang w:val="en-GB"/>
              </w:rPr>
              <w:t>5.0%</w:t>
            </w:r>
          </w:p>
        </w:tc>
        <w:tc>
          <w:tcPr>
            <w:tcW w:w="1276" w:type="dxa"/>
            <w:tcBorders>
              <w:top w:val="dashed" w:sz="4" w:space="0" w:color="auto"/>
              <w:left w:val="nil"/>
              <w:bottom w:val="single" w:sz="8" w:space="0" w:color="auto"/>
              <w:right w:val="dashed" w:sz="4" w:space="0" w:color="auto"/>
            </w:tcBorders>
            <w:shd w:val="clear" w:color="000000" w:fill="E7E6E6"/>
            <w:vAlign w:val="center"/>
            <w:hideMark/>
          </w:tcPr>
          <w:p w14:paraId="443B0EF7" w14:textId="77777777" w:rsidR="002D4711" w:rsidRPr="00490E36" w:rsidRDefault="002D4711" w:rsidP="00C266C5">
            <w:pPr>
              <w:spacing w:before="60" w:after="60"/>
              <w:jc w:val="center"/>
              <w:rPr>
                <w:rFonts w:asciiTheme="minorBidi" w:hAnsiTheme="minorBidi" w:cstheme="minorBidi"/>
                <w:i/>
                <w:iCs/>
                <w:color w:val="000000"/>
                <w:sz w:val="16"/>
                <w:szCs w:val="16"/>
                <w:lang w:val="en-GB"/>
              </w:rPr>
            </w:pPr>
            <w:r w:rsidRPr="00490E36">
              <w:rPr>
                <w:rFonts w:asciiTheme="minorBidi" w:hAnsiTheme="minorBidi" w:cstheme="minorBidi"/>
                <w:i/>
                <w:iCs/>
                <w:color w:val="000000"/>
                <w:sz w:val="16"/>
                <w:szCs w:val="16"/>
                <w:lang w:val="en-GB"/>
              </w:rPr>
              <w:t>5.4%</w:t>
            </w:r>
          </w:p>
        </w:tc>
      </w:tr>
      <w:tr w:rsidR="002D4711" w:rsidRPr="00E64197" w14:paraId="5B899B1B" w14:textId="77777777" w:rsidTr="00C266C5">
        <w:trPr>
          <w:trHeight w:val="167"/>
        </w:trPr>
        <w:tc>
          <w:tcPr>
            <w:tcW w:w="416" w:type="dxa"/>
            <w:vMerge/>
            <w:tcBorders>
              <w:left w:val="single" w:sz="8" w:space="0" w:color="auto"/>
              <w:bottom w:val="single" w:sz="8" w:space="0" w:color="auto"/>
              <w:right w:val="single" w:sz="8" w:space="0" w:color="auto"/>
            </w:tcBorders>
            <w:shd w:val="clear" w:color="000000" w:fill="E7E6E6"/>
            <w:noWrap/>
            <w:vAlign w:val="center"/>
            <w:hideMark/>
          </w:tcPr>
          <w:p w14:paraId="7FCAC4D4" w14:textId="4C97672A" w:rsidR="002D4711" w:rsidRPr="00490E36" w:rsidRDefault="002D4711" w:rsidP="00C266C5">
            <w:pPr>
              <w:spacing w:before="60" w:after="60"/>
              <w:ind w:firstLineChars="100" w:firstLine="180"/>
              <w:rPr>
                <w:rFonts w:asciiTheme="minorBidi" w:hAnsiTheme="minorBidi" w:cstheme="minorBidi"/>
                <w:i/>
                <w:iCs/>
                <w:color w:val="000000"/>
                <w:sz w:val="18"/>
                <w:szCs w:val="18"/>
                <w:lang w:val="en-GB"/>
              </w:rPr>
            </w:pPr>
          </w:p>
        </w:tc>
        <w:tc>
          <w:tcPr>
            <w:tcW w:w="6804" w:type="dxa"/>
            <w:vMerge/>
            <w:tcBorders>
              <w:left w:val="nil"/>
              <w:bottom w:val="single" w:sz="8" w:space="0" w:color="auto"/>
              <w:right w:val="nil"/>
            </w:tcBorders>
            <w:shd w:val="clear" w:color="000000" w:fill="E7E6E6"/>
            <w:hideMark/>
          </w:tcPr>
          <w:p w14:paraId="20EE01E9" w14:textId="6E6973C3" w:rsidR="002D4711" w:rsidRPr="00490E36" w:rsidRDefault="002D4711" w:rsidP="00C266C5">
            <w:pPr>
              <w:spacing w:before="60" w:after="60"/>
              <w:ind w:firstLineChars="100" w:firstLine="161"/>
              <w:rPr>
                <w:rFonts w:asciiTheme="minorBidi" w:hAnsiTheme="minorBidi" w:cstheme="minorBidi"/>
                <w:b/>
                <w:bCs/>
                <w:i/>
                <w:iCs/>
                <w:color w:val="000000"/>
                <w:sz w:val="16"/>
                <w:szCs w:val="16"/>
                <w:lang w:val="en-GB"/>
              </w:rPr>
            </w:pPr>
          </w:p>
        </w:tc>
        <w:tc>
          <w:tcPr>
            <w:tcW w:w="1275" w:type="dxa"/>
            <w:tcBorders>
              <w:top w:val="nil"/>
              <w:left w:val="single" w:sz="4" w:space="0" w:color="auto"/>
              <w:bottom w:val="single" w:sz="4" w:space="0" w:color="auto"/>
              <w:right w:val="single" w:sz="4" w:space="0" w:color="auto"/>
            </w:tcBorders>
            <w:shd w:val="clear" w:color="000000" w:fill="E7E6E6"/>
            <w:vAlign w:val="center"/>
            <w:hideMark/>
          </w:tcPr>
          <w:p w14:paraId="65CC1C16" w14:textId="77777777" w:rsidR="002D4711" w:rsidRPr="00490E36" w:rsidRDefault="002D4711" w:rsidP="00C266C5">
            <w:pPr>
              <w:spacing w:before="60" w:after="60"/>
              <w:jc w:val="center"/>
              <w:rPr>
                <w:rFonts w:asciiTheme="minorBidi" w:hAnsiTheme="minorBidi" w:cstheme="minorBidi"/>
                <w:i/>
                <w:iCs/>
                <w:sz w:val="16"/>
                <w:szCs w:val="16"/>
                <w:lang w:val="en-GB"/>
              </w:rPr>
            </w:pPr>
            <w:r w:rsidRPr="00490E36">
              <w:rPr>
                <w:rFonts w:asciiTheme="minorBidi" w:hAnsiTheme="minorBidi" w:cstheme="minorBidi"/>
                <w:i/>
                <w:iCs/>
                <w:sz w:val="16"/>
                <w:szCs w:val="16"/>
                <w:lang w:val="en-GB"/>
              </w:rPr>
              <w:t>(25% of line 3)</w:t>
            </w:r>
          </w:p>
        </w:tc>
        <w:tc>
          <w:tcPr>
            <w:tcW w:w="1276" w:type="dxa"/>
            <w:tcBorders>
              <w:top w:val="single" w:sz="8" w:space="0" w:color="auto"/>
              <w:left w:val="nil"/>
              <w:bottom w:val="single" w:sz="8" w:space="0" w:color="auto"/>
              <w:right w:val="dashed" w:sz="4" w:space="0" w:color="auto"/>
            </w:tcBorders>
            <w:shd w:val="clear" w:color="000000" w:fill="E7E6E6"/>
            <w:vAlign w:val="center"/>
            <w:hideMark/>
          </w:tcPr>
          <w:p w14:paraId="625E6D07" w14:textId="77777777" w:rsidR="002D4711" w:rsidRPr="00490E36" w:rsidRDefault="002D4711" w:rsidP="00C266C5">
            <w:pPr>
              <w:spacing w:before="60" w:after="60"/>
              <w:jc w:val="center"/>
              <w:rPr>
                <w:rFonts w:asciiTheme="minorBidi" w:hAnsiTheme="minorBidi" w:cstheme="minorBidi"/>
                <w:i/>
                <w:iCs/>
                <w:color w:val="000000"/>
                <w:sz w:val="16"/>
                <w:szCs w:val="16"/>
                <w:lang w:val="en-GB"/>
              </w:rPr>
            </w:pPr>
            <w:r w:rsidRPr="00490E36">
              <w:rPr>
                <w:rFonts w:asciiTheme="minorBidi" w:hAnsiTheme="minorBidi" w:cstheme="minorBidi"/>
                <w:i/>
                <w:iCs/>
                <w:color w:val="000000"/>
                <w:sz w:val="16"/>
                <w:szCs w:val="16"/>
                <w:lang w:val="en-GB"/>
              </w:rPr>
              <w:t>(27% of line 3)</w:t>
            </w:r>
          </w:p>
        </w:tc>
      </w:tr>
      <w:tr w:rsidR="002D4711" w:rsidRPr="00E64197" w14:paraId="2F9B8E1E" w14:textId="77777777" w:rsidTr="00C266C5">
        <w:trPr>
          <w:trHeight w:val="289"/>
        </w:trPr>
        <w:tc>
          <w:tcPr>
            <w:tcW w:w="416" w:type="dxa"/>
            <w:vMerge w:val="restart"/>
            <w:tcBorders>
              <w:top w:val="nil"/>
              <w:left w:val="single" w:sz="8" w:space="0" w:color="auto"/>
              <w:right w:val="single" w:sz="8" w:space="0" w:color="auto"/>
            </w:tcBorders>
            <w:shd w:val="clear" w:color="000000" w:fill="E7E6E6"/>
            <w:noWrap/>
            <w:vAlign w:val="center"/>
            <w:hideMark/>
          </w:tcPr>
          <w:p w14:paraId="4DFF4F8C" w14:textId="77777777" w:rsidR="002D4711" w:rsidRPr="00490E36" w:rsidRDefault="002D4711" w:rsidP="002D4711">
            <w:pPr>
              <w:spacing w:before="60" w:after="60"/>
              <w:ind w:firstLineChars="100" w:firstLine="180"/>
              <w:rPr>
                <w:rFonts w:asciiTheme="minorBidi" w:hAnsiTheme="minorBidi" w:cstheme="minorBidi"/>
                <w:i/>
                <w:iCs/>
                <w:color w:val="000000"/>
                <w:sz w:val="18"/>
                <w:szCs w:val="18"/>
                <w:lang w:val="en-GB"/>
              </w:rPr>
            </w:pPr>
            <w:r w:rsidRPr="00490E36">
              <w:rPr>
                <w:rFonts w:asciiTheme="minorBidi" w:hAnsiTheme="minorBidi" w:cstheme="minorBidi"/>
                <w:i/>
                <w:iCs/>
                <w:color w:val="000000"/>
                <w:sz w:val="18"/>
                <w:szCs w:val="18"/>
                <w:lang w:val="en-GB"/>
              </w:rPr>
              <w:t> </w:t>
            </w:r>
          </w:p>
          <w:p w14:paraId="4910346C" w14:textId="569B84A0" w:rsidR="002D4711" w:rsidRPr="00490E36" w:rsidRDefault="002D4711" w:rsidP="00C266C5">
            <w:pPr>
              <w:spacing w:before="60" w:after="60"/>
              <w:ind w:firstLineChars="100" w:firstLine="180"/>
              <w:rPr>
                <w:rFonts w:asciiTheme="minorBidi" w:hAnsiTheme="minorBidi" w:cstheme="minorBidi"/>
                <w:i/>
                <w:iCs/>
                <w:color w:val="000000"/>
                <w:sz w:val="18"/>
                <w:szCs w:val="18"/>
                <w:lang w:val="en-GB"/>
              </w:rPr>
            </w:pPr>
            <w:r w:rsidRPr="00490E36">
              <w:rPr>
                <w:rFonts w:asciiTheme="minorBidi" w:hAnsiTheme="minorBidi" w:cstheme="minorBidi"/>
                <w:i/>
                <w:iCs/>
                <w:color w:val="000000"/>
                <w:sz w:val="18"/>
                <w:szCs w:val="18"/>
                <w:lang w:val="en-GB"/>
              </w:rPr>
              <w:t> </w:t>
            </w:r>
          </w:p>
        </w:tc>
        <w:tc>
          <w:tcPr>
            <w:tcW w:w="6804" w:type="dxa"/>
            <w:vMerge w:val="restart"/>
            <w:tcBorders>
              <w:top w:val="nil"/>
              <w:left w:val="nil"/>
              <w:right w:val="nil"/>
            </w:tcBorders>
            <w:shd w:val="clear" w:color="000000" w:fill="E7E6E6"/>
            <w:hideMark/>
          </w:tcPr>
          <w:p w14:paraId="0DB7F65E" w14:textId="34CBE019" w:rsidR="002D4711" w:rsidRPr="00490E36" w:rsidRDefault="002D4711" w:rsidP="00C266C5">
            <w:pPr>
              <w:spacing w:before="60" w:after="60"/>
              <w:ind w:left="147"/>
              <w:rPr>
                <w:rFonts w:asciiTheme="minorBidi" w:hAnsiTheme="minorBidi" w:cstheme="minorBidi"/>
                <w:b/>
                <w:bCs/>
                <w:i/>
                <w:iCs/>
                <w:color w:val="000000"/>
                <w:sz w:val="16"/>
                <w:szCs w:val="16"/>
                <w:lang w:val="en-GB"/>
              </w:rPr>
            </w:pPr>
            <w:r w:rsidRPr="00490E36">
              <w:rPr>
                <w:rFonts w:asciiTheme="minorBidi" w:hAnsiTheme="minorBidi" w:cstheme="minorBidi"/>
                <w:b/>
                <w:bCs/>
                <w:i/>
                <w:iCs/>
                <w:color w:val="000000"/>
                <w:sz w:val="16"/>
                <w:szCs w:val="16"/>
                <w:lang w:val="en-GB"/>
              </w:rPr>
              <w:t>ER 2:</w:t>
            </w:r>
            <w:r w:rsidRPr="00490E36">
              <w:rPr>
                <w:rFonts w:asciiTheme="minorBidi" w:hAnsiTheme="minorBidi" w:cstheme="minorBidi"/>
                <w:i/>
                <w:iCs/>
                <w:color w:val="000000"/>
                <w:sz w:val="16"/>
                <w:szCs w:val="16"/>
                <w:lang w:val="en-GB"/>
              </w:rPr>
              <w:t xml:space="preserve"> Implementation of the Convention in Member States encouraged through a strengthened capacity-building programme;</w:t>
            </w:r>
          </w:p>
        </w:tc>
        <w:tc>
          <w:tcPr>
            <w:tcW w:w="1275" w:type="dxa"/>
            <w:tcBorders>
              <w:top w:val="nil"/>
              <w:left w:val="single" w:sz="4" w:space="0" w:color="auto"/>
              <w:bottom w:val="single" w:sz="4" w:space="0" w:color="auto"/>
              <w:right w:val="single" w:sz="4" w:space="0" w:color="auto"/>
            </w:tcBorders>
            <w:shd w:val="clear" w:color="000000" w:fill="E7E6E6"/>
            <w:vAlign w:val="center"/>
            <w:hideMark/>
          </w:tcPr>
          <w:p w14:paraId="65733389" w14:textId="0C60F122" w:rsidR="002D4711" w:rsidRPr="00490E36" w:rsidRDefault="002D4711" w:rsidP="00C266C5">
            <w:pPr>
              <w:spacing w:before="60" w:after="60"/>
              <w:jc w:val="center"/>
              <w:rPr>
                <w:rFonts w:asciiTheme="minorBidi" w:hAnsiTheme="minorBidi" w:cstheme="minorBidi"/>
                <w:i/>
                <w:iCs/>
                <w:sz w:val="16"/>
                <w:szCs w:val="16"/>
                <w:lang w:val="en-GB"/>
              </w:rPr>
            </w:pPr>
            <w:r w:rsidRPr="00490E36">
              <w:rPr>
                <w:rFonts w:asciiTheme="minorBidi" w:hAnsiTheme="minorBidi" w:cstheme="minorBidi"/>
                <w:i/>
                <w:iCs/>
                <w:sz w:val="16"/>
                <w:szCs w:val="16"/>
                <w:lang w:val="en-GB"/>
              </w:rPr>
              <w:t>6.6%</w:t>
            </w:r>
          </w:p>
        </w:tc>
        <w:tc>
          <w:tcPr>
            <w:tcW w:w="1276" w:type="dxa"/>
            <w:tcBorders>
              <w:top w:val="single" w:sz="8" w:space="0" w:color="auto"/>
              <w:left w:val="nil"/>
              <w:bottom w:val="single" w:sz="8" w:space="0" w:color="auto"/>
              <w:right w:val="dashed" w:sz="4" w:space="0" w:color="auto"/>
            </w:tcBorders>
            <w:shd w:val="clear" w:color="000000" w:fill="E7E6E6"/>
            <w:vAlign w:val="center"/>
            <w:hideMark/>
          </w:tcPr>
          <w:p w14:paraId="0F8D023D" w14:textId="77777777" w:rsidR="002D4711" w:rsidRPr="00490E36" w:rsidRDefault="002D4711" w:rsidP="00C266C5">
            <w:pPr>
              <w:spacing w:before="60" w:after="60"/>
              <w:jc w:val="center"/>
              <w:rPr>
                <w:rFonts w:asciiTheme="minorBidi" w:hAnsiTheme="minorBidi" w:cstheme="minorBidi"/>
                <w:i/>
                <w:iCs/>
                <w:color w:val="000000"/>
                <w:sz w:val="16"/>
                <w:szCs w:val="16"/>
                <w:lang w:val="en-GB"/>
              </w:rPr>
            </w:pPr>
            <w:r w:rsidRPr="00490E36">
              <w:rPr>
                <w:rFonts w:asciiTheme="minorBidi" w:hAnsiTheme="minorBidi" w:cstheme="minorBidi"/>
                <w:i/>
                <w:iCs/>
                <w:color w:val="000000"/>
                <w:sz w:val="16"/>
                <w:szCs w:val="16"/>
                <w:lang w:val="en-GB"/>
              </w:rPr>
              <w:t>6.6%</w:t>
            </w:r>
          </w:p>
        </w:tc>
      </w:tr>
      <w:tr w:rsidR="002D4711" w:rsidRPr="00E64197" w14:paraId="20E60816" w14:textId="77777777" w:rsidTr="00C266C5">
        <w:trPr>
          <w:trHeight w:val="263"/>
        </w:trPr>
        <w:tc>
          <w:tcPr>
            <w:tcW w:w="416" w:type="dxa"/>
            <w:vMerge/>
            <w:tcBorders>
              <w:left w:val="single" w:sz="8" w:space="0" w:color="auto"/>
              <w:bottom w:val="single" w:sz="8" w:space="0" w:color="auto"/>
              <w:right w:val="single" w:sz="8" w:space="0" w:color="auto"/>
            </w:tcBorders>
            <w:shd w:val="clear" w:color="000000" w:fill="E7E6E6"/>
            <w:noWrap/>
            <w:vAlign w:val="center"/>
            <w:hideMark/>
          </w:tcPr>
          <w:p w14:paraId="7DA7D1F6" w14:textId="0BE0E6B4" w:rsidR="002D4711" w:rsidRPr="00490E36" w:rsidRDefault="002D4711" w:rsidP="00C266C5">
            <w:pPr>
              <w:spacing w:before="60" w:after="60"/>
              <w:ind w:firstLineChars="100" w:firstLine="180"/>
              <w:rPr>
                <w:rFonts w:asciiTheme="minorBidi" w:hAnsiTheme="minorBidi" w:cstheme="minorBidi"/>
                <w:i/>
                <w:iCs/>
                <w:color w:val="000000"/>
                <w:sz w:val="18"/>
                <w:szCs w:val="18"/>
                <w:lang w:val="en-GB"/>
              </w:rPr>
            </w:pPr>
          </w:p>
        </w:tc>
        <w:tc>
          <w:tcPr>
            <w:tcW w:w="6804" w:type="dxa"/>
            <w:vMerge/>
            <w:tcBorders>
              <w:left w:val="nil"/>
              <w:bottom w:val="single" w:sz="8" w:space="0" w:color="auto"/>
              <w:right w:val="nil"/>
            </w:tcBorders>
            <w:shd w:val="clear" w:color="000000" w:fill="E7E6E6"/>
            <w:hideMark/>
          </w:tcPr>
          <w:p w14:paraId="2A2ECBFF" w14:textId="30571222" w:rsidR="002D4711" w:rsidRPr="00490E36" w:rsidRDefault="002D4711" w:rsidP="00C266C5">
            <w:pPr>
              <w:spacing w:before="60" w:after="60"/>
              <w:ind w:firstLineChars="100" w:firstLine="161"/>
              <w:rPr>
                <w:rFonts w:asciiTheme="minorBidi" w:hAnsiTheme="minorBidi" w:cstheme="minorBidi"/>
                <w:b/>
                <w:bCs/>
                <w:i/>
                <w:iCs/>
                <w:color w:val="000000"/>
                <w:sz w:val="16"/>
                <w:szCs w:val="16"/>
                <w:lang w:val="en-GB"/>
              </w:rPr>
            </w:pPr>
          </w:p>
        </w:tc>
        <w:tc>
          <w:tcPr>
            <w:tcW w:w="1275" w:type="dxa"/>
            <w:tcBorders>
              <w:top w:val="nil"/>
              <w:left w:val="single" w:sz="4" w:space="0" w:color="auto"/>
              <w:bottom w:val="single" w:sz="4" w:space="0" w:color="auto"/>
              <w:right w:val="single" w:sz="4" w:space="0" w:color="auto"/>
            </w:tcBorders>
            <w:shd w:val="clear" w:color="000000" w:fill="E7E6E6"/>
            <w:vAlign w:val="center"/>
            <w:hideMark/>
          </w:tcPr>
          <w:p w14:paraId="6054B267" w14:textId="77777777" w:rsidR="002D4711" w:rsidRPr="00490E36" w:rsidRDefault="002D4711" w:rsidP="00C266C5">
            <w:pPr>
              <w:spacing w:before="60" w:after="60"/>
              <w:jc w:val="center"/>
              <w:rPr>
                <w:rFonts w:asciiTheme="minorBidi" w:hAnsiTheme="minorBidi" w:cstheme="minorBidi"/>
                <w:i/>
                <w:iCs/>
                <w:sz w:val="16"/>
                <w:szCs w:val="16"/>
                <w:lang w:val="en-GB"/>
              </w:rPr>
            </w:pPr>
            <w:r w:rsidRPr="00490E36">
              <w:rPr>
                <w:rFonts w:asciiTheme="minorBidi" w:hAnsiTheme="minorBidi" w:cstheme="minorBidi"/>
                <w:i/>
                <w:iCs/>
                <w:sz w:val="16"/>
                <w:szCs w:val="16"/>
                <w:lang w:val="en-GB"/>
              </w:rPr>
              <w:t>(33% of line 3)</w:t>
            </w:r>
          </w:p>
        </w:tc>
        <w:tc>
          <w:tcPr>
            <w:tcW w:w="1276" w:type="dxa"/>
            <w:tcBorders>
              <w:top w:val="single" w:sz="8" w:space="0" w:color="auto"/>
              <w:left w:val="nil"/>
              <w:bottom w:val="single" w:sz="8" w:space="0" w:color="auto"/>
              <w:right w:val="dashed" w:sz="4" w:space="0" w:color="auto"/>
            </w:tcBorders>
            <w:shd w:val="clear" w:color="000000" w:fill="E7E6E6"/>
            <w:vAlign w:val="center"/>
            <w:hideMark/>
          </w:tcPr>
          <w:p w14:paraId="2C4CFF2C" w14:textId="77777777" w:rsidR="002D4711" w:rsidRPr="00490E36" w:rsidRDefault="002D4711" w:rsidP="00C266C5">
            <w:pPr>
              <w:spacing w:before="60" w:after="60"/>
              <w:jc w:val="center"/>
              <w:rPr>
                <w:rFonts w:asciiTheme="minorBidi" w:hAnsiTheme="minorBidi" w:cstheme="minorBidi"/>
                <w:i/>
                <w:iCs/>
                <w:color w:val="000000"/>
                <w:sz w:val="16"/>
                <w:szCs w:val="16"/>
                <w:lang w:val="en-GB"/>
              </w:rPr>
            </w:pPr>
            <w:r w:rsidRPr="00490E36">
              <w:rPr>
                <w:rFonts w:asciiTheme="minorBidi" w:hAnsiTheme="minorBidi" w:cstheme="minorBidi"/>
                <w:i/>
                <w:iCs/>
                <w:color w:val="000000"/>
                <w:sz w:val="16"/>
                <w:szCs w:val="16"/>
                <w:lang w:val="en-GB"/>
              </w:rPr>
              <w:t>(33% of line 3)</w:t>
            </w:r>
          </w:p>
        </w:tc>
      </w:tr>
      <w:tr w:rsidR="002D4711" w:rsidRPr="00E64197" w14:paraId="702F81FD" w14:textId="77777777" w:rsidTr="00C266C5">
        <w:trPr>
          <w:trHeight w:val="212"/>
        </w:trPr>
        <w:tc>
          <w:tcPr>
            <w:tcW w:w="416" w:type="dxa"/>
            <w:vMerge w:val="restart"/>
            <w:tcBorders>
              <w:top w:val="nil"/>
              <w:left w:val="single" w:sz="8" w:space="0" w:color="auto"/>
              <w:right w:val="single" w:sz="8" w:space="0" w:color="auto"/>
            </w:tcBorders>
            <w:shd w:val="clear" w:color="000000" w:fill="E7E6E6"/>
            <w:noWrap/>
            <w:vAlign w:val="center"/>
            <w:hideMark/>
          </w:tcPr>
          <w:p w14:paraId="25BE83AD" w14:textId="77777777" w:rsidR="002D4711" w:rsidRPr="00490E36" w:rsidRDefault="002D4711" w:rsidP="00C266C5">
            <w:pPr>
              <w:spacing w:before="60" w:after="60"/>
              <w:ind w:firstLineChars="100" w:firstLine="180"/>
              <w:rPr>
                <w:rFonts w:asciiTheme="minorBidi" w:hAnsiTheme="minorBidi" w:cstheme="minorBidi"/>
                <w:i/>
                <w:iCs/>
                <w:color w:val="000000"/>
                <w:sz w:val="18"/>
                <w:szCs w:val="18"/>
                <w:lang w:val="en-GB"/>
              </w:rPr>
            </w:pPr>
            <w:r w:rsidRPr="00490E36">
              <w:rPr>
                <w:rFonts w:asciiTheme="minorBidi" w:hAnsiTheme="minorBidi" w:cstheme="minorBidi"/>
                <w:i/>
                <w:iCs/>
                <w:color w:val="000000"/>
                <w:sz w:val="18"/>
                <w:szCs w:val="18"/>
                <w:lang w:val="en-GB"/>
              </w:rPr>
              <w:t> </w:t>
            </w:r>
          </w:p>
          <w:p w14:paraId="33D10A50" w14:textId="18CE44AA" w:rsidR="002D4711" w:rsidRPr="00490E36" w:rsidRDefault="002D4711" w:rsidP="00C266C5">
            <w:pPr>
              <w:spacing w:before="60" w:after="60"/>
              <w:ind w:firstLineChars="100" w:firstLine="180"/>
              <w:rPr>
                <w:rFonts w:asciiTheme="minorBidi" w:hAnsiTheme="minorBidi" w:cstheme="minorBidi"/>
                <w:i/>
                <w:iCs/>
                <w:color w:val="000000"/>
                <w:sz w:val="18"/>
                <w:szCs w:val="18"/>
                <w:lang w:val="en-GB"/>
              </w:rPr>
            </w:pPr>
            <w:r w:rsidRPr="00490E36">
              <w:rPr>
                <w:rFonts w:asciiTheme="minorBidi" w:hAnsiTheme="minorBidi" w:cstheme="minorBidi"/>
                <w:i/>
                <w:iCs/>
                <w:color w:val="000000"/>
                <w:sz w:val="18"/>
                <w:szCs w:val="18"/>
                <w:lang w:val="en-GB"/>
              </w:rPr>
              <w:t> </w:t>
            </w:r>
          </w:p>
        </w:tc>
        <w:tc>
          <w:tcPr>
            <w:tcW w:w="6804" w:type="dxa"/>
            <w:vMerge w:val="restart"/>
            <w:tcBorders>
              <w:top w:val="nil"/>
              <w:left w:val="nil"/>
              <w:right w:val="nil"/>
            </w:tcBorders>
            <w:shd w:val="clear" w:color="000000" w:fill="E7E6E6"/>
            <w:hideMark/>
          </w:tcPr>
          <w:p w14:paraId="397B0FAF" w14:textId="77777777" w:rsidR="002D4711" w:rsidRPr="00490E36" w:rsidRDefault="002D4711" w:rsidP="00C266C5">
            <w:pPr>
              <w:spacing w:before="60" w:after="60"/>
              <w:ind w:left="147"/>
              <w:rPr>
                <w:rFonts w:asciiTheme="minorBidi" w:hAnsiTheme="minorBidi" w:cstheme="minorBidi"/>
                <w:b/>
                <w:bCs/>
                <w:i/>
                <w:iCs/>
                <w:color w:val="000000"/>
                <w:sz w:val="16"/>
                <w:szCs w:val="16"/>
                <w:lang w:val="en-GB"/>
              </w:rPr>
            </w:pPr>
            <w:r w:rsidRPr="00490E36">
              <w:rPr>
                <w:rFonts w:asciiTheme="minorBidi" w:hAnsiTheme="minorBidi" w:cstheme="minorBidi"/>
                <w:b/>
                <w:bCs/>
                <w:i/>
                <w:iCs/>
                <w:color w:val="000000"/>
                <w:sz w:val="16"/>
                <w:szCs w:val="16"/>
                <w:lang w:val="en-GB"/>
              </w:rPr>
              <w:t>ER 3:</w:t>
            </w:r>
            <w:r w:rsidRPr="00490E36">
              <w:rPr>
                <w:rFonts w:asciiTheme="minorBidi" w:hAnsiTheme="minorBidi" w:cstheme="minorBidi"/>
                <w:i/>
                <w:iCs/>
                <w:color w:val="000000"/>
                <w:sz w:val="16"/>
                <w:szCs w:val="16"/>
                <w:lang w:val="en-GB"/>
              </w:rPr>
              <w:t xml:space="preserve"> Integration of intangible cultural heritage into development plans, policies and programmes supported;</w:t>
            </w:r>
          </w:p>
          <w:p w14:paraId="75855C20" w14:textId="41158E48" w:rsidR="002D4711" w:rsidRPr="00490E36" w:rsidRDefault="002D4711" w:rsidP="00C266C5">
            <w:pPr>
              <w:spacing w:before="60" w:after="60"/>
              <w:ind w:firstLineChars="100" w:firstLine="161"/>
              <w:rPr>
                <w:rFonts w:asciiTheme="minorBidi" w:hAnsiTheme="minorBidi" w:cstheme="minorBidi"/>
                <w:b/>
                <w:bCs/>
                <w:i/>
                <w:iCs/>
                <w:color w:val="000000"/>
                <w:sz w:val="16"/>
                <w:szCs w:val="16"/>
                <w:lang w:val="en-GB"/>
              </w:rPr>
            </w:pPr>
            <w:r w:rsidRPr="00E64197">
              <w:rPr>
                <w:rFonts w:asciiTheme="minorBidi" w:hAnsiTheme="minorBidi" w:cstheme="minorBidi"/>
                <w:b/>
                <w:bCs/>
                <w:i/>
                <w:iCs/>
                <w:color w:val="000000"/>
                <w:sz w:val="16"/>
                <w:szCs w:val="16"/>
                <w:lang w:val="en-GB"/>
              </w:rPr>
              <w:t> </w:t>
            </w:r>
          </w:p>
        </w:tc>
        <w:tc>
          <w:tcPr>
            <w:tcW w:w="1275" w:type="dxa"/>
            <w:tcBorders>
              <w:top w:val="nil"/>
              <w:left w:val="single" w:sz="4" w:space="0" w:color="auto"/>
              <w:bottom w:val="single" w:sz="4" w:space="0" w:color="auto"/>
              <w:right w:val="single" w:sz="4" w:space="0" w:color="auto"/>
            </w:tcBorders>
            <w:shd w:val="clear" w:color="000000" w:fill="E7E6E6"/>
            <w:vAlign w:val="center"/>
            <w:hideMark/>
          </w:tcPr>
          <w:p w14:paraId="182C3941" w14:textId="7E0F54DA" w:rsidR="002D4711" w:rsidRPr="00490E36" w:rsidRDefault="002D4711" w:rsidP="00C266C5">
            <w:pPr>
              <w:spacing w:before="60" w:after="60"/>
              <w:jc w:val="center"/>
              <w:rPr>
                <w:rFonts w:asciiTheme="minorBidi" w:hAnsiTheme="minorBidi" w:cstheme="minorBidi"/>
                <w:i/>
                <w:iCs/>
                <w:sz w:val="16"/>
                <w:szCs w:val="16"/>
                <w:lang w:val="en-GB"/>
              </w:rPr>
            </w:pPr>
            <w:r w:rsidRPr="00490E36">
              <w:rPr>
                <w:rFonts w:asciiTheme="minorBidi" w:hAnsiTheme="minorBidi" w:cstheme="minorBidi"/>
                <w:i/>
                <w:iCs/>
                <w:sz w:val="16"/>
                <w:szCs w:val="16"/>
                <w:lang w:val="en-GB"/>
              </w:rPr>
              <w:t>3.7%</w:t>
            </w:r>
          </w:p>
        </w:tc>
        <w:tc>
          <w:tcPr>
            <w:tcW w:w="1276" w:type="dxa"/>
            <w:tcBorders>
              <w:top w:val="single" w:sz="8" w:space="0" w:color="auto"/>
              <w:left w:val="nil"/>
              <w:bottom w:val="single" w:sz="8" w:space="0" w:color="auto"/>
              <w:right w:val="dashed" w:sz="4" w:space="0" w:color="auto"/>
            </w:tcBorders>
            <w:shd w:val="clear" w:color="000000" w:fill="E7E6E6"/>
            <w:vAlign w:val="center"/>
            <w:hideMark/>
          </w:tcPr>
          <w:p w14:paraId="739D2F61" w14:textId="77777777" w:rsidR="002D4711" w:rsidRPr="00490E36" w:rsidRDefault="002D4711" w:rsidP="00C266C5">
            <w:pPr>
              <w:spacing w:before="60" w:after="60"/>
              <w:jc w:val="center"/>
              <w:rPr>
                <w:rFonts w:asciiTheme="minorBidi" w:hAnsiTheme="minorBidi" w:cstheme="minorBidi"/>
                <w:i/>
                <w:iCs/>
                <w:color w:val="000000"/>
                <w:sz w:val="16"/>
                <w:szCs w:val="16"/>
                <w:lang w:val="en-GB"/>
              </w:rPr>
            </w:pPr>
            <w:r w:rsidRPr="00490E36">
              <w:rPr>
                <w:rFonts w:asciiTheme="minorBidi" w:hAnsiTheme="minorBidi" w:cstheme="minorBidi"/>
                <w:i/>
                <w:iCs/>
                <w:color w:val="000000"/>
                <w:sz w:val="16"/>
                <w:szCs w:val="16"/>
                <w:lang w:val="en-GB"/>
              </w:rPr>
              <w:t>2.6%</w:t>
            </w:r>
          </w:p>
        </w:tc>
      </w:tr>
      <w:tr w:rsidR="002D4711" w:rsidRPr="00E64197" w14:paraId="71B24253" w14:textId="77777777" w:rsidTr="00C266C5">
        <w:trPr>
          <w:trHeight w:val="60"/>
        </w:trPr>
        <w:tc>
          <w:tcPr>
            <w:tcW w:w="416" w:type="dxa"/>
            <w:vMerge/>
            <w:tcBorders>
              <w:left w:val="single" w:sz="8" w:space="0" w:color="auto"/>
              <w:bottom w:val="single" w:sz="8" w:space="0" w:color="auto"/>
              <w:right w:val="single" w:sz="8" w:space="0" w:color="auto"/>
            </w:tcBorders>
            <w:shd w:val="clear" w:color="000000" w:fill="E7E6E6"/>
            <w:noWrap/>
            <w:vAlign w:val="center"/>
            <w:hideMark/>
          </w:tcPr>
          <w:p w14:paraId="699ABA86" w14:textId="5ADE85C4" w:rsidR="002D4711" w:rsidRPr="00490E36" w:rsidRDefault="002D4711" w:rsidP="00C266C5">
            <w:pPr>
              <w:spacing w:before="60" w:after="60"/>
              <w:ind w:firstLineChars="100" w:firstLine="180"/>
              <w:rPr>
                <w:rFonts w:asciiTheme="minorBidi" w:hAnsiTheme="minorBidi" w:cstheme="minorBidi"/>
                <w:i/>
                <w:iCs/>
                <w:color w:val="000000"/>
                <w:sz w:val="18"/>
                <w:szCs w:val="18"/>
                <w:lang w:val="en-GB"/>
              </w:rPr>
            </w:pPr>
          </w:p>
        </w:tc>
        <w:tc>
          <w:tcPr>
            <w:tcW w:w="6804" w:type="dxa"/>
            <w:vMerge/>
            <w:tcBorders>
              <w:left w:val="nil"/>
              <w:bottom w:val="single" w:sz="8" w:space="0" w:color="auto"/>
              <w:right w:val="nil"/>
            </w:tcBorders>
            <w:shd w:val="clear" w:color="000000" w:fill="E7E6E6"/>
            <w:hideMark/>
          </w:tcPr>
          <w:p w14:paraId="6FF28B02" w14:textId="03DC677E" w:rsidR="002D4711" w:rsidRPr="00490E36" w:rsidRDefault="002D4711" w:rsidP="00C266C5">
            <w:pPr>
              <w:spacing w:before="60" w:after="60"/>
              <w:ind w:firstLineChars="100" w:firstLine="161"/>
              <w:rPr>
                <w:rFonts w:asciiTheme="minorBidi" w:hAnsiTheme="minorBidi" w:cstheme="minorBidi"/>
                <w:b/>
                <w:bCs/>
                <w:i/>
                <w:iCs/>
                <w:color w:val="000000"/>
                <w:sz w:val="16"/>
                <w:szCs w:val="16"/>
                <w:lang w:val="en-GB"/>
              </w:rPr>
            </w:pPr>
          </w:p>
        </w:tc>
        <w:tc>
          <w:tcPr>
            <w:tcW w:w="1275" w:type="dxa"/>
            <w:tcBorders>
              <w:top w:val="nil"/>
              <w:left w:val="single" w:sz="4" w:space="0" w:color="auto"/>
              <w:bottom w:val="single" w:sz="4" w:space="0" w:color="auto"/>
              <w:right w:val="single" w:sz="4" w:space="0" w:color="auto"/>
            </w:tcBorders>
            <w:shd w:val="clear" w:color="000000" w:fill="E7E6E6"/>
            <w:vAlign w:val="center"/>
            <w:hideMark/>
          </w:tcPr>
          <w:p w14:paraId="46CBADE2" w14:textId="2D37358B" w:rsidR="002D4711" w:rsidRPr="00490E36" w:rsidRDefault="002D4711" w:rsidP="00C266C5">
            <w:pPr>
              <w:spacing w:before="60" w:after="60"/>
              <w:jc w:val="center"/>
              <w:rPr>
                <w:rFonts w:asciiTheme="minorBidi" w:hAnsiTheme="minorBidi" w:cstheme="minorBidi"/>
                <w:i/>
                <w:iCs/>
                <w:sz w:val="16"/>
                <w:szCs w:val="16"/>
                <w:lang w:val="en-GB"/>
              </w:rPr>
            </w:pPr>
            <w:r w:rsidRPr="00490E36">
              <w:rPr>
                <w:rFonts w:asciiTheme="minorBidi" w:hAnsiTheme="minorBidi" w:cstheme="minorBidi"/>
                <w:i/>
                <w:iCs/>
                <w:sz w:val="16"/>
                <w:szCs w:val="16"/>
                <w:lang w:val="en-GB"/>
              </w:rPr>
              <w:t>(19% of line 3)</w:t>
            </w:r>
          </w:p>
        </w:tc>
        <w:tc>
          <w:tcPr>
            <w:tcW w:w="1276" w:type="dxa"/>
            <w:tcBorders>
              <w:top w:val="single" w:sz="8" w:space="0" w:color="auto"/>
              <w:left w:val="nil"/>
              <w:bottom w:val="single" w:sz="8" w:space="0" w:color="auto"/>
              <w:right w:val="dashed" w:sz="4" w:space="0" w:color="auto"/>
            </w:tcBorders>
            <w:shd w:val="clear" w:color="000000" w:fill="E7E6E6"/>
            <w:vAlign w:val="center"/>
            <w:hideMark/>
          </w:tcPr>
          <w:p w14:paraId="0EDA8F25" w14:textId="77777777" w:rsidR="002D4711" w:rsidRPr="00490E36" w:rsidRDefault="002D4711" w:rsidP="00C266C5">
            <w:pPr>
              <w:spacing w:before="60" w:after="60"/>
              <w:jc w:val="center"/>
              <w:rPr>
                <w:rFonts w:asciiTheme="minorBidi" w:hAnsiTheme="minorBidi" w:cstheme="minorBidi"/>
                <w:i/>
                <w:iCs/>
                <w:color w:val="000000"/>
                <w:sz w:val="16"/>
                <w:szCs w:val="16"/>
                <w:lang w:val="en-GB"/>
              </w:rPr>
            </w:pPr>
            <w:r w:rsidRPr="00490E36">
              <w:rPr>
                <w:rFonts w:asciiTheme="minorBidi" w:hAnsiTheme="minorBidi" w:cstheme="minorBidi"/>
                <w:i/>
                <w:iCs/>
                <w:color w:val="000000"/>
                <w:sz w:val="16"/>
                <w:szCs w:val="16"/>
                <w:lang w:val="en-GB"/>
              </w:rPr>
              <w:t>(13% of line 3)</w:t>
            </w:r>
          </w:p>
        </w:tc>
      </w:tr>
      <w:tr w:rsidR="002D4711" w:rsidRPr="00E64197" w14:paraId="077E4C48" w14:textId="77777777" w:rsidTr="00C266C5">
        <w:trPr>
          <w:trHeight w:val="179"/>
        </w:trPr>
        <w:tc>
          <w:tcPr>
            <w:tcW w:w="416" w:type="dxa"/>
            <w:tcBorders>
              <w:top w:val="nil"/>
              <w:left w:val="single" w:sz="8" w:space="0" w:color="auto"/>
              <w:bottom w:val="nil"/>
              <w:right w:val="single" w:sz="8" w:space="0" w:color="auto"/>
            </w:tcBorders>
            <w:shd w:val="clear" w:color="000000" w:fill="E7E6E6"/>
            <w:noWrap/>
            <w:vAlign w:val="center"/>
            <w:hideMark/>
          </w:tcPr>
          <w:p w14:paraId="5EA759B8" w14:textId="77777777" w:rsidR="002D4711" w:rsidRPr="00490E36" w:rsidRDefault="002D4711" w:rsidP="00C266C5">
            <w:pPr>
              <w:spacing w:before="60" w:after="60"/>
              <w:ind w:firstLineChars="100" w:firstLine="180"/>
              <w:rPr>
                <w:rFonts w:asciiTheme="minorBidi" w:hAnsiTheme="minorBidi" w:cstheme="minorBidi"/>
                <w:i/>
                <w:iCs/>
                <w:color w:val="000000"/>
                <w:sz w:val="18"/>
                <w:szCs w:val="18"/>
                <w:lang w:val="en-GB"/>
              </w:rPr>
            </w:pPr>
            <w:r w:rsidRPr="00490E36">
              <w:rPr>
                <w:rFonts w:asciiTheme="minorBidi" w:hAnsiTheme="minorBidi" w:cstheme="minorBidi"/>
                <w:i/>
                <w:iCs/>
                <w:color w:val="000000"/>
                <w:sz w:val="18"/>
                <w:szCs w:val="18"/>
                <w:lang w:val="en-GB"/>
              </w:rPr>
              <w:t> </w:t>
            </w:r>
          </w:p>
        </w:tc>
        <w:tc>
          <w:tcPr>
            <w:tcW w:w="6804" w:type="dxa"/>
            <w:vMerge w:val="restart"/>
            <w:tcBorders>
              <w:top w:val="nil"/>
              <w:left w:val="nil"/>
              <w:right w:val="nil"/>
            </w:tcBorders>
            <w:shd w:val="clear" w:color="000000" w:fill="E7E6E6"/>
            <w:hideMark/>
          </w:tcPr>
          <w:p w14:paraId="743F02C1" w14:textId="77777777" w:rsidR="002D4711" w:rsidRPr="00490E36" w:rsidRDefault="002D4711" w:rsidP="00C266C5">
            <w:pPr>
              <w:spacing w:before="60" w:after="60"/>
              <w:ind w:left="147"/>
              <w:rPr>
                <w:rFonts w:asciiTheme="minorBidi" w:hAnsiTheme="minorBidi" w:cstheme="minorBidi"/>
                <w:b/>
                <w:bCs/>
                <w:i/>
                <w:iCs/>
                <w:color w:val="000000"/>
                <w:sz w:val="16"/>
                <w:szCs w:val="16"/>
                <w:lang w:val="en-GB"/>
              </w:rPr>
            </w:pPr>
            <w:r w:rsidRPr="00490E36">
              <w:rPr>
                <w:rFonts w:asciiTheme="minorBidi" w:hAnsiTheme="minorBidi" w:cstheme="minorBidi"/>
                <w:b/>
                <w:bCs/>
                <w:i/>
                <w:iCs/>
                <w:color w:val="000000"/>
                <w:sz w:val="16"/>
                <w:szCs w:val="16"/>
                <w:lang w:val="en-GB"/>
              </w:rPr>
              <w:t xml:space="preserve">ER 4: </w:t>
            </w:r>
            <w:r w:rsidRPr="00490E36">
              <w:rPr>
                <w:rFonts w:asciiTheme="minorBidi" w:hAnsiTheme="minorBidi" w:cstheme="minorBidi"/>
                <w:i/>
                <w:iCs/>
                <w:color w:val="000000"/>
                <w:sz w:val="16"/>
                <w:szCs w:val="16"/>
                <w:lang w:val="en-GB"/>
              </w:rPr>
              <w:t>Objectives of the Convention promoted through awareness-raising and outreach;</w:t>
            </w:r>
          </w:p>
          <w:p w14:paraId="5529D384" w14:textId="3059A079" w:rsidR="002D4711" w:rsidRPr="00490E36" w:rsidRDefault="002D4711" w:rsidP="00C266C5">
            <w:pPr>
              <w:spacing w:before="60" w:after="60"/>
              <w:ind w:firstLineChars="100" w:firstLine="161"/>
              <w:rPr>
                <w:rFonts w:asciiTheme="minorBidi" w:hAnsiTheme="minorBidi" w:cstheme="minorBidi"/>
                <w:b/>
                <w:bCs/>
                <w:i/>
                <w:iCs/>
                <w:color w:val="000000"/>
                <w:sz w:val="16"/>
                <w:szCs w:val="16"/>
                <w:lang w:val="en-GB"/>
              </w:rPr>
            </w:pPr>
            <w:r w:rsidRPr="00E64197">
              <w:rPr>
                <w:rFonts w:asciiTheme="minorBidi" w:hAnsiTheme="minorBidi" w:cstheme="minorBidi"/>
                <w:b/>
                <w:bCs/>
                <w:i/>
                <w:iCs/>
                <w:color w:val="000000"/>
                <w:sz w:val="16"/>
                <w:szCs w:val="16"/>
                <w:lang w:val="en-GB"/>
              </w:rPr>
              <w:t> </w:t>
            </w:r>
          </w:p>
        </w:tc>
        <w:tc>
          <w:tcPr>
            <w:tcW w:w="1275" w:type="dxa"/>
            <w:tcBorders>
              <w:top w:val="nil"/>
              <w:left w:val="single" w:sz="4" w:space="0" w:color="auto"/>
              <w:bottom w:val="single" w:sz="4" w:space="0" w:color="auto"/>
              <w:right w:val="single" w:sz="4" w:space="0" w:color="auto"/>
            </w:tcBorders>
            <w:shd w:val="clear" w:color="000000" w:fill="E7E6E6"/>
            <w:vAlign w:val="center"/>
            <w:hideMark/>
          </w:tcPr>
          <w:p w14:paraId="40A44977" w14:textId="3A0DE333" w:rsidR="002D4711" w:rsidRPr="00490E36" w:rsidRDefault="002D4711" w:rsidP="00C266C5">
            <w:pPr>
              <w:spacing w:before="60" w:after="60"/>
              <w:jc w:val="center"/>
              <w:rPr>
                <w:rFonts w:asciiTheme="minorBidi" w:hAnsiTheme="minorBidi" w:cstheme="minorBidi"/>
                <w:i/>
                <w:iCs/>
                <w:sz w:val="16"/>
                <w:szCs w:val="16"/>
                <w:lang w:val="en-GB"/>
              </w:rPr>
            </w:pPr>
            <w:r w:rsidRPr="00490E36">
              <w:rPr>
                <w:rFonts w:asciiTheme="minorBidi" w:hAnsiTheme="minorBidi" w:cstheme="minorBidi"/>
                <w:i/>
                <w:iCs/>
                <w:sz w:val="16"/>
                <w:szCs w:val="16"/>
                <w:lang w:val="en-GB"/>
              </w:rPr>
              <w:t>4.7%</w:t>
            </w:r>
          </w:p>
        </w:tc>
        <w:tc>
          <w:tcPr>
            <w:tcW w:w="1276" w:type="dxa"/>
            <w:tcBorders>
              <w:top w:val="single" w:sz="8" w:space="0" w:color="auto"/>
              <w:left w:val="nil"/>
              <w:bottom w:val="single" w:sz="8" w:space="0" w:color="auto"/>
              <w:right w:val="dashed" w:sz="4" w:space="0" w:color="auto"/>
            </w:tcBorders>
            <w:shd w:val="clear" w:color="000000" w:fill="E7E6E6"/>
            <w:vAlign w:val="center"/>
            <w:hideMark/>
          </w:tcPr>
          <w:p w14:paraId="79A34440" w14:textId="77777777" w:rsidR="002D4711" w:rsidRPr="00490E36" w:rsidRDefault="002D4711" w:rsidP="00C266C5">
            <w:pPr>
              <w:spacing w:before="60" w:after="60"/>
              <w:jc w:val="center"/>
              <w:rPr>
                <w:rFonts w:asciiTheme="minorBidi" w:hAnsiTheme="minorBidi" w:cstheme="minorBidi"/>
                <w:i/>
                <w:iCs/>
                <w:color w:val="000000"/>
                <w:sz w:val="16"/>
                <w:szCs w:val="16"/>
                <w:lang w:val="en-GB"/>
              </w:rPr>
            </w:pPr>
            <w:r w:rsidRPr="00490E36">
              <w:rPr>
                <w:rFonts w:asciiTheme="minorBidi" w:hAnsiTheme="minorBidi" w:cstheme="minorBidi"/>
                <w:i/>
                <w:iCs/>
                <w:color w:val="000000"/>
                <w:sz w:val="16"/>
                <w:szCs w:val="16"/>
                <w:lang w:val="en-GB"/>
              </w:rPr>
              <w:t>5.4%</w:t>
            </w:r>
          </w:p>
        </w:tc>
      </w:tr>
      <w:tr w:rsidR="002D4711" w:rsidRPr="00E64197" w14:paraId="732F8E1A" w14:textId="77777777" w:rsidTr="00C266C5">
        <w:trPr>
          <w:trHeight w:val="60"/>
        </w:trPr>
        <w:tc>
          <w:tcPr>
            <w:tcW w:w="416" w:type="dxa"/>
            <w:tcBorders>
              <w:top w:val="nil"/>
              <w:left w:val="single" w:sz="8" w:space="0" w:color="auto"/>
              <w:bottom w:val="single" w:sz="8" w:space="0" w:color="auto"/>
              <w:right w:val="single" w:sz="8" w:space="0" w:color="auto"/>
            </w:tcBorders>
            <w:shd w:val="clear" w:color="000000" w:fill="E7E6E6"/>
            <w:noWrap/>
            <w:vAlign w:val="center"/>
            <w:hideMark/>
          </w:tcPr>
          <w:p w14:paraId="1341118B" w14:textId="77777777" w:rsidR="002D4711" w:rsidRPr="00490E36" w:rsidRDefault="002D4711" w:rsidP="00C266C5">
            <w:pPr>
              <w:spacing w:before="60" w:after="60"/>
              <w:ind w:firstLineChars="100" w:firstLine="180"/>
              <w:rPr>
                <w:rFonts w:asciiTheme="minorBidi" w:hAnsiTheme="minorBidi" w:cstheme="minorBidi"/>
                <w:i/>
                <w:iCs/>
                <w:color w:val="000000"/>
                <w:sz w:val="18"/>
                <w:szCs w:val="18"/>
                <w:lang w:val="en-GB"/>
              </w:rPr>
            </w:pPr>
            <w:r w:rsidRPr="00490E36">
              <w:rPr>
                <w:rFonts w:asciiTheme="minorBidi" w:hAnsiTheme="minorBidi" w:cstheme="minorBidi"/>
                <w:i/>
                <w:iCs/>
                <w:color w:val="000000"/>
                <w:sz w:val="18"/>
                <w:szCs w:val="18"/>
                <w:lang w:val="en-GB"/>
              </w:rPr>
              <w:t> </w:t>
            </w:r>
          </w:p>
        </w:tc>
        <w:tc>
          <w:tcPr>
            <w:tcW w:w="6804" w:type="dxa"/>
            <w:vMerge/>
            <w:tcBorders>
              <w:left w:val="nil"/>
              <w:bottom w:val="single" w:sz="8" w:space="0" w:color="auto"/>
              <w:right w:val="nil"/>
            </w:tcBorders>
            <w:shd w:val="clear" w:color="000000" w:fill="E7E6E6"/>
            <w:hideMark/>
          </w:tcPr>
          <w:p w14:paraId="424ABB7E" w14:textId="70C943E8" w:rsidR="002D4711" w:rsidRPr="00490E36" w:rsidRDefault="002D4711" w:rsidP="00C266C5">
            <w:pPr>
              <w:spacing w:before="60" w:after="60"/>
              <w:ind w:firstLineChars="100" w:firstLine="161"/>
              <w:rPr>
                <w:rFonts w:asciiTheme="minorBidi" w:hAnsiTheme="minorBidi" w:cstheme="minorBidi"/>
                <w:b/>
                <w:bCs/>
                <w:i/>
                <w:iCs/>
                <w:color w:val="000000"/>
                <w:sz w:val="16"/>
                <w:szCs w:val="16"/>
                <w:lang w:val="en-GB"/>
              </w:rPr>
            </w:pPr>
          </w:p>
        </w:tc>
        <w:tc>
          <w:tcPr>
            <w:tcW w:w="1275" w:type="dxa"/>
            <w:tcBorders>
              <w:top w:val="nil"/>
              <w:left w:val="single" w:sz="4" w:space="0" w:color="auto"/>
              <w:bottom w:val="single" w:sz="4" w:space="0" w:color="auto"/>
              <w:right w:val="single" w:sz="4" w:space="0" w:color="auto"/>
            </w:tcBorders>
            <w:shd w:val="clear" w:color="000000" w:fill="E7E6E6"/>
            <w:vAlign w:val="center"/>
            <w:hideMark/>
          </w:tcPr>
          <w:p w14:paraId="48079AE1" w14:textId="77777777" w:rsidR="002D4711" w:rsidRPr="00490E36" w:rsidRDefault="002D4711" w:rsidP="00C266C5">
            <w:pPr>
              <w:spacing w:before="60" w:after="60"/>
              <w:jc w:val="center"/>
              <w:rPr>
                <w:rFonts w:asciiTheme="minorBidi" w:hAnsiTheme="minorBidi" w:cstheme="minorBidi"/>
                <w:i/>
                <w:iCs/>
                <w:sz w:val="16"/>
                <w:szCs w:val="16"/>
                <w:lang w:val="en-GB"/>
              </w:rPr>
            </w:pPr>
            <w:r w:rsidRPr="00490E36">
              <w:rPr>
                <w:rFonts w:asciiTheme="minorBidi" w:hAnsiTheme="minorBidi" w:cstheme="minorBidi"/>
                <w:i/>
                <w:iCs/>
                <w:sz w:val="16"/>
                <w:szCs w:val="16"/>
                <w:lang w:val="en-GB"/>
              </w:rPr>
              <w:t>(23% of line 3)</w:t>
            </w:r>
          </w:p>
        </w:tc>
        <w:tc>
          <w:tcPr>
            <w:tcW w:w="1276" w:type="dxa"/>
            <w:tcBorders>
              <w:top w:val="single" w:sz="8" w:space="0" w:color="auto"/>
              <w:left w:val="nil"/>
              <w:bottom w:val="dashed" w:sz="4" w:space="0" w:color="auto"/>
              <w:right w:val="dashed" w:sz="4" w:space="0" w:color="auto"/>
            </w:tcBorders>
            <w:shd w:val="clear" w:color="000000" w:fill="E7E6E6"/>
            <w:vAlign w:val="center"/>
            <w:hideMark/>
          </w:tcPr>
          <w:p w14:paraId="66CD75DD" w14:textId="77777777" w:rsidR="002D4711" w:rsidRPr="00490E36" w:rsidRDefault="002D4711" w:rsidP="00C266C5">
            <w:pPr>
              <w:spacing w:before="60" w:after="60"/>
              <w:jc w:val="center"/>
              <w:rPr>
                <w:rFonts w:asciiTheme="minorBidi" w:hAnsiTheme="minorBidi" w:cstheme="minorBidi"/>
                <w:i/>
                <w:iCs/>
                <w:color w:val="000000"/>
                <w:sz w:val="16"/>
                <w:szCs w:val="16"/>
                <w:lang w:val="en-GB"/>
              </w:rPr>
            </w:pPr>
            <w:r w:rsidRPr="00490E36">
              <w:rPr>
                <w:rFonts w:asciiTheme="minorBidi" w:hAnsiTheme="minorBidi" w:cstheme="minorBidi"/>
                <w:i/>
                <w:iCs/>
                <w:color w:val="000000"/>
                <w:sz w:val="16"/>
                <w:szCs w:val="16"/>
                <w:lang w:val="en-GB"/>
              </w:rPr>
              <w:t>(27% of line 3)</w:t>
            </w:r>
          </w:p>
        </w:tc>
      </w:tr>
      <w:tr w:rsidR="00922C41" w:rsidRPr="00E64197" w14:paraId="0AE9BE03" w14:textId="77777777" w:rsidTr="00C266C5">
        <w:trPr>
          <w:trHeight w:val="472"/>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026B6E17" w14:textId="77777777" w:rsidR="00922C41" w:rsidRPr="00490E36" w:rsidRDefault="00922C41" w:rsidP="00C266C5">
            <w:pPr>
              <w:spacing w:before="60" w:after="60"/>
              <w:rPr>
                <w:rFonts w:asciiTheme="minorBidi" w:hAnsiTheme="minorBidi" w:cstheme="minorBidi"/>
                <w:color w:val="000000"/>
                <w:sz w:val="18"/>
                <w:szCs w:val="18"/>
                <w:lang w:val="en-GB"/>
              </w:rPr>
            </w:pPr>
            <w:r w:rsidRPr="00490E36">
              <w:rPr>
                <w:rFonts w:asciiTheme="minorBidi" w:hAnsiTheme="minorBidi" w:cstheme="minorBidi"/>
                <w:color w:val="000000"/>
                <w:sz w:val="18"/>
                <w:szCs w:val="18"/>
                <w:lang w:val="en-GB"/>
              </w:rPr>
              <w:t>4.</w:t>
            </w:r>
          </w:p>
        </w:tc>
        <w:tc>
          <w:tcPr>
            <w:tcW w:w="6804" w:type="dxa"/>
            <w:tcBorders>
              <w:top w:val="nil"/>
              <w:left w:val="nil"/>
              <w:bottom w:val="single" w:sz="8" w:space="0" w:color="auto"/>
              <w:right w:val="nil"/>
            </w:tcBorders>
            <w:shd w:val="clear" w:color="auto" w:fill="auto"/>
            <w:vAlign w:val="center"/>
            <w:hideMark/>
          </w:tcPr>
          <w:p w14:paraId="6E6B1888" w14:textId="77777777" w:rsidR="00922C41" w:rsidRPr="00490E36" w:rsidRDefault="00922C41" w:rsidP="00C266C5">
            <w:pPr>
              <w:spacing w:before="60" w:after="60"/>
              <w:rPr>
                <w:rFonts w:asciiTheme="minorBidi" w:hAnsiTheme="minorBidi" w:cstheme="minorBidi"/>
                <w:color w:val="000000"/>
                <w:sz w:val="18"/>
                <w:szCs w:val="18"/>
                <w:lang w:val="en-GB"/>
              </w:rPr>
            </w:pPr>
            <w:r w:rsidRPr="00490E36">
              <w:rPr>
                <w:rFonts w:asciiTheme="minorBidi" w:hAnsiTheme="minorBidi" w:cstheme="minorBidi"/>
                <w:color w:val="000000"/>
                <w:sz w:val="18"/>
                <w:szCs w:val="18"/>
                <w:lang w:val="en-GB"/>
              </w:rPr>
              <w:t>Participation in the sessions of the Committee, its Bureau and subsidiary bodies of experts in intangible cultural heritage representing developing States that are Members of the Committee;</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1D9911BF" w14:textId="60058F4A" w:rsidR="00922C41" w:rsidRPr="00490E36" w:rsidRDefault="002D4711" w:rsidP="00C266C5">
            <w:pPr>
              <w:spacing w:before="60" w:after="60"/>
              <w:jc w:val="center"/>
              <w:rPr>
                <w:rFonts w:asciiTheme="minorBidi" w:hAnsiTheme="minorBidi" w:cstheme="minorBidi"/>
                <w:sz w:val="18"/>
                <w:szCs w:val="18"/>
                <w:lang w:val="en-GB"/>
              </w:rPr>
            </w:pPr>
            <w:r w:rsidRPr="00490E36">
              <w:rPr>
                <w:rFonts w:asciiTheme="minorBidi" w:hAnsiTheme="minorBidi" w:cstheme="minorBidi"/>
                <w:sz w:val="18"/>
                <w:szCs w:val="18"/>
                <w:lang w:val="en-GB"/>
              </w:rPr>
              <w:t>3.</w:t>
            </w:r>
            <w:r w:rsidR="00E316DB" w:rsidRPr="00490E36">
              <w:rPr>
                <w:rFonts w:asciiTheme="minorBidi" w:hAnsiTheme="minorBidi" w:cstheme="minorBidi"/>
                <w:sz w:val="18"/>
                <w:szCs w:val="18"/>
                <w:lang w:val="en-GB"/>
              </w:rPr>
              <w:t>1</w:t>
            </w:r>
            <w:r w:rsidR="00922C41" w:rsidRPr="00490E36">
              <w:rPr>
                <w:rFonts w:asciiTheme="minorBidi" w:hAnsiTheme="minorBidi" w:cstheme="minorBidi"/>
                <w:sz w:val="18"/>
                <w:szCs w:val="18"/>
                <w:lang w:val="en-GB"/>
              </w:rPr>
              <w:t>%</w:t>
            </w:r>
          </w:p>
        </w:tc>
        <w:tc>
          <w:tcPr>
            <w:tcW w:w="1276" w:type="dxa"/>
            <w:tcBorders>
              <w:top w:val="dashed" w:sz="4" w:space="0" w:color="auto"/>
              <w:left w:val="nil"/>
              <w:bottom w:val="dashed" w:sz="4" w:space="0" w:color="auto"/>
              <w:right w:val="dashed" w:sz="4" w:space="0" w:color="auto"/>
            </w:tcBorders>
            <w:shd w:val="clear" w:color="auto" w:fill="auto"/>
            <w:vAlign w:val="center"/>
            <w:hideMark/>
          </w:tcPr>
          <w:p w14:paraId="144A8C01" w14:textId="41751E75" w:rsidR="00922C41" w:rsidRPr="00490E36" w:rsidRDefault="00922C41" w:rsidP="00C266C5">
            <w:pPr>
              <w:spacing w:before="60" w:after="60"/>
              <w:jc w:val="center"/>
              <w:rPr>
                <w:rFonts w:asciiTheme="minorBidi" w:hAnsiTheme="minorBidi" w:cstheme="minorBidi"/>
                <w:color w:val="000000"/>
                <w:sz w:val="18"/>
                <w:szCs w:val="18"/>
                <w:lang w:val="en-GB"/>
              </w:rPr>
            </w:pPr>
            <w:r w:rsidRPr="00490E36">
              <w:rPr>
                <w:rFonts w:asciiTheme="minorBidi" w:hAnsiTheme="minorBidi" w:cstheme="minorBidi"/>
                <w:color w:val="000000"/>
                <w:sz w:val="18"/>
                <w:szCs w:val="18"/>
                <w:lang w:val="en-GB"/>
              </w:rPr>
              <w:t>2</w:t>
            </w:r>
            <w:r w:rsidR="00E70D08" w:rsidRPr="00490E36">
              <w:rPr>
                <w:rFonts w:asciiTheme="minorBidi" w:hAnsiTheme="minorBidi" w:cstheme="minorBidi"/>
                <w:color w:val="000000"/>
                <w:sz w:val="18"/>
                <w:szCs w:val="18"/>
                <w:lang w:val="en-GB"/>
              </w:rPr>
              <w:t>.</w:t>
            </w:r>
            <w:r w:rsidRPr="00490E36">
              <w:rPr>
                <w:rFonts w:asciiTheme="minorBidi" w:hAnsiTheme="minorBidi" w:cstheme="minorBidi"/>
                <w:color w:val="000000"/>
                <w:sz w:val="18"/>
                <w:szCs w:val="18"/>
                <w:lang w:val="en-GB"/>
              </w:rPr>
              <w:t>63%</w:t>
            </w:r>
          </w:p>
        </w:tc>
      </w:tr>
      <w:tr w:rsidR="00922C41" w:rsidRPr="00E64197" w14:paraId="1BEFADDA" w14:textId="77777777" w:rsidTr="00C266C5">
        <w:trPr>
          <w:trHeight w:val="426"/>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442B1CAE" w14:textId="77777777" w:rsidR="00922C41" w:rsidRPr="00490E36" w:rsidRDefault="00922C41" w:rsidP="00C266C5">
            <w:pPr>
              <w:spacing w:before="60" w:after="60"/>
              <w:rPr>
                <w:rFonts w:asciiTheme="minorBidi" w:hAnsiTheme="minorBidi" w:cstheme="minorBidi"/>
                <w:color w:val="000000"/>
                <w:sz w:val="18"/>
                <w:szCs w:val="18"/>
                <w:lang w:val="en-GB"/>
              </w:rPr>
            </w:pPr>
            <w:r w:rsidRPr="00490E36">
              <w:rPr>
                <w:rFonts w:asciiTheme="minorBidi" w:hAnsiTheme="minorBidi" w:cstheme="minorBidi"/>
                <w:color w:val="000000"/>
                <w:sz w:val="18"/>
                <w:szCs w:val="18"/>
                <w:lang w:val="en-GB"/>
              </w:rPr>
              <w:t>5.</w:t>
            </w:r>
          </w:p>
        </w:tc>
        <w:tc>
          <w:tcPr>
            <w:tcW w:w="6804" w:type="dxa"/>
            <w:tcBorders>
              <w:top w:val="nil"/>
              <w:left w:val="nil"/>
              <w:bottom w:val="single" w:sz="8" w:space="0" w:color="auto"/>
              <w:right w:val="nil"/>
            </w:tcBorders>
            <w:shd w:val="clear" w:color="auto" w:fill="auto"/>
            <w:vAlign w:val="center"/>
            <w:hideMark/>
          </w:tcPr>
          <w:p w14:paraId="44F823C4" w14:textId="77777777" w:rsidR="00922C41" w:rsidRPr="00490E36" w:rsidRDefault="00922C41" w:rsidP="00C266C5">
            <w:pPr>
              <w:spacing w:before="60" w:after="60"/>
              <w:rPr>
                <w:rFonts w:asciiTheme="minorBidi" w:hAnsiTheme="minorBidi" w:cstheme="minorBidi"/>
                <w:color w:val="000000"/>
                <w:sz w:val="18"/>
                <w:szCs w:val="18"/>
                <w:lang w:val="en-GB"/>
              </w:rPr>
            </w:pPr>
            <w:r w:rsidRPr="00490E36">
              <w:rPr>
                <w:rFonts w:asciiTheme="minorBidi" w:hAnsiTheme="minorBidi" w:cstheme="minorBidi"/>
                <w:color w:val="000000"/>
                <w:sz w:val="18"/>
                <w:szCs w:val="18"/>
                <w:lang w:val="en-GB"/>
              </w:rPr>
              <w:t>Participation in the sessions of the Committee and its consultative bodies of experts in intangible cultural heritage representing developing States that are Parties to the Convention but not Members of the Committee;</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7E80E6E6" w14:textId="09C358C8" w:rsidR="00922C41" w:rsidRPr="00490E36" w:rsidRDefault="00922C41" w:rsidP="00C266C5">
            <w:pPr>
              <w:spacing w:before="60" w:after="60"/>
              <w:jc w:val="center"/>
              <w:rPr>
                <w:rFonts w:asciiTheme="minorBidi" w:hAnsiTheme="minorBidi" w:cstheme="minorBidi"/>
                <w:sz w:val="18"/>
                <w:szCs w:val="18"/>
                <w:lang w:val="en-GB"/>
              </w:rPr>
            </w:pPr>
            <w:r w:rsidRPr="00490E36">
              <w:rPr>
                <w:rFonts w:asciiTheme="minorBidi" w:hAnsiTheme="minorBidi" w:cstheme="minorBidi"/>
                <w:sz w:val="18"/>
                <w:szCs w:val="18"/>
                <w:lang w:val="en-GB"/>
              </w:rPr>
              <w:t>3</w:t>
            </w:r>
            <w:r w:rsidR="002D4711" w:rsidRPr="00490E36">
              <w:rPr>
                <w:rFonts w:asciiTheme="minorBidi" w:hAnsiTheme="minorBidi" w:cstheme="minorBidi"/>
                <w:sz w:val="18"/>
                <w:szCs w:val="18"/>
                <w:lang w:val="en-GB"/>
              </w:rPr>
              <w:t>.</w:t>
            </w:r>
            <w:r w:rsidRPr="00490E36">
              <w:rPr>
                <w:rFonts w:asciiTheme="minorBidi" w:hAnsiTheme="minorBidi" w:cstheme="minorBidi"/>
                <w:sz w:val="18"/>
                <w:szCs w:val="18"/>
                <w:lang w:val="en-GB"/>
              </w:rPr>
              <w:t>3%</w:t>
            </w:r>
          </w:p>
        </w:tc>
        <w:tc>
          <w:tcPr>
            <w:tcW w:w="1276" w:type="dxa"/>
            <w:tcBorders>
              <w:top w:val="nil"/>
              <w:left w:val="nil"/>
              <w:bottom w:val="dashed" w:sz="4" w:space="0" w:color="auto"/>
              <w:right w:val="dashed" w:sz="4" w:space="0" w:color="auto"/>
            </w:tcBorders>
            <w:shd w:val="clear" w:color="auto" w:fill="auto"/>
            <w:vAlign w:val="center"/>
            <w:hideMark/>
          </w:tcPr>
          <w:p w14:paraId="3226F772" w14:textId="451E3742" w:rsidR="00922C41" w:rsidRPr="00490E36" w:rsidRDefault="00922C41" w:rsidP="00C266C5">
            <w:pPr>
              <w:spacing w:before="60" w:after="60"/>
              <w:jc w:val="center"/>
              <w:rPr>
                <w:rFonts w:asciiTheme="minorBidi" w:hAnsiTheme="minorBidi" w:cstheme="minorBidi"/>
                <w:color w:val="000000"/>
                <w:sz w:val="18"/>
                <w:szCs w:val="18"/>
                <w:lang w:val="en-GB"/>
              </w:rPr>
            </w:pPr>
            <w:r w:rsidRPr="00490E36">
              <w:rPr>
                <w:rFonts w:asciiTheme="minorBidi" w:hAnsiTheme="minorBidi" w:cstheme="minorBidi"/>
                <w:color w:val="000000"/>
                <w:sz w:val="18"/>
                <w:szCs w:val="18"/>
                <w:lang w:val="en-GB"/>
              </w:rPr>
              <w:t>3</w:t>
            </w:r>
            <w:r w:rsidR="00E70D08" w:rsidRPr="00490E36">
              <w:rPr>
                <w:rFonts w:asciiTheme="minorBidi" w:hAnsiTheme="minorBidi" w:cstheme="minorBidi"/>
                <w:color w:val="000000"/>
                <w:sz w:val="18"/>
                <w:szCs w:val="18"/>
                <w:lang w:val="en-GB"/>
              </w:rPr>
              <w:t>.</w:t>
            </w:r>
            <w:r w:rsidRPr="00490E36">
              <w:rPr>
                <w:rFonts w:asciiTheme="minorBidi" w:hAnsiTheme="minorBidi" w:cstheme="minorBidi"/>
                <w:color w:val="000000"/>
                <w:sz w:val="18"/>
                <w:szCs w:val="18"/>
                <w:lang w:val="en-GB"/>
              </w:rPr>
              <w:t>31%</w:t>
            </w:r>
          </w:p>
        </w:tc>
      </w:tr>
      <w:tr w:rsidR="00922C41" w:rsidRPr="00E64197" w14:paraId="079EDAB1" w14:textId="77777777" w:rsidTr="00C266C5">
        <w:trPr>
          <w:trHeight w:val="806"/>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54ED4B14" w14:textId="77777777" w:rsidR="00922C41" w:rsidRPr="00490E36" w:rsidRDefault="00922C41" w:rsidP="00C266C5">
            <w:pPr>
              <w:spacing w:before="60" w:after="60"/>
              <w:rPr>
                <w:rFonts w:asciiTheme="minorBidi" w:hAnsiTheme="minorBidi" w:cstheme="minorBidi"/>
                <w:color w:val="000000"/>
                <w:sz w:val="18"/>
                <w:szCs w:val="18"/>
                <w:lang w:val="en-GB"/>
              </w:rPr>
            </w:pPr>
            <w:r w:rsidRPr="00490E36">
              <w:rPr>
                <w:rFonts w:asciiTheme="minorBidi" w:hAnsiTheme="minorBidi" w:cstheme="minorBidi"/>
                <w:color w:val="000000"/>
                <w:sz w:val="18"/>
                <w:szCs w:val="18"/>
                <w:lang w:val="en-GB"/>
              </w:rPr>
              <w:t>6.</w:t>
            </w:r>
          </w:p>
        </w:tc>
        <w:tc>
          <w:tcPr>
            <w:tcW w:w="6804" w:type="dxa"/>
            <w:tcBorders>
              <w:top w:val="nil"/>
              <w:left w:val="nil"/>
              <w:bottom w:val="single" w:sz="8" w:space="0" w:color="auto"/>
              <w:right w:val="nil"/>
            </w:tcBorders>
            <w:shd w:val="clear" w:color="auto" w:fill="auto"/>
            <w:vAlign w:val="center"/>
            <w:hideMark/>
          </w:tcPr>
          <w:p w14:paraId="2E6611AA" w14:textId="77777777" w:rsidR="00922C41" w:rsidRPr="00490E36" w:rsidRDefault="00922C41" w:rsidP="00C266C5">
            <w:pPr>
              <w:spacing w:before="60" w:after="60"/>
              <w:rPr>
                <w:rFonts w:asciiTheme="minorBidi" w:hAnsiTheme="minorBidi" w:cstheme="minorBidi"/>
                <w:color w:val="000000"/>
                <w:sz w:val="18"/>
                <w:szCs w:val="18"/>
                <w:lang w:val="en-GB"/>
              </w:rPr>
            </w:pPr>
            <w:r w:rsidRPr="00490E36">
              <w:rPr>
                <w:rFonts w:asciiTheme="minorBidi" w:hAnsiTheme="minorBidi" w:cstheme="minorBidi"/>
                <w:color w:val="000000"/>
                <w:sz w:val="18"/>
                <w:szCs w:val="18"/>
                <w:lang w:val="en-GB"/>
              </w:rPr>
              <w:t>Participation in the sessions of the Committee, its Bureau and consultative bodies of public or private bodies, private persons, notably members of communities and groups, that have been invited by the Committee to advise it on specific matters, as well as experts in intangible cultural heritage representing accredited NGOs from developing countries;</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1CC0609B" w14:textId="5B04EBEB" w:rsidR="00922C41" w:rsidRPr="00490E36" w:rsidRDefault="00922C41" w:rsidP="00C266C5">
            <w:pPr>
              <w:spacing w:before="60" w:after="60"/>
              <w:jc w:val="center"/>
              <w:rPr>
                <w:rFonts w:asciiTheme="minorBidi" w:hAnsiTheme="minorBidi" w:cstheme="minorBidi"/>
                <w:sz w:val="18"/>
                <w:szCs w:val="18"/>
                <w:lang w:val="en-GB"/>
              </w:rPr>
            </w:pPr>
            <w:r w:rsidRPr="00490E36">
              <w:rPr>
                <w:rFonts w:asciiTheme="minorBidi" w:hAnsiTheme="minorBidi" w:cstheme="minorBidi"/>
                <w:sz w:val="18"/>
                <w:szCs w:val="18"/>
                <w:lang w:val="en-GB"/>
              </w:rPr>
              <w:t>3</w:t>
            </w:r>
            <w:r w:rsidR="002D4711" w:rsidRPr="00490E36">
              <w:rPr>
                <w:rFonts w:asciiTheme="minorBidi" w:hAnsiTheme="minorBidi" w:cstheme="minorBidi"/>
                <w:sz w:val="18"/>
                <w:szCs w:val="18"/>
                <w:lang w:val="en-GB"/>
              </w:rPr>
              <w:t>.</w:t>
            </w:r>
            <w:r w:rsidRPr="00490E36">
              <w:rPr>
                <w:rFonts w:asciiTheme="minorBidi" w:hAnsiTheme="minorBidi" w:cstheme="minorBidi"/>
                <w:sz w:val="18"/>
                <w:szCs w:val="18"/>
                <w:lang w:val="en-GB"/>
              </w:rPr>
              <w:t>3%</w:t>
            </w:r>
          </w:p>
        </w:tc>
        <w:tc>
          <w:tcPr>
            <w:tcW w:w="1276" w:type="dxa"/>
            <w:tcBorders>
              <w:top w:val="nil"/>
              <w:left w:val="nil"/>
              <w:bottom w:val="dashed" w:sz="4" w:space="0" w:color="auto"/>
              <w:right w:val="dashed" w:sz="4" w:space="0" w:color="auto"/>
            </w:tcBorders>
            <w:shd w:val="clear" w:color="auto" w:fill="auto"/>
            <w:vAlign w:val="center"/>
            <w:hideMark/>
          </w:tcPr>
          <w:p w14:paraId="1B46D67B" w14:textId="333AC721" w:rsidR="00922C41" w:rsidRPr="00490E36" w:rsidRDefault="00922C41" w:rsidP="00C266C5">
            <w:pPr>
              <w:spacing w:before="60" w:after="60"/>
              <w:jc w:val="center"/>
              <w:rPr>
                <w:rFonts w:asciiTheme="minorBidi" w:hAnsiTheme="minorBidi" w:cstheme="minorBidi"/>
                <w:color w:val="000000"/>
                <w:sz w:val="18"/>
                <w:szCs w:val="18"/>
                <w:lang w:val="en-GB"/>
              </w:rPr>
            </w:pPr>
            <w:r w:rsidRPr="00490E36">
              <w:rPr>
                <w:rFonts w:asciiTheme="minorBidi" w:hAnsiTheme="minorBidi" w:cstheme="minorBidi"/>
                <w:color w:val="000000"/>
                <w:sz w:val="18"/>
                <w:szCs w:val="18"/>
                <w:lang w:val="en-GB"/>
              </w:rPr>
              <w:t>3</w:t>
            </w:r>
            <w:r w:rsidR="00E70D08" w:rsidRPr="00490E36">
              <w:rPr>
                <w:rFonts w:asciiTheme="minorBidi" w:hAnsiTheme="minorBidi" w:cstheme="minorBidi"/>
                <w:color w:val="000000"/>
                <w:sz w:val="18"/>
                <w:szCs w:val="18"/>
                <w:lang w:val="en-GB"/>
              </w:rPr>
              <w:t>.</w:t>
            </w:r>
            <w:r w:rsidRPr="00490E36">
              <w:rPr>
                <w:rFonts w:asciiTheme="minorBidi" w:hAnsiTheme="minorBidi" w:cstheme="minorBidi"/>
                <w:color w:val="000000"/>
                <w:sz w:val="18"/>
                <w:szCs w:val="18"/>
                <w:lang w:val="en-GB"/>
              </w:rPr>
              <w:t>31%</w:t>
            </w:r>
          </w:p>
        </w:tc>
      </w:tr>
      <w:tr w:rsidR="00414C93" w:rsidRPr="00E64197" w14:paraId="37C482CB" w14:textId="77777777" w:rsidTr="00C266C5">
        <w:trPr>
          <w:trHeight w:val="894"/>
        </w:trPr>
        <w:tc>
          <w:tcPr>
            <w:tcW w:w="416" w:type="dxa"/>
            <w:tcBorders>
              <w:top w:val="nil"/>
              <w:left w:val="single" w:sz="8" w:space="0" w:color="auto"/>
              <w:bottom w:val="single" w:sz="8" w:space="0" w:color="auto"/>
              <w:right w:val="single" w:sz="8" w:space="0" w:color="auto"/>
            </w:tcBorders>
            <w:shd w:val="clear" w:color="000000" w:fill="FFFFFF"/>
            <w:noWrap/>
            <w:vAlign w:val="center"/>
            <w:hideMark/>
          </w:tcPr>
          <w:p w14:paraId="74388001" w14:textId="77777777" w:rsidR="00922C41" w:rsidRPr="00490E36" w:rsidRDefault="00922C41" w:rsidP="00C266C5">
            <w:pPr>
              <w:spacing w:before="60" w:after="60"/>
              <w:rPr>
                <w:rFonts w:asciiTheme="minorBidi" w:hAnsiTheme="minorBidi" w:cstheme="minorBidi"/>
                <w:color w:val="000000"/>
                <w:sz w:val="18"/>
                <w:szCs w:val="18"/>
                <w:lang w:val="en-GB"/>
              </w:rPr>
            </w:pPr>
            <w:r w:rsidRPr="00490E36">
              <w:rPr>
                <w:rFonts w:asciiTheme="minorBidi" w:hAnsiTheme="minorBidi" w:cstheme="minorBidi"/>
                <w:color w:val="000000"/>
                <w:sz w:val="18"/>
                <w:szCs w:val="18"/>
                <w:lang w:val="en-GB"/>
              </w:rPr>
              <w:t>7.</w:t>
            </w:r>
          </w:p>
        </w:tc>
        <w:tc>
          <w:tcPr>
            <w:tcW w:w="6804" w:type="dxa"/>
            <w:tcBorders>
              <w:top w:val="nil"/>
              <w:left w:val="nil"/>
              <w:bottom w:val="single" w:sz="8" w:space="0" w:color="auto"/>
              <w:right w:val="nil"/>
            </w:tcBorders>
            <w:shd w:val="clear" w:color="000000" w:fill="FFFFFF"/>
            <w:vAlign w:val="center"/>
            <w:hideMark/>
          </w:tcPr>
          <w:p w14:paraId="3693A00C" w14:textId="66DB6E43" w:rsidR="00922C41" w:rsidRPr="00490E36" w:rsidRDefault="00922C41" w:rsidP="00C266C5">
            <w:pPr>
              <w:spacing w:before="60" w:after="60"/>
              <w:rPr>
                <w:rFonts w:asciiTheme="minorBidi" w:hAnsiTheme="minorBidi" w:cstheme="minorBidi"/>
                <w:color w:val="000000"/>
                <w:sz w:val="18"/>
                <w:szCs w:val="18"/>
                <w:lang w:val="en-GB"/>
              </w:rPr>
            </w:pPr>
            <w:r w:rsidRPr="00490E36">
              <w:rPr>
                <w:rFonts w:asciiTheme="minorBidi" w:hAnsiTheme="minorBidi" w:cstheme="minorBidi"/>
                <w:color w:val="000000"/>
                <w:sz w:val="18"/>
                <w:szCs w:val="18"/>
                <w:lang w:val="en-GB"/>
              </w:rPr>
              <w:t>The costs of advisory services to be provided at the request of the Committee, including support to developing States whose representatives have been appointed to the Evaluation Body</w:t>
            </w:r>
            <w:r w:rsidRPr="00490E36">
              <w:rPr>
                <w:rFonts w:asciiTheme="minorBidi" w:hAnsiTheme="minorBidi" w:cstheme="minorBidi"/>
                <w:b/>
                <w:bCs/>
                <w:color w:val="000000"/>
                <w:sz w:val="18"/>
                <w:szCs w:val="18"/>
                <w:lang w:val="en-GB"/>
              </w:rPr>
              <w:t>, the transfer of elements between the Lists and Register of the Convention, the inscription of elements on an extended or reduced basis and the follow-up of elements inscribed on the Lists of the Convention</w:t>
            </w:r>
            <w:r w:rsidR="002D4711" w:rsidRPr="00490E36">
              <w:rPr>
                <w:rFonts w:asciiTheme="minorBidi" w:hAnsiTheme="minorBidi" w:cstheme="minorBidi"/>
                <w:color w:val="000000"/>
                <w:sz w:val="18"/>
                <w:szCs w:val="18"/>
                <w:lang w:val="en-GB"/>
              </w:rPr>
              <w:t>.</w:t>
            </w:r>
          </w:p>
        </w:tc>
        <w:tc>
          <w:tcPr>
            <w:tcW w:w="1275" w:type="dxa"/>
            <w:tcBorders>
              <w:top w:val="nil"/>
              <w:left w:val="single" w:sz="4" w:space="0" w:color="auto"/>
              <w:bottom w:val="single" w:sz="4" w:space="0" w:color="auto"/>
              <w:right w:val="single" w:sz="4" w:space="0" w:color="auto"/>
            </w:tcBorders>
            <w:shd w:val="clear" w:color="000000" w:fill="FFFFFF"/>
            <w:vAlign w:val="center"/>
            <w:hideMark/>
          </w:tcPr>
          <w:p w14:paraId="586FC599" w14:textId="14034EC5" w:rsidR="00922C41" w:rsidRPr="00490E36" w:rsidRDefault="001D0121" w:rsidP="00C266C5">
            <w:pPr>
              <w:spacing w:before="60" w:after="60"/>
              <w:jc w:val="center"/>
              <w:rPr>
                <w:rFonts w:asciiTheme="minorBidi" w:hAnsiTheme="minorBidi" w:cstheme="minorBidi"/>
                <w:sz w:val="18"/>
                <w:szCs w:val="18"/>
                <w:lang w:val="en-GB"/>
              </w:rPr>
            </w:pPr>
            <w:r w:rsidRPr="00490E36">
              <w:rPr>
                <w:rFonts w:asciiTheme="minorBidi" w:hAnsiTheme="minorBidi" w:cstheme="minorBidi"/>
                <w:sz w:val="18"/>
                <w:szCs w:val="18"/>
                <w:lang w:val="en-GB"/>
              </w:rPr>
              <w:t>7.7</w:t>
            </w:r>
            <w:r w:rsidR="00922C41" w:rsidRPr="00490E36">
              <w:rPr>
                <w:rFonts w:asciiTheme="minorBidi" w:hAnsiTheme="minorBidi" w:cstheme="minorBidi"/>
                <w:sz w:val="18"/>
                <w:szCs w:val="18"/>
                <w:lang w:val="en-GB"/>
              </w:rPr>
              <w:t>%</w:t>
            </w:r>
          </w:p>
        </w:tc>
        <w:tc>
          <w:tcPr>
            <w:tcW w:w="1276" w:type="dxa"/>
            <w:tcBorders>
              <w:top w:val="nil"/>
              <w:left w:val="nil"/>
              <w:bottom w:val="dashed" w:sz="4" w:space="0" w:color="auto"/>
              <w:right w:val="dashed" w:sz="4" w:space="0" w:color="auto"/>
            </w:tcBorders>
            <w:shd w:val="clear" w:color="000000" w:fill="FFFFFF"/>
            <w:vAlign w:val="center"/>
            <w:hideMark/>
          </w:tcPr>
          <w:p w14:paraId="52FC653C" w14:textId="70F602E5" w:rsidR="00922C41" w:rsidRPr="00490E36" w:rsidRDefault="00922C41" w:rsidP="00C266C5">
            <w:pPr>
              <w:spacing w:before="60" w:after="60"/>
              <w:jc w:val="center"/>
              <w:rPr>
                <w:rFonts w:asciiTheme="minorBidi" w:hAnsiTheme="minorBidi" w:cstheme="minorBidi"/>
                <w:color w:val="000000"/>
                <w:sz w:val="18"/>
                <w:szCs w:val="18"/>
                <w:lang w:val="en-GB"/>
              </w:rPr>
            </w:pPr>
            <w:r w:rsidRPr="00490E36">
              <w:rPr>
                <w:rFonts w:asciiTheme="minorBidi" w:hAnsiTheme="minorBidi" w:cstheme="minorBidi"/>
                <w:color w:val="000000"/>
                <w:sz w:val="18"/>
                <w:szCs w:val="18"/>
                <w:lang w:val="en-GB"/>
              </w:rPr>
              <w:t>6</w:t>
            </w:r>
            <w:r w:rsidR="00E70D08" w:rsidRPr="00490E36">
              <w:rPr>
                <w:rFonts w:asciiTheme="minorBidi" w:hAnsiTheme="minorBidi" w:cstheme="minorBidi"/>
                <w:color w:val="000000"/>
                <w:sz w:val="18"/>
                <w:szCs w:val="18"/>
                <w:lang w:val="en-GB"/>
              </w:rPr>
              <w:t>.</w:t>
            </w:r>
            <w:r w:rsidRPr="00490E36">
              <w:rPr>
                <w:rFonts w:asciiTheme="minorBidi" w:hAnsiTheme="minorBidi" w:cstheme="minorBidi"/>
                <w:color w:val="000000"/>
                <w:sz w:val="18"/>
                <w:szCs w:val="18"/>
                <w:lang w:val="en-GB"/>
              </w:rPr>
              <w:t>00%</w:t>
            </w:r>
          </w:p>
        </w:tc>
      </w:tr>
      <w:tr w:rsidR="00414C93" w:rsidRPr="00E64197" w14:paraId="0547C535" w14:textId="77777777" w:rsidTr="00C266C5">
        <w:trPr>
          <w:trHeight w:val="315"/>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08DA70FA" w14:textId="77777777" w:rsidR="00922C41" w:rsidRPr="00490E36" w:rsidRDefault="00922C41" w:rsidP="00C266C5">
            <w:pPr>
              <w:spacing w:before="60" w:after="60"/>
              <w:ind w:firstLineChars="100" w:firstLine="181"/>
              <w:rPr>
                <w:rFonts w:asciiTheme="minorBidi" w:hAnsiTheme="minorBidi" w:cstheme="minorBidi"/>
                <w:b/>
                <w:bCs/>
                <w:color w:val="000000"/>
                <w:sz w:val="18"/>
                <w:szCs w:val="18"/>
                <w:lang w:val="en-GB"/>
              </w:rPr>
            </w:pPr>
            <w:r w:rsidRPr="00490E36">
              <w:rPr>
                <w:rFonts w:asciiTheme="minorBidi" w:hAnsiTheme="minorBidi" w:cstheme="minorBidi"/>
                <w:b/>
                <w:bCs/>
                <w:color w:val="000000"/>
                <w:sz w:val="18"/>
                <w:szCs w:val="18"/>
                <w:lang w:val="en-GB"/>
              </w:rPr>
              <w:t> </w:t>
            </w:r>
          </w:p>
        </w:tc>
        <w:tc>
          <w:tcPr>
            <w:tcW w:w="6804" w:type="dxa"/>
            <w:tcBorders>
              <w:top w:val="nil"/>
              <w:left w:val="nil"/>
              <w:bottom w:val="single" w:sz="8" w:space="0" w:color="auto"/>
              <w:right w:val="nil"/>
            </w:tcBorders>
            <w:shd w:val="clear" w:color="auto" w:fill="auto"/>
            <w:vAlign w:val="center"/>
            <w:hideMark/>
          </w:tcPr>
          <w:p w14:paraId="3F2CE862" w14:textId="77777777" w:rsidR="00922C41" w:rsidRPr="00490E36" w:rsidRDefault="00922C41" w:rsidP="00C266C5">
            <w:pPr>
              <w:spacing w:before="60" w:after="60"/>
              <w:jc w:val="both"/>
              <w:rPr>
                <w:rFonts w:asciiTheme="minorBidi" w:hAnsiTheme="minorBidi" w:cstheme="minorBidi"/>
                <w:b/>
                <w:bCs/>
                <w:color w:val="000000"/>
                <w:sz w:val="18"/>
                <w:szCs w:val="18"/>
                <w:lang w:val="en-GB"/>
              </w:rPr>
            </w:pPr>
            <w:r w:rsidRPr="00490E36">
              <w:rPr>
                <w:rFonts w:asciiTheme="minorBidi" w:hAnsiTheme="minorBidi" w:cstheme="minorBidi"/>
                <w:b/>
                <w:bCs/>
                <w:color w:val="000000"/>
                <w:sz w:val="18"/>
                <w:szCs w:val="18"/>
                <w:lang w:val="en-GB"/>
              </w:rPr>
              <w:t>TOTAL</w:t>
            </w:r>
          </w:p>
        </w:tc>
        <w:tc>
          <w:tcPr>
            <w:tcW w:w="1275" w:type="dxa"/>
            <w:tcBorders>
              <w:top w:val="nil"/>
              <w:left w:val="single" w:sz="4" w:space="0" w:color="auto"/>
              <w:bottom w:val="single" w:sz="8" w:space="0" w:color="auto"/>
              <w:right w:val="single" w:sz="4" w:space="0" w:color="auto"/>
            </w:tcBorders>
            <w:shd w:val="clear" w:color="auto" w:fill="auto"/>
            <w:vAlign w:val="center"/>
            <w:hideMark/>
          </w:tcPr>
          <w:p w14:paraId="38DBCEF8" w14:textId="77777777" w:rsidR="00922C41" w:rsidRPr="00490E36" w:rsidRDefault="00922C41" w:rsidP="00C266C5">
            <w:pPr>
              <w:spacing w:before="60" w:after="60"/>
              <w:jc w:val="center"/>
              <w:rPr>
                <w:rFonts w:asciiTheme="minorBidi" w:hAnsiTheme="minorBidi" w:cstheme="minorBidi"/>
                <w:b/>
                <w:bCs/>
                <w:sz w:val="18"/>
                <w:szCs w:val="18"/>
                <w:lang w:val="en-GB"/>
              </w:rPr>
            </w:pPr>
            <w:r w:rsidRPr="00490E36">
              <w:rPr>
                <w:rFonts w:asciiTheme="minorBidi" w:hAnsiTheme="minorBidi" w:cstheme="minorBidi"/>
                <w:b/>
                <w:bCs/>
                <w:sz w:val="18"/>
                <w:szCs w:val="18"/>
                <w:lang w:val="en-GB"/>
              </w:rPr>
              <w:t>100%</w:t>
            </w:r>
          </w:p>
        </w:tc>
        <w:tc>
          <w:tcPr>
            <w:tcW w:w="1276" w:type="dxa"/>
            <w:tcBorders>
              <w:top w:val="dashed" w:sz="4" w:space="0" w:color="auto"/>
              <w:left w:val="nil"/>
              <w:bottom w:val="dashed" w:sz="4" w:space="0" w:color="auto"/>
              <w:right w:val="dashed" w:sz="4" w:space="0" w:color="auto"/>
            </w:tcBorders>
            <w:shd w:val="clear" w:color="auto" w:fill="auto"/>
            <w:vAlign w:val="center"/>
            <w:hideMark/>
          </w:tcPr>
          <w:p w14:paraId="639FD1FD" w14:textId="690AC530" w:rsidR="00922C41" w:rsidRPr="00490E36" w:rsidRDefault="00922C41" w:rsidP="00C266C5">
            <w:pPr>
              <w:spacing w:before="60" w:after="60"/>
              <w:jc w:val="center"/>
              <w:rPr>
                <w:rFonts w:asciiTheme="minorBidi" w:hAnsiTheme="minorBidi" w:cstheme="minorBidi"/>
                <w:b/>
                <w:bCs/>
                <w:color w:val="000000"/>
                <w:sz w:val="18"/>
                <w:szCs w:val="18"/>
                <w:lang w:val="en-GB"/>
              </w:rPr>
            </w:pPr>
            <w:r w:rsidRPr="00490E36">
              <w:rPr>
                <w:rFonts w:asciiTheme="minorBidi" w:hAnsiTheme="minorBidi" w:cstheme="minorBidi"/>
                <w:b/>
                <w:bCs/>
                <w:color w:val="000000"/>
                <w:sz w:val="18"/>
                <w:szCs w:val="18"/>
                <w:lang w:val="en-GB"/>
              </w:rPr>
              <w:t>100%</w:t>
            </w:r>
          </w:p>
        </w:tc>
      </w:tr>
      <w:tr w:rsidR="00414C93" w:rsidRPr="00FA2BA2" w14:paraId="254B36B5" w14:textId="77777777" w:rsidTr="00C266C5">
        <w:trPr>
          <w:trHeight w:val="750"/>
        </w:trPr>
        <w:tc>
          <w:tcPr>
            <w:tcW w:w="8495" w:type="dxa"/>
            <w:gridSpan w:val="3"/>
            <w:tcBorders>
              <w:top w:val="single" w:sz="8" w:space="0" w:color="auto"/>
              <w:left w:val="single" w:sz="8" w:space="0" w:color="auto"/>
              <w:bottom w:val="single" w:sz="4" w:space="0" w:color="auto"/>
              <w:right w:val="single" w:sz="8" w:space="0" w:color="auto"/>
            </w:tcBorders>
            <w:shd w:val="clear" w:color="auto" w:fill="auto"/>
            <w:vAlign w:val="center"/>
            <w:hideMark/>
          </w:tcPr>
          <w:p w14:paraId="2D65441E" w14:textId="5662395F" w:rsidR="00922C41" w:rsidRPr="00490E36" w:rsidRDefault="002D4711" w:rsidP="00C266C5">
            <w:pPr>
              <w:spacing w:before="60" w:after="60"/>
              <w:jc w:val="both"/>
              <w:rPr>
                <w:rFonts w:asciiTheme="minorBidi" w:hAnsiTheme="minorBidi" w:cstheme="minorBidi"/>
                <w:color w:val="000000"/>
                <w:sz w:val="18"/>
                <w:szCs w:val="18"/>
                <w:lang w:val="en-GB"/>
              </w:rPr>
            </w:pPr>
            <w:r w:rsidRPr="00490E36">
              <w:rPr>
                <w:rFonts w:asciiTheme="minorBidi" w:hAnsiTheme="minorBidi" w:cstheme="minorBidi"/>
                <w:color w:val="000000"/>
                <w:sz w:val="18"/>
                <w:szCs w:val="18"/>
                <w:lang w:val="en-GB"/>
              </w:rPr>
              <w:t>Funds that have not been committed at the end of the period of this Plan are carried over to the next financial period and shall be allocated in accordance with the Plan approved by the General Assembly at that time.</w:t>
            </w:r>
          </w:p>
        </w:tc>
        <w:tc>
          <w:tcPr>
            <w:tcW w:w="1276" w:type="dxa"/>
            <w:tcBorders>
              <w:top w:val="dashed" w:sz="4" w:space="0" w:color="auto"/>
              <w:left w:val="single" w:sz="8" w:space="0" w:color="auto"/>
              <w:right w:val="nil"/>
            </w:tcBorders>
            <w:shd w:val="clear" w:color="auto" w:fill="auto"/>
            <w:noWrap/>
            <w:vAlign w:val="bottom"/>
            <w:hideMark/>
          </w:tcPr>
          <w:p w14:paraId="20F2FFC7" w14:textId="77777777" w:rsidR="00922C41" w:rsidRPr="00490E36" w:rsidRDefault="00922C41" w:rsidP="00C266C5">
            <w:pPr>
              <w:spacing w:before="60" w:after="60"/>
              <w:jc w:val="center"/>
              <w:rPr>
                <w:rFonts w:asciiTheme="minorBidi" w:hAnsiTheme="minorBidi" w:cstheme="minorBidi"/>
                <w:color w:val="000000"/>
                <w:sz w:val="18"/>
                <w:szCs w:val="18"/>
                <w:lang w:val="en-GB"/>
              </w:rPr>
            </w:pPr>
          </w:p>
        </w:tc>
      </w:tr>
    </w:tbl>
    <w:p w14:paraId="78610B59" w14:textId="7603373C" w:rsidR="00ED1FEF" w:rsidRPr="00E64197" w:rsidRDefault="00ED1FEF" w:rsidP="00C266C5">
      <w:pPr>
        <w:rPr>
          <w:lang w:val="en-GB"/>
        </w:rPr>
      </w:pPr>
    </w:p>
    <w:sectPr w:rsidR="00ED1FEF" w:rsidRPr="00E64197" w:rsidSect="00655736">
      <w:headerReference w:type="even" r:id="rId34"/>
      <w:headerReference w:type="default" r:id="rId35"/>
      <w:headerReference w:type="first" r:id="rId36"/>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CB6549" w14:textId="77777777" w:rsidR="0007261F" w:rsidRDefault="0007261F" w:rsidP="00655736">
      <w:r>
        <w:separator/>
      </w:r>
    </w:p>
  </w:endnote>
  <w:endnote w:type="continuationSeparator" w:id="0">
    <w:p w14:paraId="02F01641" w14:textId="77777777" w:rsidR="0007261F" w:rsidRDefault="0007261F"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60DFA4" w14:textId="77777777" w:rsidR="0007261F" w:rsidRDefault="0007261F" w:rsidP="00655736">
      <w:r>
        <w:separator/>
      </w:r>
    </w:p>
  </w:footnote>
  <w:footnote w:type="continuationSeparator" w:id="0">
    <w:p w14:paraId="1C8FCACE" w14:textId="77777777" w:rsidR="0007261F" w:rsidRDefault="0007261F" w:rsidP="00655736">
      <w:r>
        <w:continuationSeparator/>
      </w:r>
    </w:p>
  </w:footnote>
  <w:footnote w:id="1">
    <w:p w14:paraId="41117247" w14:textId="5CCA9D48" w:rsidR="00C266C5" w:rsidRPr="00A176D9" w:rsidRDefault="00C266C5" w:rsidP="008A04D2">
      <w:pPr>
        <w:pStyle w:val="FootnoteText"/>
        <w:spacing w:after="120"/>
        <w:ind w:left="567" w:hanging="567"/>
        <w:jc w:val="both"/>
        <w:rPr>
          <w:rFonts w:asciiTheme="minorBidi" w:hAnsiTheme="minorBidi" w:cstheme="minorBidi"/>
          <w:sz w:val="18"/>
          <w:szCs w:val="18"/>
          <w:lang w:val="en-GB"/>
        </w:rPr>
      </w:pPr>
      <w:r w:rsidRPr="00A176D9">
        <w:rPr>
          <w:rStyle w:val="FootnoteReference"/>
          <w:rFonts w:asciiTheme="minorBidi" w:hAnsiTheme="minorBidi" w:cstheme="minorBidi"/>
          <w:sz w:val="18"/>
          <w:szCs w:val="18"/>
          <w:vertAlign w:val="baseline"/>
        </w:rPr>
        <w:footnoteRef/>
      </w:r>
      <w:r w:rsidRPr="00A176D9">
        <w:rPr>
          <w:rFonts w:asciiTheme="minorBidi" w:hAnsiTheme="minorBidi" w:cstheme="minorBidi"/>
          <w:sz w:val="18"/>
          <w:szCs w:val="18"/>
          <w:lang w:val="en-GB"/>
        </w:rPr>
        <w:t xml:space="preserve">.  </w:t>
      </w:r>
      <w:r w:rsidRPr="00A176D9">
        <w:rPr>
          <w:rFonts w:asciiTheme="minorBidi" w:hAnsiTheme="minorBidi" w:cstheme="minorBidi"/>
          <w:sz w:val="18"/>
          <w:szCs w:val="18"/>
          <w:lang w:val="en-GB"/>
        </w:rPr>
        <w:tab/>
        <w:t>This estimate is based on the Fund balance as of 30 June 2021 (excluding the Reserve Fund of US$1,000,000) and does not take into account assessed contributions due for the 41 C/5.</w:t>
      </w:r>
    </w:p>
  </w:footnote>
  <w:footnote w:id="2">
    <w:p w14:paraId="02296E13" w14:textId="0C6BDCBE" w:rsidR="00C266C5" w:rsidRPr="00A176D9" w:rsidRDefault="00C266C5" w:rsidP="008A04D2">
      <w:pPr>
        <w:pStyle w:val="FootnoteText"/>
        <w:spacing w:after="120"/>
        <w:ind w:left="567" w:hanging="567"/>
        <w:jc w:val="both"/>
        <w:rPr>
          <w:rFonts w:asciiTheme="minorBidi" w:hAnsiTheme="minorBidi" w:cstheme="minorBidi"/>
          <w:sz w:val="18"/>
          <w:szCs w:val="18"/>
          <w:lang w:val="en-US"/>
        </w:rPr>
      </w:pPr>
      <w:r w:rsidRPr="00A176D9">
        <w:rPr>
          <w:rStyle w:val="FootnoteReference"/>
          <w:rFonts w:asciiTheme="minorBidi" w:hAnsiTheme="minorBidi" w:cstheme="minorBidi"/>
          <w:sz w:val="18"/>
          <w:szCs w:val="18"/>
          <w:vertAlign w:val="baseline"/>
        </w:rPr>
        <w:footnoteRef/>
      </w:r>
      <w:r w:rsidRPr="00A176D9">
        <w:rPr>
          <w:rFonts w:asciiTheme="minorBidi" w:hAnsiTheme="minorBidi" w:cstheme="minorBidi"/>
          <w:sz w:val="18"/>
          <w:szCs w:val="18"/>
          <w:lang w:val="en-GB"/>
        </w:rPr>
        <w:t>.</w:t>
      </w:r>
      <w:r w:rsidRPr="00A176D9">
        <w:rPr>
          <w:rFonts w:asciiTheme="minorBidi" w:hAnsiTheme="minorBidi" w:cstheme="minorBidi"/>
          <w:sz w:val="18"/>
          <w:szCs w:val="18"/>
          <w:lang w:val="en-GB"/>
        </w:rPr>
        <w:tab/>
        <w:t xml:space="preserve">The latest Statement of compulsory contributions is available </w:t>
      </w:r>
      <w:r w:rsidR="008A04D2">
        <w:rPr>
          <w:rFonts w:asciiTheme="minorBidi" w:hAnsiTheme="minorBidi" w:cstheme="minorBidi"/>
          <w:sz w:val="18"/>
          <w:szCs w:val="18"/>
          <w:lang w:val="en-GB"/>
        </w:rPr>
        <w:t>on the following webpage:</w:t>
      </w:r>
      <w:r w:rsidR="008A04D2" w:rsidRPr="008A04D2">
        <w:rPr>
          <w:lang w:val="en-GB"/>
        </w:rPr>
        <w:t xml:space="preserve"> </w:t>
      </w:r>
      <w:hyperlink r:id="rId1" w:history="1">
        <w:r w:rsidR="008A04D2" w:rsidRPr="00BF5CB2">
          <w:rPr>
            <w:rStyle w:val="Hyperlink"/>
            <w:rFonts w:asciiTheme="minorBidi" w:hAnsiTheme="minorBidi" w:cstheme="minorBidi"/>
            <w:sz w:val="18"/>
            <w:szCs w:val="18"/>
            <w:lang w:val="en-GB"/>
          </w:rPr>
          <w:t>https://ich.unesco.org/en/ich-fund-00816</w:t>
        </w:r>
      </w:hyperlink>
      <w:r w:rsidR="008A04D2">
        <w:rPr>
          <w:rFonts w:asciiTheme="minorBidi" w:hAnsiTheme="minorBidi" w:cstheme="minorBidi"/>
          <w:sz w:val="18"/>
          <w:szCs w:val="18"/>
          <w:lang w:val="en-GB"/>
        </w:rPr>
        <w:t>.</w:t>
      </w:r>
    </w:p>
  </w:footnote>
  <w:footnote w:id="3">
    <w:p w14:paraId="57C148DF" w14:textId="7D381A5E" w:rsidR="00C266C5" w:rsidRPr="00A176D9" w:rsidRDefault="00C266C5" w:rsidP="008A04D2">
      <w:pPr>
        <w:pStyle w:val="FootnoteText"/>
        <w:spacing w:after="120"/>
        <w:ind w:left="567" w:hanging="567"/>
        <w:jc w:val="both"/>
        <w:rPr>
          <w:rFonts w:asciiTheme="minorBidi" w:hAnsiTheme="minorBidi" w:cstheme="minorBidi"/>
          <w:sz w:val="18"/>
          <w:szCs w:val="18"/>
          <w:lang w:val="en-US"/>
        </w:rPr>
      </w:pPr>
      <w:r w:rsidRPr="00A176D9">
        <w:rPr>
          <w:rStyle w:val="FootnoteReference"/>
          <w:rFonts w:asciiTheme="minorBidi" w:hAnsiTheme="minorBidi" w:cstheme="minorBidi"/>
          <w:sz w:val="18"/>
          <w:szCs w:val="18"/>
          <w:vertAlign w:val="baseline"/>
        </w:rPr>
        <w:footnoteRef/>
      </w:r>
      <w:r w:rsidRPr="00A176D9">
        <w:rPr>
          <w:rFonts w:asciiTheme="minorBidi" w:hAnsiTheme="minorBidi" w:cstheme="minorBidi"/>
          <w:sz w:val="18"/>
          <w:szCs w:val="18"/>
          <w:lang w:val="en-US"/>
        </w:rPr>
        <w:t xml:space="preserve"> </w:t>
      </w:r>
      <w:r>
        <w:rPr>
          <w:rFonts w:asciiTheme="minorBidi" w:hAnsiTheme="minorBidi" w:cstheme="minorBidi"/>
          <w:sz w:val="18"/>
          <w:szCs w:val="18"/>
          <w:lang w:val="en-US"/>
        </w:rPr>
        <w:tab/>
      </w:r>
      <w:r w:rsidRPr="00A176D9">
        <w:rPr>
          <w:rFonts w:asciiTheme="minorBidi" w:hAnsiTheme="minorBidi" w:cstheme="minorBidi"/>
          <w:sz w:val="18"/>
          <w:szCs w:val="18"/>
          <w:lang w:val="en-US"/>
        </w:rPr>
        <w:t xml:space="preserve">The </w:t>
      </w:r>
      <w:hyperlink r:id="rId2" w:history="1">
        <w:r w:rsidRPr="0034054E">
          <w:rPr>
            <w:rStyle w:val="Hyperlink"/>
            <w:rFonts w:asciiTheme="minorBidi" w:hAnsiTheme="minorBidi" w:cstheme="minorBidi"/>
            <w:sz w:val="18"/>
            <w:szCs w:val="18"/>
            <w:lang w:val="en-US"/>
          </w:rPr>
          <w:t>UNESCO Evaluation Policy</w:t>
        </w:r>
      </w:hyperlink>
      <w:r w:rsidRPr="00A176D9">
        <w:rPr>
          <w:rFonts w:asciiTheme="minorBidi" w:hAnsiTheme="minorBidi" w:cstheme="minorBidi"/>
          <w:sz w:val="18"/>
          <w:szCs w:val="18"/>
          <w:lang w:val="en-US"/>
        </w:rPr>
        <w:t xml:space="preserve"> recommends that 5% </w:t>
      </w:r>
      <w:r>
        <w:rPr>
          <w:rFonts w:asciiTheme="minorBidi" w:hAnsiTheme="minorBidi" w:cstheme="minorBidi"/>
          <w:sz w:val="18"/>
          <w:szCs w:val="18"/>
          <w:lang w:val="en-US"/>
        </w:rPr>
        <w:t xml:space="preserve">of </w:t>
      </w:r>
      <w:r w:rsidRPr="00A176D9">
        <w:rPr>
          <w:rFonts w:asciiTheme="minorBidi" w:hAnsiTheme="minorBidi" w:cstheme="minorBidi"/>
          <w:sz w:val="18"/>
          <w:szCs w:val="18"/>
          <w:lang w:val="en-US"/>
        </w:rPr>
        <w:t xml:space="preserve">programme expenditure </w:t>
      </w:r>
      <w:r w:rsidR="00A402C3">
        <w:rPr>
          <w:rFonts w:asciiTheme="minorBidi" w:hAnsiTheme="minorBidi" w:cstheme="minorBidi"/>
          <w:sz w:val="18"/>
          <w:szCs w:val="18"/>
          <w:lang w:val="en-US"/>
        </w:rPr>
        <w:t>be</w:t>
      </w:r>
      <w:r w:rsidR="00A402C3" w:rsidRPr="00A176D9">
        <w:rPr>
          <w:rFonts w:asciiTheme="minorBidi" w:hAnsiTheme="minorBidi" w:cstheme="minorBidi"/>
          <w:sz w:val="18"/>
          <w:szCs w:val="18"/>
          <w:lang w:val="en-US"/>
        </w:rPr>
        <w:t xml:space="preserve"> </w:t>
      </w:r>
      <w:r w:rsidRPr="00A176D9">
        <w:rPr>
          <w:rFonts w:asciiTheme="minorBidi" w:hAnsiTheme="minorBidi" w:cstheme="minorBidi"/>
          <w:sz w:val="18"/>
          <w:szCs w:val="18"/>
          <w:lang w:val="en-US"/>
        </w:rPr>
        <w:t>earmarked for evaluation</w:t>
      </w:r>
      <w:r>
        <w:rPr>
          <w:rFonts w:asciiTheme="minorBidi" w:hAnsiTheme="minorBidi" w:cstheme="minorBidi"/>
          <w:sz w:val="18"/>
          <w:szCs w:val="18"/>
          <w:lang w:val="en-US"/>
        </w:rPr>
        <w:t>.</w:t>
      </w:r>
      <w:r w:rsidRPr="00A176D9">
        <w:rPr>
          <w:rFonts w:asciiTheme="minorBidi" w:hAnsiTheme="minorBidi" w:cstheme="minorBidi"/>
          <w:sz w:val="18"/>
          <w:szCs w:val="18"/>
          <w:lang w:val="en-US"/>
        </w:rPr>
        <w:t xml:space="preserve"> The cost of an evaluation may vary from </w:t>
      </w:r>
      <w:r w:rsidR="00463FAC">
        <w:rPr>
          <w:rFonts w:asciiTheme="minorBidi" w:hAnsiTheme="minorBidi" w:cstheme="minorBidi"/>
          <w:sz w:val="18"/>
          <w:szCs w:val="18"/>
          <w:lang w:val="en-US"/>
        </w:rPr>
        <w:t>US$</w:t>
      </w:r>
      <w:r w:rsidRPr="00A176D9">
        <w:rPr>
          <w:rFonts w:asciiTheme="minorBidi" w:hAnsiTheme="minorBidi" w:cstheme="minorBidi"/>
          <w:sz w:val="18"/>
          <w:szCs w:val="18"/>
          <w:lang w:val="en-US"/>
        </w:rPr>
        <w:t xml:space="preserve">5,000 to </w:t>
      </w:r>
      <w:r w:rsidR="00463FAC">
        <w:rPr>
          <w:rFonts w:asciiTheme="minorBidi" w:hAnsiTheme="minorBidi" w:cstheme="minorBidi"/>
          <w:sz w:val="18"/>
          <w:szCs w:val="18"/>
          <w:lang w:val="en-US"/>
        </w:rPr>
        <w:t>US$</w:t>
      </w:r>
      <w:r w:rsidRPr="00A176D9">
        <w:rPr>
          <w:rFonts w:asciiTheme="minorBidi" w:hAnsiTheme="minorBidi" w:cstheme="minorBidi"/>
          <w:sz w:val="18"/>
          <w:szCs w:val="18"/>
          <w:lang w:val="en-US"/>
        </w:rPr>
        <w:t>10,000 for each project</w:t>
      </w:r>
      <w:r w:rsidR="00A402C3">
        <w:rPr>
          <w:rFonts w:asciiTheme="minorBidi" w:hAnsiTheme="minorBidi" w:cstheme="minorBidi"/>
          <w:sz w:val="18"/>
          <w:szCs w:val="18"/>
          <w:lang w:val="en-US"/>
        </w:rPr>
        <w:t>,</w:t>
      </w:r>
      <w:r w:rsidRPr="00A176D9">
        <w:rPr>
          <w:rFonts w:asciiTheme="minorBidi" w:hAnsiTheme="minorBidi" w:cstheme="minorBidi"/>
          <w:sz w:val="18"/>
          <w:szCs w:val="18"/>
          <w:lang w:val="en-US"/>
        </w:rPr>
        <w:t xml:space="preserve"> depending on its scale (up to or higher than </w:t>
      </w:r>
      <w:r w:rsidR="00463FAC">
        <w:rPr>
          <w:rFonts w:asciiTheme="minorBidi" w:hAnsiTheme="minorBidi" w:cstheme="minorBidi"/>
          <w:sz w:val="18"/>
          <w:szCs w:val="18"/>
          <w:lang w:val="en-US"/>
        </w:rPr>
        <w:t>US$</w:t>
      </w:r>
      <w:r w:rsidRPr="00A176D9">
        <w:rPr>
          <w:rFonts w:asciiTheme="minorBidi" w:hAnsiTheme="minorBidi" w:cstheme="minorBidi"/>
          <w:sz w:val="18"/>
          <w:szCs w:val="18"/>
          <w:lang w:val="en-US"/>
        </w:rPr>
        <w:t xml:space="preserve">100,000) and duration. </w:t>
      </w:r>
      <w:r>
        <w:rPr>
          <w:rFonts w:asciiTheme="minorBidi" w:hAnsiTheme="minorBidi" w:cstheme="minorBidi"/>
          <w:sz w:val="18"/>
          <w:szCs w:val="18"/>
          <w:lang w:val="en-US"/>
        </w:rPr>
        <w:t xml:space="preserve">Based on this guidance, it is estimated that monitoring actions may also correspond to </w:t>
      </w:r>
      <w:r w:rsidRPr="00A176D9">
        <w:rPr>
          <w:rFonts w:asciiTheme="minorBidi" w:hAnsiTheme="minorBidi" w:cstheme="minorBidi"/>
          <w:sz w:val="18"/>
          <w:szCs w:val="18"/>
          <w:lang w:val="en-US"/>
        </w:rPr>
        <w:t xml:space="preserve">5% </w:t>
      </w:r>
      <w:r>
        <w:rPr>
          <w:rFonts w:asciiTheme="minorBidi" w:hAnsiTheme="minorBidi" w:cstheme="minorBidi"/>
          <w:sz w:val="18"/>
          <w:szCs w:val="18"/>
          <w:lang w:val="en-US"/>
        </w:rPr>
        <w:t>of a project budget.</w:t>
      </w:r>
    </w:p>
  </w:footnote>
  <w:footnote w:id="4">
    <w:p w14:paraId="5AEA2B7A" w14:textId="28D9F717" w:rsidR="00C266C5" w:rsidRPr="00A176D9" w:rsidRDefault="00C266C5" w:rsidP="008A04D2">
      <w:pPr>
        <w:pStyle w:val="FootnoteText"/>
        <w:spacing w:after="120"/>
        <w:ind w:left="567" w:hanging="567"/>
        <w:jc w:val="both"/>
        <w:rPr>
          <w:rFonts w:asciiTheme="minorBidi" w:hAnsiTheme="minorBidi" w:cstheme="minorBidi"/>
          <w:sz w:val="18"/>
          <w:szCs w:val="18"/>
          <w:lang w:val="en-US"/>
        </w:rPr>
      </w:pPr>
      <w:r w:rsidRPr="00A176D9">
        <w:rPr>
          <w:rStyle w:val="FootnoteReference"/>
          <w:rFonts w:asciiTheme="minorBidi" w:hAnsiTheme="minorBidi" w:cstheme="minorBidi"/>
          <w:sz w:val="18"/>
          <w:szCs w:val="18"/>
          <w:vertAlign w:val="baseline"/>
        </w:rPr>
        <w:footnoteRef/>
      </w:r>
      <w:r>
        <w:rPr>
          <w:rFonts w:asciiTheme="minorBidi" w:hAnsiTheme="minorBidi" w:cstheme="minorBidi"/>
          <w:sz w:val="18"/>
          <w:szCs w:val="18"/>
          <w:lang w:val="en-US"/>
        </w:rPr>
        <w:t>.</w:t>
      </w:r>
      <w:r>
        <w:rPr>
          <w:rFonts w:asciiTheme="minorBidi" w:hAnsiTheme="minorBidi" w:cstheme="minorBidi"/>
          <w:sz w:val="18"/>
          <w:szCs w:val="18"/>
          <w:lang w:val="en-US"/>
        </w:rPr>
        <w:tab/>
      </w:r>
      <w:r w:rsidRPr="00A176D9">
        <w:rPr>
          <w:rFonts w:asciiTheme="minorBidi" w:hAnsiTheme="minorBidi" w:cstheme="minorBidi"/>
          <w:sz w:val="18"/>
          <w:szCs w:val="18"/>
          <w:lang w:val="en-US"/>
        </w:rPr>
        <w:t xml:space="preserve">‘Preparatory assistance’ corresponds to the assistance that States Parties can request for developing nominations to the List of Intangible Cultural Heritage in Need of Urgent Safeguarding or proposals for the Register of Good Safeguarding Practices (paragraph 21 of the </w:t>
      </w:r>
      <w:hyperlink r:id="rId3" w:history="1">
        <w:r w:rsidRPr="00A176D9">
          <w:rPr>
            <w:rStyle w:val="Hyperlink"/>
            <w:rFonts w:asciiTheme="minorBidi" w:hAnsiTheme="minorBidi" w:cstheme="minorBidi"/>
            <w:sz w:val="18"/>
            <w:szCs w:val="18"/>
            <w:lang w:val="en-US"/>
          </w:rPr>
          <w:t>Operational Directives</w:t>
        </w:r>
      </w:hyperlink>
      <w:r w:rsidRPr="00A176D9">
        <w:rPr>
          <w:rFonts w:asciiTheme="minorBidi" w:hAnsiTheme="minorBidi" w:cstheme="minorBidi"/>
          <w:sz w:val="18"/>
          <w:szCs w:val="18"/>
          <w:lang w:val="en-US"/>
        </w:rPr>
        <w:t>). ‘Technical assistance’ refers to the provision of experts, as described in Article 21 of the Convention, to States Parties wishing to develop requests for International Assistance (</w:t>
      </w:r>
      <w:hyperlink r:id="rId4" w:history="1">
        <w:r w:rsidRPr="00A176D9">
          <w:rPr>
            <w:rStyle w:val="Hyperlink"/>
            <w:rFonts w:asciiTheme="minorBidi" w:hAnsiTheme="minorBidi" w:cstheme="minorBidi"/>
            <w:sz w:val="18"/>
            <w:szCs w:val="18"/>
            <w:lang w:val="en-US"/>
          </w:rPr>
          <w:t>Decision 8.COM 7.c</w:t>
        </w:r>
      </w:hyperlink>
      <w:r w:rsidRPr="00A176D9">
        <w:rPr>
          <w:rFonts w:asciiTheme="minorBidi" w:hAnsiTheme="minorBidi" w:cstheme="minorBidi"/>
          <w:sz w:val="18"/>
          <w:szCs w:val="18"/>
          <w:lang w:val="en-US"/>
        </w:rPr>
        <w:t>).</w:t>
      </w:r>
    </w:p>
  </w:footnote>
  <w:footnote w:id="5">
    <w:p w14:paraId="05359054" w14:textId="7068993D" w:rsidR="00C266C5" w:rsidRPr="00A176D9" w:rsidRDefault="00C266C5" w:rsidP="008A04D2">
      <w:pPr>
        <w:pStyle w:val="FootnoteText"/>
        <w:spacing w:after="120"/>
        <w:ind w:left="567" w:hanging="567"/>
        <w:jc w:val="both"/>
        <w:rPr>
          <w:rFonts w:asciiTheme="minorBidi" w:hAnsiTheme="minorBidi" w:cstheme="minorBidi"/>
          <w:sz w:val="18"/>
          <w:szCs w:val="18"/>
          <w:lang w:val="en-US"/>
        </w:rPr>
      </w:pPr>
      <w:r w:rsidRPr="00A176D9">
        <w:rPr>
          <w:rStyle w:val="FootnoteReference"/>
          <w:rFonts w:asciiTheme="minorBidi" w:hAnsiTheme="minorBidi" w:cstheme="minorBidi"/>
          <w:sz w:val="18"/>
          <w:szCs w:val="18"/>
          <w:vertAlign w:val="baseline"/>
        </w:rPr>
        <w:footnoteRef/>
      </w:r>
      <w:r w:rsidRPr="00A176D9">
        <w:rPr>
          <w:rFonts w:asciiTheme="minorBidi" w:hAnsiTheme="minorBidi" w:cstheme="minorBidi"/>
          <w:sz w:val="18"/>
          <w:szCs w:val="18"/>
          <w:lang w:val="en-US"/>
        </w:rPr>
        <w:t>.</w:t>
      </w:r>
      <w:r w:rsidRPr="00A176D9">
        <w:rPr>
          <w:rFonts w:asciiTheme="minorBidi" w:hAnsiTheme="minorBidi" w:cstheme="minorBidi"/>
          <w:sz w:val="18"/>
          <w:szCs w:val="18"/>
          <w:lang w:val="en-US"/>
        </w:rPr>
        <w:tab/>
        <w:t>The breakdown by expected result for 20</w:t>
      </w:r>
      <w:r>
        <w:rPr>
          <w:rFonts w:asciiTheme="minorBidi" w:hAnsiTheme="minorBidi" w:cstheme="minorBidi"/>
          <w:sz w:val="18"/>
          <w:szCs w:val="18"/>
          <w:lang w:val="en-US"/>
        </w:rPr>
        <w:t>20</w:t>
      </w:r>
      <w:r w:rsidRPr="00A176D9">
        <w:rPr>
          <w:rFonts w:asciiTheme="minorBidi" w:hAnsiTheme="minorBidi" w:cstheme="minorBidi"/>
          <w:sz w:val="18"/>
          <w:szCs w:val="18"/>
          <w:lang w:val="en-US"/>
        </w:rPr>
        <w:t>-20</w:t>
      </w:r>
      <w:r>
        <w:rPr>
          <w:rFonts w:asciiTheme="minorBidi" w:hAnsiTheme="minorBidi" w:cstheme="minorBidi"/>
          <w:sz w:val="18"/>
          <w:szCs w:val="18"/>
          <w:lang w:val="en-US"/>
        </w:rPr>
        <w:t>21</w:t>
      </w:r>
      <w:r w:rsidRPr="00A176D9">
        <w:rPr>
          <w:rFonts w:asciiTheme="minorBidi" w:hAnsiTheme="minorBidi" w:cstheme="minorBidi"/>
          <w:sz w:val="18"/>
          <w:szCs w:val="18"/>
          <w:lang w:val="en-US"/>
        </w:rPr>
        <w:t xml:space="preserve"> was approved by the </w:t>
      </w:r>
      <w:r>
        <w:rPr>
          <w:rFonts w:asciiTheme="minorBidi" w:hAnsiTheme="minorBidi" w:cstheme="minorBidi"/>
          <w:sz w:val="18"/>
          <w:szCs w:val="18"/>
          <w:lang w:val="en-US"/>
        </w:rPr>
        <w:t>General Assembly</w:t>
      </w:r>
      <w:r w:rsidRPr="00A176D9">
        <w:rPr>
          <w:rFonts w:asciiTheme="minorBidi" w:hAnsiTheme="minorBidi" w:cstheme="minorBidi"/>
          <w:sz w:val="18"/>
          <w:szCs w:val="18"/>
          <w:lang w:val="en-US"/>
        </w:rPr>
        <w:t xml:space="preserve"> in 20</w:t>
      </w:r>
      <w:r>
        <w:rPr>
          <w:rFonts w:asciiTheme="minorBidi" w:hAnsiTheme="minorBidi" w:cstheme="minorBidi"/>
          <w:sz w:val="18"/>
          <w:szCs w:val="18"/>
          <w:lang w:val="en-US"/>
        </w:rPr>
        <w:t xml:space="preserve">20 (Resolution </w:t>
      </w:r>
      <w:hyperlink r:id="rId5" w:history="1">
        <w:r w:rsidRPr="00C86C4C">
          <w:rPr>
            <w:rStyle w:val="Hyperlink"/>
            <w:rFonts w:asciiTheme="minorBidi" w:hAnsiTheme="minorBidi" w:cstheme="minorBidi"/>
            <w:sz w:val="18"/>
            <w:szCs w:val="18"/>
            <w:lang w:val="en-US"/>
          </w:rPr>
          <w:t>8.GA 7</w:t>
        </w:r>
      </w:hyperlink>
      <w:r>
        <w:rPr>
          <w:rFonts w:asciiTheme="minorBidi" w:hAnsiTheme="minorBidi" w:cstheme="minorBidi"/>
          <w:sz w:val="18"/>
          <w:szCs w:val="18"/>
          <w:lang w:val="en-US"/>
        </w:rPr>
        <w:t>).</w:t>
      </w:r>
    </w:p>
  </w:footnote>
  <w:footnote w:id="6">
    <w:p w14:paraId="5D358C51" w14:textId="58C52AB7" w:rsidR="00C266C5" w:rsidRPr="00A176D9" w:rsidRDefault="00C266C5" w:rsidP="008A04D2">
      <w:pPr>
        <w:pStyle w:val="FootnoteText"/>
        <w:spacing w:after="120"/>
        <w:ind w:left="567" w:hanging="567"/>
        <w:jc w:val="both"/>
        <w:rPr>
          <w:rFonts w:asciiTheme="minorBidi" w:hAnsiTheme="minorBidi" w:cstheme="minorBidi"/>
          <w:sz w:val="18"/>
          <w:szCs w:val="18"/>
          <w:lang w:val="en-US"/>
        </w:rPr>
      </w:pPr>
      <w:r w:rsidRPr="00A176D9">
        <w:rPr>
          <w:rStyle w:val="FootnoteReference"/>
          <w:rFonts w:asciiTheme="minorBidi" w:hAnsiTheme="minorBidi" w:cstheme="minorBidi"/>
          <w:sz w:val="18"/>
          <w:szCs w:val="18"/>
          <w:vertAlign w:val="baseline"/>
        </w:rPr>
        <w:footnoteRef/>
      </w:r>
      <w:r>
        <w:rPr>
          <w:rFonts w:asciiTheme="minorBidi" w:hAnsiTheme="minorBidi" w:cstheme="minorBidi"/>
          <w:sz w:val="18"/>
          <w:szCs w:val="18"/>
          <w:lang w:val="en-US"/>
        </w:rPr>
        <w:t>.</w:t>
      </w:r>
      <w:r>
        <w:rPr>
          <w:rFonts w:asciiTheme="minorBidi" w:hAnsiTheme="minorBidi" w:cstheme="minorBidi"/>
          <w:sz w:val="18"/>
          <w:szCs w:val="18"/>
          <w:lang w:val="en-US"/>
        </w:rPr>
        <w:tab/>
      </w:r>
      <w:bookmarkStart w:id="2" w:name="_Hlk87014493"/>
      <w:r w:rsidRPr="00A176D9">
        <w:rPr>
          <w:rFonts w:asciiTheme="minorBidi" w:hAnsiTheme="minorBidi" w:cstheme="minorBidi"/>
          <w:sz w:val="18"/>
          <w:szCs w:val="18"/>
          <w:lang w:val="en-US"/>
        </w:rPr>
        <w:t xml:space="preserve">The </w:t>
      </w:r>
      <w:r>
        <w:rPr>
          <w:rFonts w:asciiTheme="minorBidi" w:hAnsiTheme="minorBidi" w:cstheme="minorBidi"/>
          <w:sz w:val="18"/>
          <w:szCs w:val="18"/>
          <w:lang w:val="en-US"/>
        </w:rPr>
        <w:t>proposed</w:t>
      </w:r>
      <w:r w:rsidRPr="00A176D9">
        <w:rPr>
          <w:rFonts w:asciiTheme="minorBidi" w:hAnsiTheme="minorBidi" w:cstheme="minorBidi"/>
          <w:sz w:val="18"/>
          <w:szCs w:val="18"/>
          <w:lang w:val="en-US"/>
        </w:rPr>
        <w:t xml:space="preserve"> Expected Results 1 and 4 are aligned </w:t>
      </w:r>
      <w:r w:rsidR="004A2AFA">
        <w:rPr>
          <w:rFonts w:asciiTheme="minorBidi" w:hAnsiTheme="minorBidi" w:cstheme="minorBidi"/>
          <w:sz w:val="18"/>
          <w:szCs w:val="18"/>
          <w:lang w:val="en-US"/>
        </w:rPr>
        <w:t>with</w:t>
      </w:r>
      <w:r w:rsidRPr="00A176D9">
        <w:rPr>
          <w:rFonts w:asciiTheme="minorBidi" w:hAnsiTheme="minorBidi" w:cstheme="minorBidi"/>
          <w:sz w:val="18"/>
          <w:szCs w:val="18"/>
          <w:lang w:val="en-US"/>
        </w:rPr>
        <w:t xml:space="preserve"> the proposed performance indicator 2 entitled ‘Number of Member States sustainably safeguarding living heritage through enhanced international cooperation and assistance mechanisms of the 2003 Convention for the Safeguarding of the Intangible Cultural Heritage’ as defined in the </w:t>
      </w:r>
      <w:hyperlink r:id="rId6" w:history="1">
        <w:r w:rsidRPr="00A176D9">
          <w:rPr>
            <w:rStyle w:val="Hyperlink"/>
            <w:rFonts w:asciiTheme="minorBidi" w:hAnsiTheme="minorBidi" w:cstheme="minorBidi"/>
            <w:sz w:val="18"/>
            <w:szCs w:val="18"/>
            <w:lang w:val="en-US"/>
          </w:rPr>
          <w:t>Draft 41</w:t>
        </w:r>
        <w:r>
          <w:rPr>
            <w:rStyle w:val="Hyperlink"/>
            <w:rFonts w:asciiTheme="minorBidi" w:hAnsiTheme="minorBidi" w:cstheme="minorBidi"/>
            <w:sz w:val="18"/>
            <w:szCs w:val="18"/>
            <w:lang w:val="en-US"/>
          </w:rPr>
          <w:t> </w:t>
        </w:r>
        <w:r w:rsidRPr="00A176D9">
          <w:rPr>
            <w:rStyle w:val="Hyperlink"/>
            <w:rFonts w:asciiTheme="minorBidi" w:hAnsiTheme="minorBidi" w:cstheme="minorBidi"/>
            <w:sz w:val="18"/>
            <w:szCs w:val="18"/>
            <w:lang w:val="en-US"/>
          </w:rPr>
          <w:t>C/5</w:t>
        </w:r>
      </w:hyperlink>
      <w:r w:rsidRPr="00A176D9">
        <w:rPr>
          <w:rFonts w:asciiTheme="minorBidi" w:hAnsiTheme="minorBidi" w:cstheme="minorBidi"/>
          <w:sz w:val="18"/>
          <w:szCs w:val="18"/>
          <w:lang w:val="en-US"/>
        </w:rPr>
        <w:t xml:space="preserve"> for OUTPUT 5.CLT4 </w:t>
      </w:r>
      <w:r>
        <w:rPr>
          <w:rFonts w:asciiTheme="minorBidi" w:hAnsiTheme="minorBidi" w:cstheme="minorBidi"/>
          <w:sz w:val="18"/>
          <w:szCs w:val="18"/>
          <w:lang w:val="en-US"/>
        </w:rPr>
        <w:t>‘</w:t>
      </w:r>
      <w:r w:rsidRPr="00A176D9">
        <w:rPr>
          <w:rFonts w:asciiTheme="minorBidi" w:hAnsiTheme="minorBidi" w:cstheme="minorBidi"/>
          <w:sz w:val="18"/>
          <w:szCs w:val="18"/>
          <w:lang w:val="en-US"/>
        </w:rPr>
        <w:t>Member States and communities capacities strengthened to identify, safeguard and promote living heritage’.</w:t>
      </w:r>
      <w:bookmarkEnd w:id="2"/>
    </w:p>
  </w:footnote>
  <w:footnote w:id="7">
    <w:p w14:paraId="11A5A6BD" w14:textId="35679247" w:rsidR="00C266C5" w:rsidRPr="00A176D9" w:rsidRDefault="00C266C5" w:rsidP="008A04D2">
      <w:pPr>
        <w:pStyle w:val="FootnoteText"/>
        <w:spacing w:after="120"/>
        <w:ind w:left="567" w:hanging="567"/>
        <w:jc w:val="both"/>
        <w:rPr>
          <w:rFonts w:asciiTheme="minorBidi" w:hAnsiTheme="minorBidi" w:cstheme="minorBidi"/>
          <w:sz w:val="18"/>
          <w:szCs w:val="18"/>
          <w:lang w:val="en-US"/>
        </w:rPr>
      </w:pPr>
      <w:r w:rsidRPr="00A176D9">
        <w:rPr>
          <w:rStyle w:val="FootnoteReference"/>
          <w:rFonts w:asciiTheme="minorBidi" w:hAnsiTheme="minorBidi" w:cstheme="minorBidi"/>
          <w:sz w:val="18"/>
          <w:szCs w:val="18"/>
          <w:vertAlign w:val="baseline"/>
        </w:rPr>
        <w:footnoteRef/>
      </w:r>
      <w:r>
        <w:rPr>
          <w:rFonts w:asciiTheme="minorBidi" w:hAnsiTheme="minorBidi" w:cstheme="minorBidi"/>
          <w:sz w:val="18"/>
          <w:szCs w:val="18"/>
          <w:lang w:val="en-US"/>
        </w:rPr>
        <w:t>.</w:t>
      </w:r>
      <w:r>
        <w:rPr>
          <w:rFonts w:asciiTheme="minorBidi" w:hAnsiTheme="minorBidi" w:cstheme="minorBidi"/>
          <w:sz w:val="18"/>
          <w:szCs w:val="18"/>
          <w:lang w:val="en-US"/>
        </w:rPr>
        <w:tab/>
      </w:r>
      <w:r w:rsidRPr="00A176D9">
        <w:rPr>
          <w:rFonts w:asciiTheme="minorBidi" w:hAnsiTheme="minorBidi" w:cstheme="minorBidi"/>
          <w:sz w:val="18"/>
          <w:szCs w:val="18"/>
          <w:lang w:val="en-US"/>
        </w:rPr>
        <w:t xml:space="preserve">The </w:t>
      </w:r>
      <w:r>
        <w:rPr>
          <w:rFonts w:asciiTheme="minorBidi" w:hAnsiTheme="minorBidi" w:cstheme="minorBidi"/>
          <w:sz w:val="18"/>
          <w:szCs w:val="18"/>
          <w:lang w:val="en-US"/>
        </w:rPr>
        <w:t>proposed</w:t>
      </w:r>
      <w:r w:rsidRPr="00A176D9">
        <w:rPr>
          <w:rFonts w:asciiTheme="minorBidi" w:hAnsiTheme="minorBidi" w:cstheme="minorBidi"/>
          <w:sz w:val="18"/>
          <w:szCs w:val="18"/>
          <w:lang w:val="en-US"/>
        </w:rPr>
        <w:t xml:space="preserve"> Expected Results 2 and 3 are aligned </w:t>
      </w:r>
      <w:r w:rsidR="004A2AFA">
        <w:rPr>
          <w:rFonts w:asciiTheme="minorBidi" w:hAnsiTheme="minorBidi" w:cstheme="minorBidi"/>
          <w:sz w:val="18"/>
          <w:szCs w:val="18"/>
          <w:lang w:val="en-US"/>
        </w:rPr>
        <w:t>with</w:t>
      </w:r>
      <w:r w:rsidRPr="00A176D9">
        <w:rPr>
          <w:rFonts w:asciiTheme="minorBidi" w:hAnsiTheme="minorBidi" w:cstheme="minorBidi"/>
          <w:sz w:val="18"/>
          <w:szCs w:val="18"/>
          <w:lang w:val="en-US"/>
        </w:rPr>
        <w:t xml:space="preserve"> the proposed performance indicator 1 entitled ‘Number of Member States with new or revised policies, strategies and programmes to safeguard living heritage, including within sustainable development plans and frameworks, in line with the 2003 Convention for the Safeguarding of the Intangible Cultural Heritage’ as defined in the </w:t>
      </w:r>
      <w:hyperlink r:id="rId7" w:history="1">
        <w:r w:rsidRPr="00A176D9">
          <w:rPr>
            <w:rStyle w:val="Hyperlink"/>
            <w:rFonts w:asciiTheme="minorBidi" w:hAnsiTheme="minorBidi" w:cstheme="minorBidi"/>
            <w:sz w:val="18"/>
            <w:szCs w:val="18"/>
            <w:lang w:val="en-US"/>
          </w:rPr>
          <w:t>Draft 41</w:t>
        </w:r>
        <w:r>
          <w:rPr>
            <w:rStyle w:val="Hyperlink"/>
            <w:rFonts w:asciiTheme="minorBidi" w:hAnsiTheme="minorBidi" w:cstheme="minorBidi"/>
            <w:sz w:val="18"/>
            <w:szCs w:val="18"/>
            <w:lang w:val="en-US"/>
          </w:rPr>
          <w:t> </w:t>
        </w:r>
        <w:r w:rsidRPr="00A176D9">
          <w:rPr>
            <w:rStyle w:val="Hyperlink"/>
            <w:rFonts w:asciiTheme="minorBidi" w:hAnsiTheme="minorBidi" w:cstheme="minorBidi"/>
            <w:sz w:val="18"/>
            <w:szCs w:val="18"/>
            <w:lang w:val="en-US"/>
          </w:rPr>
          <w:t>C/5</w:t>
        </w:r>
      </w:hyperlink>
      <w:r w:rsidRPr="00A176D9">
        <w:rPr>
          <w:rFonts w:asciiTheme="minorBidi" w:hAnsiTheme="minorBidi" w:cstheme="minorBidi"/>
          <w:sz w:val="18"/>
          <w:szCs w:val="18"/>
          <w:lang w:val="en-US"/>
        </w:rPr>
        <w:t xml:space="preserve"> for OUTPUT 5.CLT4 </w:t>
      </w:r>
      <w:r>
        <w:rPr>
          <w:rFonts w:asciiTheme="minorBidi" w:hAnsiTheme="minorBidi" w:cstheme="minorBidi"/>
          <w:sz w:val="18"/>
          <w:szCs w:val="18"/>
          <w:lang w:val="en-US"/>
        </w:rPr>
        <w:t>‘</w:t>
      </w:r>
      <w:r w:rsidRPr="00A176D9">
        <w:rPr>
          <w:rFonts w:asciiTheme="minorBidi" w:hAnsiTheme="minorBidi" w:cstheme="minorBidi"/>
          <w:sz w:val="18"/>
          <w:szCs w:val="18"/>
          <w:lang w:val="en-US"/>
        </w:rPr>
        <w:t>Member States and communities capacities strengthened to identify, safeguard and promote living heritage’.</w:t>
      </w:r>
    </w:p>
    <w:p w14:paraId="4E31932E" w14:textId="1AFA4F45" w:rsidR="00C266C5" w:rsidRPr="00A176D9" w:rsidRDefault="00C266C5" w:rsidP="008A04D2">
      <w:pPr>
        <w:pStyle w:val="FootnoteText"/>
        <w:spacing w:after="120"/>
        <w:ind w:left="567" w:hanging="567"/>
        <w:jc w:val="both"/>
        <w:rPr>
          <w:rFonts w:asciiTheme="minorBidi" w:hAnsiTheme="minorBidi" w:cstheme="minorBidi"/>
          <w:sz w:val="18"/>
          <w:szCs w:val="18"/>
          <w:lang w:val="en-US"/>
        </w:rPr>
      </w:pPr>
    </w:p>
  </w:footnote>
  <w:footnote w:id="8">
    <w:p w14:paraId="28E24B60" w14:textId="6D54F7D1" w:rsidR="00C266C5" w:rsidRPr="00C266C5" w:rsidRDefault="00C266C5" w:rsidP="008A04D2">
      <w:pPr>
        <w:pStyle w:val="FootnoteText"/>
        <w:spacing w:after="120"/>
        <w:ind w:left="567" w:hanging="567"/>
        <w:jc w:val="both"/>
        <w:rPr>
          <w:rFonts w:asciiTheme="minorBidi" w:hAnsiTheme="minorBidi" w:cstheme="minorBidi"/>
          <w:sz w:val="18"/>
          <w:szCs w:val="18"/>
          <w:lang w:val="en-GB"/>
        </w:rPr>
      </w:pPr>
      <w:r w:rsidRPr="00C266C5">
        <w:rPr>
          <w:rStyle w:val="FootnoteReference"/>
          <w:rFonts w:asciiTheme="minorBidi" w:hAnsiTheme="minorBidi" w:cstheme="minorBidi"/>
          <w:sz w:val="18"/>
          <w:szCs w:val="18"/>
          <w:vertAlign w:val="baseline"/>
        </w:rPr>
        <w:footnoteRef/>
      </w:r>
      <w:r w:rsidRPr="00C266C5">
        <w:rPr>
          <w:rFonts w:asciiTheme="minorBidi" w:hAnsiTheme="minorBidi" w:cstheme="minorBidi"/>
          <w:sz w:val="18"/>
          <w:szCs w:val="18"/>
          <w:lang w:val="en-GB"/>
        </w:rPr>
        <w:t xml:space="preserve">. </w:t>
      </w:r>
      <w:r w:rsidRPr="00C266C5">
        <w:rPr>
          <w:rFonts w:asciiTheme="minorBidi" w:hAnsiTheme="minorBidi" w:cstheme="minorBidi"/>
          <w:sz w:val="18"/>
          <w:szCs w:val="18"/>
          <w:lang w:val="en-GB"/>
        </w:rPr>
        <w:tab/>
        <w:t>In the event that no extraordinary session of the Committee is held during the biennium, funds remaining on budget line 4 could be transferred to budget lines 5 and/or 6</w:t>
      </w:r>
      <w:r>
        <w:rPr>
          <w:rFonts w:asciiTheme="minorBidi" w:hAnsiTheme="minorBidi" w:cstheme="minorBidi"/>
          <w:sz w:val="18"/>
          <w:szCs w:val="18"/>
          <w:lang w:val="en-GB"/>
        </w:rPr>
        <w:t xml:space="preserve"> as required</w:t>
      </w:r>
      <w:r w:rsidR="00E6450D">
        <w:rPr>
          <w:rFonts w:asciiTheme="minorBidi" w:hAnsiTheme="minorBidi" w:cstheme="minorBidi"/>
          <w:sz w:val="18"/>
          <w:szCs w:val="18"/>
          <w:lang w:val="en-GB"/>
        </w:rPr>
        <w:t>,</w:t>
      </w:r>
      <w:r w:rsidRPr="00C266C5">
        <w:rPr>
          <w:rFonts w:asciiTheme="minorBidi" w:hAnsiTheme="minorBidi" w:cstheme="minorBidi"/>
          <w:sz w:val="18"/>
          <w:szCs w:val="18"/>
          <w:lang w:val="en-GB"/>
        </w:rPr>
        <w:t xml:space="preserve"> if the General Assembly maintains its authorization to make transfers between budget lines 4, 5, 6 and 7 (</w:t>
      </w:r>
      <w:r w:rsidRPr="00342926">
        <w:rPr>
          <w:rFonts w:asciiTheme="minorBidi" w:hAnsiTheme="minorBidi" w:cstheme="minorBidi"/>
          <w:sz w:val="18"/>
          <w:szCs w:val="18"/>
          <w:lang w:val="en-GB"/>
        </w:rPr>
        <w:t xml:space="preserve">see paragraph </w:t>
      </w:r>
      <w:r w:rsidR="00E6450D" w:rsidRPr="00342926">
        <w:rPr>
          <w:rFonts w:asciiTheme="minorBidi" w:hAnsiTheme="minorBidi" w:cstheme="minorBidi"/>
          <w:sz w:val="18"/>
          <w:szCs w:val="18"/>
          <w:lang w:val="en-GB"/>
        </w:rPr>
        <w:t>34</w:t>
      </w:r>
      <w:r w:rsidRPr="00342926">
        <w:rPr>
          <w:rFonts w:asciiTheme="minorBidi" w:hAnsiTheme="minorBidi" w:cstheme="minorBidi"/>
          <w:sz w:val="18"/>
          <w:szCs w:val="18"/>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EA055" w14:textId="5F785FBE" w:rsidR="00C266C5" w:rsidRPr="00C23A97" w:rsidRDefault="00C266C5" w:rsidP="00C5776D">
    <w:pPr>
      <w:pStyle w:val="Header"/>
      <w:rPr>
        <w:rFonts w:ascii="Arial" w:hAnsi="Arial" w:cs="Arial"/>
        <w:lang w:val="en-GB"/>
      </w:rPr>
    </w:pPr>
    <w:r>
      <w:rPr>
        <w:rFonts w:ascii="Arial" w:hAnsi="Arial" w:cs="Arial"/>
        <w:sz w:val="20"/>
        <w:szCs w:val="20"/>
        <w:lang w:val="en-GB"/>
      </w:rPr>
      <w:t>LHE/21/16.COM</w:t>
    </w:r>
    <w:r w:rsidRPr="00C23A97">
      <w:rPr>
        <w:rFonts w:ascii="Arial" w:hAnsi="Arial" w:cs="Arial"/>
        <w:sz w:val="20"/>
        <w:szCs w:val="20"/>
        <w:lang w:val="en-GB"/>
      </w:rPr>
      <w:t>/</w:t>
    </w:r>
    <w:r>
      <w:rPr>
        <w:rFonts w:ascii="Arial" w:hAnsi="Arial" w:cs="Arial"/>
        <w:sz w:val="20"/>
        <w:szCs w:val="20"/>
        <w:lang w:val="en-GB"/>
      </w:rPr>
      <w:t>13</w:t>
    </w:r>
    <w:r w:rsidRPr="00C23A97">
      <w:rPr>
        <w:rFonts w:ascii="Arial" w:hAnsi="Arial" w:cs="Arial"/>
        <w:sz w:val="20"/>
        <w:szCs w:val="20"/>
        <w:lang w:val="en-GB"/>
      </w:rPr>
      <w:t xml:space="preserve"> – page </w:t>
    </w:r>
    <w:r w:rsidRPr="00C23A97">
      <w:rPr>
        <w:rStyle w:val="PageNumber"/>
        <w:rFonts w:ascii="Arial" w:hAnsi="Arial" w:cs="Arial"/>
        <w:sz w:val="20"/>
        <w:szCs w:val="20"/>
        <w:lang w:val="en-GB"/>
      </w:rPr>
      <w:fldChar w:fldCharType="begin"/>
    </w:r>
    <w:r w:rsidRPr="00C23A97">
      <w:rPr>
        <w:rStyle w:val="PageNumber"/>
        <w:rFonts w:ascii="Arial" w:hAnsi="Arial" w:cs="Arial"/>
        <w:sz w:val="20"/>
        <w:szCs w:val="20"/>
        <w:lang w:val="en-GB"/>
      </w:rPr>
      <w:instrText xml:space="preserve"> PAGE </w:instrText>
    </w:r>
    <w:r w:rsidRPr="00C23A97">
      <w:rPr>
        <w:rStyle w:val="PageNumber"/>
        <w:rFonts w:ascii="Arial" w:hAnsi="Arial" w:cs="Arial"/>
        <w:sz w:val="20"/>
        <w:szCs w:val="20"/>
        <w:lang w:val="en-GB"/>
      </w:rPr>
      <w:fldChar w:fldCharType="separate"/>
    </w:r>
    <w:r>
      <w:rPr>
        <w:rStyle w:val="PageNumber"/>
        <w:rFonts w:ascii="Arial" w:hAnsi="Arial" w:cs="Arial"/>
        <w:noProof/>
        <w:sz w:val="20"/>
        <w:szCs w:val="20"/>
        <w:lang w:val="en-GB"/>
      </w:rPr>
      <w:t>2</w:t>
    </w:r>
    <w:r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F231B" w14:textId="2A2C797D" w:rsidR="00C266C5" w:rsidRPr="0063300C" w:rsidRDefault="00C266C5" w:rsidP="00C5776D">
    <w:pPr>
      <w:pStyle w:val="Header"/>
      <w:jc w:val="right"/>
      <w:rPr>
        <w:rFonts w:ascii="Arial" w:hAnsi="Arial" w:cs="Arial"/>
        <w:lang w:val="en-GB"/>
      </w:rPr>
    </w:pPr>
    <w:r>
      <w:rPr>
        <w:rFonts w:ascii="Arial" w:hAnsi="Arial" w:cs="Arial"/>
        <w:sz w:val="20"/>
        <w:szCs w:val="20"/>
        <w:lang w:val="en-GB"/>
      </w:rPr>
      <w:t>LHE/21/16.COM</w:t>
    </w:r>
    <w:r w:rsidRPr="0063300C">
      <w:rPr>
        <w:rFonts w:ascii="Arial" w:hAnsi="Arial" w:cs="Arial"/>
        <w:sz w:val="20"/>
        <w:szCs w:val="20"/>
        <w:lang w:val="en-GB"/>
      </w:rPr>
      <w:t>/</w:t>
    </w:r>
    <w:r>
      <w:rPr>
        <w:rFonts w:ascii="Arial" w:hAnsi="Arial" w:cs="Arial"/>
        <w:sz w:val="20"/>
        <w:szCs w:val="20"/>
        <w:lang w:val="en-GB"/>
      </w:rPr>
      <w:t>13</w:t>
    </w:r>
    <w:r w:rsidRPr="00E2125F">
      <w:rPr>
        <w:rFonts w:ascii="Arial" w:hAnsi="Arial" w:cs="Arial"/>
        <w:sz w:val="20"/>
        <w:szCs w:val="20"/>
        <w:lang w:val="en-GB"/>
      </w:rPr>
      <w:t xml:space="preserve"> –</w:t>
    </w:r>
    <w:r w:rsidRPr="0063300C">
      <w:rPr>
        <w:rFonts w:ascii="Arial" w:hAnsi="Arial" w:cs="Arial"/>
        <w:sz w:val="20"/>
        <w:szCs w:val="20"/>
        <w:lang w:val="en-GB"/>
      </w:rPr>
      <w:t xml:space="preserve"> page </w:t>
    </w:r>
    <w:r w:rsidRPr="0063300C">
      <w:rPr>
        <w:rStyle w:val="PageNumber"/>
        <w:rFonts w:ascii="Arial" w:hAnsi="Arial" w:cs="Arial"/>
        <w:sz w:val="20"/>
        <w:szCs w:val="20"/>
        <w:lang w:val="en-GB"/>
      </w:rPr>
      <w:fldChar w:fldCharType="begin"/>
    </w:r>
    <w:r w:rsidRPr="0063300C">
      <w:rPr>
        <w:rStyle w:val="PageNumber"/>
        <w:rFonts w:ascii="Arial" w:hAnsi="Arial" w:cs="Arial"/>
        <w:sz w:val="20"/>
        <w:szCs w:val="20"/>
        <w:lang w:val="en-GB"/>
      </w:rPr>
      <w:instrText xml:space="preserve"> PAGE </w:instrText>
    </w:r>
    <w:r w:rsidRPr="0063300C">
      <w:rPr>
        <w:rStyle w:val="PageNumber"/>
        <w:rFonts w:ascii="Arial" w:hAnsi="Arial" w:cs="Arial"/>
        <w:sz w:val="20"/>
        <w:szCs w:val="20"/>
        <w:lang w:val="en-GB"/>
      </w:rPr>
      <w:fldChar w:fldCharType="separate"/>
    </w:r>
    <w:r>
      <w:rPr>
        <w:rStyle w:val="PageNumber"/>
        <w:rFonts w:ascii="Arial" w:hAnsi="Arial" w:cs="Arial"/>
        <w:noProof/>
        <w:sz w:val="20"/>
        <w:szCs w:val="20"/>
        <w:lang w:val="en-GB"/>
      </w:rPr>
      <w:t>3</w:t>
    </w:r>
    <w:r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0B9E0" w14:textId="5D35B853" w:rsidR="00C266C5" w:rsidRPr="00E95AE2" w:rsidRDefault="00C266C5">
    <w:pPr>
      <w:pStyle w:val="Header"/>
      <w:rPr>
        <w:sz w:val="22"/>
        <w:szCs w:val="22"/>
        <w:lang w:val="en-GB"/>
      </w:rPr>
    </w:pPr>
    <w:r>
      <w:rPr>
        <w:noProof/>
        <w:lang w:val="en-GB"/>
      </w:rPr>
      <w:drawing>
        <wp:anchor distT="0" distB="0" distL="114300" distR="114300" simplePos="0" relativeHeight="251659264" behindDoc="0" locked="0" layoutInCell="1" allowOverlap="1" wp14:anchorId="70ED26A2" wp14:editId="54F016ED">
          <wp:simplePos x="0" y="0"/>
          <wp:positionH relativeFrom="column">
            <wp:posOffset>0</wp:posOffset>
          </wp:positionH>
          <wp:positionV relativeFrom="paragraph">
            <wp:posOffset>161925</wp:posOffset>
          </wp:positionV>
          <wp:extent cx="1711325" cy="1296035"/>
          <wp:effectExtent l="0" t="0" r="3175" b="0"/>
          <wp:wrapSquare wrapText="bothSides"/>
          <wp:docPr id="1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7B917" w14:textId="1BA222D0" w:rsidR="00C266C5" w:rsidRPr="00D7105A" w:rsidRDefault="00C266C5" w:rsidP="00C5776D">
    <w:pPr>
      <w:pStyle w:val="Header"/>
      <w:spacing w:after="520"/>
      <w:jc w:val="right"/>
      <w:rPr>
        <w:rFonts w:ascii="Arial" w:hAnsi="Arial" w:cs="Arial"/>
        <w:b/>
        <w:sz w:val="44"/>
        <w:szCs w:val="44"/>
        <w:lang w:val="pt-PT"/>
      </w:rPr>
    </w:pPr>
    <w:r w:rsidRPr="00D7105A">
      <w:rPr>
        <w:rFonts w:ascii="Arial" w:hAnsi="Arial" w:cs="Arial"/>
        <w:b/>
        <w:sz w:val="44"/>
        <w:szCs w:val="44"/>
        <w:lang w:val="pt-PT"/>
      </w:rPr>
      <w:t>1</w:t>
    </w:r>
    <w:r>
      <w:rPr>
        <w:rFonts w:ascii="Arial" w:hAnsi="Arial" w:cs="Arial"/>
        <w:b/>
        <w:sz w:val="44"/>
        <w:szCs w:val="44"/>
        <w:lang w:val="pt-PT"/>
      </w:rPr>
      <w:t>6</w:t>
    </w:r>
    <w:r w:rsidRPr="00D7105A">
      <w:rPr>
        <w:rFonts w:ascii="Arial" w:hAnsi="Arial" w:cs="Arial"/>
        <w:b/>
        <w:sz w:val="44"/>
        <w:szCs w:val="44"/>
        <w:lang w:val="pt-PT"/>
      </w:rPr>
      <w:t xml:space="preserve"> COM</w:t>
    </w:r>
  </w:p>
  <w:p w14:paraId="306484B8" w14:textId="1D9891BE" w:rsidR="00C266C5" w:rsidRPr="00D7105A" w:rsidRDefault="00C266C5" w:rsidP="00C5776D">
    <w:pPr>
      <w:jc w:val="right"/>
      <w:rPr>
        <w:rFonts w:ascii="Arial" w:hAnsi="Arial" w:cs="Arial"/>
        <w:b/>
        <w:sz w:val="22"/>
        <w:szCs w:val="22"/>
        <w:lang w:val="pt-PT"/>
      </w:rPr>
    </w:pPr>
    <w:r w:rsidRPr="00D7105A">
      <w:rPr>
        <w:rFonts w:ascii="Arial" w:hAnsi="Arial" w:cs="Arial"/>
        <w:b/>
        <w:sz w:val="22"/>
        <w:szCs w:val="22"/>
        <w:lang w:val="pt-PT"/>
      </w:rPr>
      <w:t>LHE/</w:t>
    </w:r>
    <w:r>
      <w:rPr>
        <w:rFonts w:ascii="Arial" w:hAnsi="Arial" w:cs="Arial"/>
        <w:b/>
        <w:sz w:val="22"/>
        <w:szCs w:val="22"/>
        <w:lang w:val="pt-PT"/>
      </w:rPr>
      <w:t>21</w:t>
    </w:r>
    <w:r w:rsidRPr="00D7105A">
      <w:rPr>
        <w:rFonts w:ascii="Arial" w:hAnsi="Arial" w:cs="Arial"/>
        <w:b/>
        <w:sz w:val="22"/>
        <w:szCs w:val="22"/>
        <w:lang w:val="pt-PT"/>
      </w:rPr>
      <w:t>/1</w:t>
    </w:r>
    <w:r>
      <w:rPr>
        <w:rFonts w:ascii="Arial" w:hAnsi="Arial" w:cs="Arial"/>
        <w:b/>
        <w:sz w:val="22"/>
        <w:szCs w:val="22"/>
        <w:lang w:val="pt-PT"/>
      </w:rPr>
      <w:t>6</w:t>
    </w:r>
    <w:r w:rsidRPr="00D7105A">
      <w:rPr>
        <w:rFonts w:ascii="Arial" w:hAnsi="Arial" w:cs="Arial"/>
        <w:b/>
        <w:sz w:val="22"/>
        <w:szCs w:val="22"/>
        <w:lang w:val="pt-PT"/>
      </w:rPr>
      <w:t>.COM/</w:t>
    </w:r>
    <w:r>
      <w:rPr>
        <w:rFonts w:ascii="Arial" w:hAnsi="Arial" w:cs="Arial"/>
        <w:b/>
        <w:sz w:val="22"/>
        <w:szCs w:val="22"/>
        <w:lang w:val="pt-PT"/>
      </w:rPr>
      <w:t>13</w:t>
    </w:r>
  </w:p>
  <w:p w14:paraId="1B4446C3" w14:textId="073D83F6" w:rsidR="00C266C5" w:rsidRPr="00D7105A" w:rsidRDefault="00C266C5" w:rsidP="00655736">
    <w:pPr>
      <w:jc w:val="right"/>
      <w:rPr>
        <w:rFonts w:ascii="Arial" w:eastAsiaTheme="minorEastAsia" w:hAnsi="Arial" w:cs="Arial"/>
        <w:b/>
        <w:sz w:val="22"/>
        <w:szCs w:val="22"/>
        <w:lang w:val="pt-PT" w:eastAsia="ko-KR"/>
      </w:rPr>
    </w:pPr>
    <w:r w:rsidRPr="00D7105A">
      <w:rPr>
        <w:rFonts w:ascii="Arial" w:hAnsi="Arial" w:cs="Arial"/>
        <w:b/>
        <w:sz w:val="22"/>
        <w:szCs w:val="22"/>
        <w:lang w:val="pt-PT"/>
      </w:rPr>
      <w:t xml:space="preserve">Paris, </w:t>
    </w:r>
    <w:r w:rsidRPr="00BC2EA0">
      <w:rPr>
        <w:rFonts w:ascii="Arial" w:hAnsi="Arial" w:cs="Arial"/>
        <w:b/>
        <w:sz w:val="22"/>
        <w:szCs w:val="22"/>
        <w:lang w:val="pt-PT"/>
      </w:rPr>
      <w:t>15 November</w:t>
    </w:r>
    <w:r w:rsidRPr="00D7105A">
      <w:rPr>
        <w:rFonts w:ascii="Arial" w:hAnsi="Arial" w:cs="Arial"/>
        <w:b/>
        <w:sz w:val="22"/>
        <w:szCs w:val="22"/>
        <w:lang w:val="pt-PT"/>
      </w:rPr>
      <w:t xml:space="preserve"> 20</w:t>
    </w:r>
    <w:r>
      <w:rPr>
        <w:rFonts w:ascii="Arial" w:hAnsi="Arial" w:cs="Arial"/>
        <w:b/>
        <w:sz w:val="22"/>
        <w:szCs w:val="22"/>
        <w:lang w:val="pt-PT"/>
      </w:rPr>
      <w:t>21</w:t>
    </w:r>
  </w:p>
  <w:p w14:paraId="255B57FF" w14:textId="52ED7DE1" w:rsidR="00C266C5" w:rsidRPr="009743A9" w:rsidRDefault="00C266C5" w:rsidP="000048ED">
    <w:pPr>
      <w:jc w:val="right"/>
      <w:rPr>
        <w:rFonts w:ascii="Arial" w:hAnsi="Arial" w:cs="Arial"/>
        <w:b/>
        <w:sz w:val="22"/>
        <w:szCs w:val="22"/>
      </w:rPr>
    </w:pPr>
    <w:r w:rsidRPr="009743A9">
      <w:rPr>
        <w:rFonts w:ascii="Arial" w:hAnsi="Arial" w:cs="Arial"/>
        <w:b/>
        <w:sz w:val="22"/>
        <w:szCs w:val="22"/>
      </w:rPr>
      <w:t>Original: E</w:t>
    </w:r>
    <w:r>
      <w:rPr>
        <w:rFonts w:ascii="Arial" w:hAnsi="Arial" w:cs="Arial"/>
        <w:b/>
        <w:sz w:val="22"/>
        <w:szCs w:val="22"/>
      </w:rPr>
      <w:t>nglish</w:t>
    </w:r>
  </w:p>
  <w:p w14:paraId="3C4B8B1B" w14:textId="77777777" w:rsidR="00C266C5" w:rsidRPr="009743A9" w:rsidRDefault="00C266C5">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A793FD4"/>
    <w:multiLevelType w:val="multilevel"/>
    <w:tmpl w:val="EB884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C914AD"/>
    <w:multiLevelType w:val="hybridMultilevel"/>
    <w:tmpl w:val="B7EC7EB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4"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09D611E"/>
    <w:multiLevelType w:val="hybridMultilevel"/>
    <w:tmpl w:val="9BA449B4"/>
    <w:lvl w:ilvl="0" w:tplc="EE6EA670">
      <w:start w:val="1"/>
      <w:numFmt w:val="upp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6" w15:restartNumberingAfterBreak="0">
    <w:nsid w:val="35F07BFE"/>
    <w:multiLevelType w:val="hybridMultilevel"/>
    <w:tmpl w:val="7F60F9E2"/>
    <w:lvl w:ilvl="0" w:tplc="76CAC304">
      <w:start w:val="1"/>
      <w:numFmt w:val="decimal"/>
      <w:pStyle w:val="COMPara"/>
      <w:lvlText w:val="%1."/>
      <w:lvlJc w:val="left"/>
      <w:pPr>
        <w:ind w:left="928"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9"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1"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2" w15:restartNumberingAfterBreak="0">
    <w:nsid w:val="4F872126"/>
    <w:multiLevelType w:val="hybridMultilevel"/>
    <w:tmpl w:val="C2E690EA"/>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3" w15:restartNumberingAfterBreak="0">
    <w:nsid w:val="55A15509"/>
    <w:multiLevelType w:val="hybridMultilevel"/>
    <w:tmpl w:val="2B62A086"/>
    <w:lvl w:ilvl="0" w:tplc="E3002142">
      <w:start w:val="2"/>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88A62F3"/>
    <w:multiLevelType w:val="multilevel"/>
    <w:tmpl w:val="8CCE3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6" w15:restartNumberingAfterBreak="0">
    <w:nsid w:val="66563B31"/>
    <w:multiLevelType w:val="hybridMultilevel"/>
    <w:tmpl w:val="0670617A"/>
    <w:lvl w:ilvl="0" w:tplc="D36C7616">
      <w:start w:val="1"/>
      <w:numFmt w:val="decimal"/>
      <w:pStyle w:val="GAPara"/>
      <w:lvlText w:val="%1."/>
      <w:lvlJc w:val="left"/>
      <w:pPr>
        <w:ind w:left="720" w:hanging="360"/>
      </w:pPr>
      <w:rPr>
        <w:rFonts w:ascii="Arial" w:hAnsi="Arial" w:cs="Arial" w:hint="default"/>
        <w:b w:val="0"/>
        <w:bCs w:val="0"/>
        <w:i w:val="0"/>
        <w:iCs w:val="0"/>
        <w:strike w:val="0"/>
        <w:sz w:val="22"/>
        <w:szCs w:val="22"/>
      </w:rPr>
    </w:lvl>
    <w:lvl w:ilvl="1" w:tplc="040C0001">
      <w:start w:val="1"/>
      <w:numFmt w:val="bullet"/>
      <w:lvlText w:val=""/>
      <w:lvlJc w:val="left"/>
      <w:pPr>
        <w:ind w:left="1440" w:hanging="360"/>
      </w:pPr>
      <w:rPr>
        <w:rFonts w:ascii="Symbol" w:hAnsi="Symbol" w:hint="default"/>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EA57578"/>
    <w:multiLevelType w:val="hybridMultilevel"/>
    <w:tmpl w:val="903CCE78"/>
    <w:lvl w:ilvl="0" w:tplc="D780EB0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B3B55DF"/>
    <w:multiLevelType w:val="hybridMultilevel"/>
    <w:tmpl w:val="4BF44F56"/>
    <w:lvl w:ilvl="0" w:tplc="BC1E59A8">
      <w:start w:val="1"/>
      <w:numFmt w:val="upperRoman"/>
      <w:lvlText w:val="%1."/>
      <w:lvlJc w:val="left"/>
      <w:pPr>
        <w:ind w:left="1080" w:hanging="72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C627CF4"/>
    <w:multiLevelType w:val="hybridMultilevel"/>
    <w:tmpl w:val="C5527DE8"/>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abstractNumId w:val="15"/>
  </w:num>
  <w:num w:numId="2">
    <w:abstractNumId w:val="7"/>
  </w:num>
  <w:num w:numId="3">
    <w:abstractNumId w:val="3"/>
  </w:num>
  <w:num w:numId="4">
    <w:abstractNumId w:val="19"/>
  </w:num>
  <w:num w:numId="5">
    <w:abstractNumId w:val="17"/>
  </w:num>
  <w:num w:numId="6">
    <w:abstractNumId w:val="0"/>
  </w:num>
  <w:num w:numId="7">
    <w:abstractNumId w:val="4"/>
  </w:num>
  <w:num w:numId="8">
    <w:abstractNumId w:val="11"/>
  </w:num>
  <w:num w:numId="9">
    <w:abstractNumId w:val="6"/>
  </w:num>
  <w:num w:numId="10">
    <w:abstractNumId w:val="8"/>
  </w:num>
  <w:num w:numId="11">
    <w:abstractNumId w:val="10"/>
  </w:num>
  <w:num w:numId="12">
    <w:abstractNumId w:val="9"/>
  </w:num>
  <w:num w:numId="13">
    <w:abstractNumId w:val="21"/>
  </w:num>
  <w:num w:numId="14">
    <w:abstractNumId w:val="2"/>
  </w:num>
  <w:num w:numId="15">
    <w:abstractNumId w:val="18"/>
  </w:num>
  <w:num w:numId="16">
    <w:abstractNumId w:val="13"/>
  </w:num>
  <w:num w:numId="17">
    <w:abstractNumId w:val="9"/>
  </w:num>
  <w:num w:numId="18">
    <w:abstractNumId w:val="20"/>
  </w:num>
  <w:num w:numId="19">
    <w:abstractNumId w:val="9"/>
  </w:num>
  <w:num w:numId="20">
    <w:abstractNumId w:val="6"/>
    <w:lvlOverride w:ilvl="0">
      <w:startOverride w:val="1"/>
    </w:lvlOverride>
  </w:num>
  <w:num w:numId="21">
    <w:abstractNumId w:val="16"/>
  </w:num>
  <w:num w:numId="22">
    <w:abstractNumId w:val="5"/>
  </w:num>
  <w:num w:numId="23">
    <w:abstractNumId w:val="14"/>
  </w:num>
  <w:num w:numId="24">
    <w:abstractNumId w:val="1"/>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12"/>
  </w:num>
  <w:num w:numId="34">
    <w:abstractNumId w:val="6"/>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09FB"/>
    <w:rsid w:val="000048ED"/>
    <w:rsid w:val="000049BA"/>
    <w:rsid w:val="000104FC"/>
    <w:rsid w:val="0001287A"/>
    <w:rsid w:val="00014915"/>
    <w:rsid w:val="00014F16"/>
    <w:rsid w:val="000153DC"/>
    <w:rsid w:val="000343AB"/>
    <w:rsid w:val="00035948"/>
    <w:rsid w:val="00041A66"/>
    <w:rsid w:val="00042D88"/>
    <w:rsid w:val="00045498"/>
    <w:rsid w:val="00047051"/>
    <w:rsid w:val="0005176E"/>
    <w:rsid w:val="000541AA"/>
    <w:rsid w:val="00055FB5"/>
    <w:rsid w:val="00057FB3"/>
    <w:rsid w:val="000656A3"/>
    <w:rsid w:val="0007261F"/>
    <w:rsid w:val="00072F78"/>
    <w:rsid w:val="000765F7"/>
    <w:rsid w:val="00077AB7"/>
    <w:rsid w:val="00081CD8"/>
    <w:rsid w:val="000859D8"/>
    <w:rsid w:val="000905AB"/>
    <w:rsid w:val="00092EE7"/>
    <w:rsid w:val="0009553C"/>
    <w:rsid w:val="000A70FF"/>
    <w:rsid w:val="000A7F0E"/>
    <w:rsid w:val="000B0F99"/>
    <w:rsid w:val="000B1C8F"/>
    <w:rsid w:val="000B535C"/>
    <w:rsid w:val="000C00A1"/>
    <w:rsid w:val="000C0D61"/>
    <w:rsid w:val="000C1A08"/>
    <w:rsid w:val="000D6F71"/>
    <w:rsid w:val="000E0A3A"/>
    <w:rsid w:val="000F19E8"/>
    <w:rsid w:val="000F1C48"/>
    <w:rsid w:val="000F3A3F"/>
    <w:rsid w:val="000F4D85"/>
    <w:rsid w:val="00102557"/>
    <w:rsid w:val="001110F4"/>
    <w:rsid w:val="00111CF2"/>
    <w:rsid w:val="00116FEA"/>
    <w:rsid w:val="00124D07"/>
    <w:rsid w:val="00146074"/>
    <w:rsid w:val="00164084"/>
    <w:rsid w:val="00164D56"/>
    <w:rsid w:val="0016501A"/>
    <w:rsid w:val="001679A5"/>
    <w:rsid w:val="00167B10"/>
    <w:rsid w:val="0017402F"/>
    <w:rsid w:val="00186703"/>
    <w:rsid w:val="00190205"/>
    <w:rsid w:val="00193DFF"/>
    <w:rsid w:val="00196C1B"/>
    <w:rsid w:val="001B0F73"/>
    <w:rsid w:val="001C2DB7"/>
    <w:rsid w:val="001C3FD9"/>
    <w:rsid w:val="001C7599"/>
    <w:rsid w:val="001D0121"/>
    <w:rsid w:val="001D14FE"/>
    <w:rsid w:val="001D332F"/>
    <w:rsid w:val="001D567A"/>
    <w:rsid w:val="001D5C04"/>
    <w:rsid w:val="001D7AF3"/>
    <w:rsid w:val="001D7E01"/>
    <w:rsid w:val="001E7DCF"/>
    <w:rsid w:val="001F26CF"/>
    <w:rsid w:val="00220555"/>
    <w:rsid w:val="00220B31"/>
    <w:rsid w:val="00222A2D"/>
    <w:rsid w:val="00223029"/>
    <w:rsid w:val="00234745"/>
    <w:rsid w:val="002348A0"/>
    <w:rsid w:val="002351A6"/>
    <w:rsid w:val="002407AF"/>
    <w:rsid w:val="002416A5"/>
    <w:rsid w:val="0024724D"/>
    <w:rsid w:val="00257DC6"/>
    <w:rsid w:val="00270A24"/>
    <w:rsid w:val="00271EF4"/>
    <w:rsid w:val="0027466B"/>
    <w:rsid w:val="002757F1"/>
    <w:rsid w:val="00280A42"/>
    <w:rsid w:val="002838A5"/>
    <w:rsid w:val="00284C82"/>
    <w:rsid w:val="00285BB4"/>
    <w:rsid w:val="002A0E73"/>
    <w:rsid w:val="002A5BBE"/>
    <w:rsid w:val="002B061E"/>
    <w:rsid w:val="002B12D9"/>
    <w:rsid w:val="002B2BD9"/>
    <w:rsid w:val="002B6965"/>
    <w:rsid w:val="002C09E3"/>
    <w:rsid w:val="002C0C88"/>
    <w:rsid w:val="002D1244"/>
    <w:rsid w:val="002D4711"/>
    <w:rsid w:val="002D7BF7"/>
    <w:rsid w:val="002E2156"/>
    <w:rsid w:val="002E684B"/>
    <w:rsid w:val="002F4BCD"/>
    <w:rsid w:val="002F7772"/>
    <w:rsid w:val="003069F1"/>
    <w:rsid w:val="00323845"/>
    <w:rsid w:val="00332814"/>
    <w:rsid w:val="003351CB"/>
    <w:rsid w:val="003375C0"/>
    <w:rsid w:val="00337CEB"/>
    <w:rsid w:val="0034054E"/>
    <w:rsid w:val="00342926"/>
    <w:rsid w:val="00343845"/>
    <w:rsid w:val="00344B58"/>
    <w:rsid w:val="0034539A"/>
    <w:rsid w:val="00345CB4"/>
    <w:rsid w:val="00363734"/>
    <w:rsid w:val="00367053"/>
    <w:rsid w:val="0037288E"/>
    <w:rsid w:val="00375D42"/>
    <w:rsid w:val="00380F84"/>
    <w:rsid w:val="00383A3C"/>
    <w:rsid w:val="003868A7"/>
    <w:rsid w:val="003875D3"/>
    <w:rsid w:val="00397964"/>
    <w:rsid w:val="003A0D0E"/>
    <w:rsid w:val="003A616B"/>
    <w:rsid w:val="003A6C82"/>
    <w:rsid w:val="003A72A3"/>
    <w:rsid w:val="003B1B6E"/>
    <w:rsid w:val="003B4C2D"/>
    <w:rsid w:val="003B5B46"/>
    <w:rsid w:val="003B618E"/>
    <w:rsid w:val="003D069C"/>
    <w:rsid w:val="003D1184"/>
    <w:rsid w:val="003D5C1C"/>
    <w:rsid w:val="003D7646"/>
    <w:rsid w:val="003E7CB7"/>
    <w:rsid w:val="003F113A"/>
    <w:rsid w:val="003F3E63"/>
    <w:rsid w:val="00404156"/>
    <w:rsid w:val="00407480"/>
    <w:rsid w:val="004119E0"/>
    <w:rsid w:val="00413055"/>
    <w:rsid w:val="00414643"/>
    <w:rsid w:val="00414C93"/>
    <w:rsid w:val="00415417"/>
    <w:rsid w:val="0042162E"/>
    <w:rsid w:val="0042283E"/>
    <w:rsid w:val="004421E5"/>
    <w:rsid w:val="0044749C"/>
    <w:rsid w:val="00450686"/>
    <w:rsid w:val="00452284"/>
    <w:rsid w:val="004525EA"/>
    <w:rsid w:val="00454AA7"/>
    <w:rsid w:val="00455E6C"/>
    <w:rsid w:val="00457573"/>
    <w:rsid w:val="00457C8E"/>
    <w:rsid w:val="0046272E"/>
    <w:rsid w:val="00463FAC"/>
    <w:rsid w:val="00471EBA"/>
    <w:rsid w:val="00483DEF"/>
    <w:rsid w:val="004856CA"/>
    <w:rsid w:val="00487E67"/>
    <w:rsid w:val="00490E36"/>
    <w:rsid w:val="00493C76"/>
    <w:rsid w:val="0049705E"/>
    <w:rsid w:val="004A2875"/>
    <w:rsid w:val="004A2AFA"/>
    <w:rsid w:val="004A2CF2"/>
    <w:rsid w:val="004A34A0"/>
    <w:rsid w:val="004C3E47"/>
    <w:rsid w:val="004C7C82"/>
    <w:rsid w:val="004D37C8"/>
    <w:rsid w:val="004D524E"/>
    <w:rsid w:val="004E11AF"/>
    <w:rsid w:val="004E7548"/>
    <w:rsid w:val="004E77BF"/>
    <w:rsid w:val="005008A8"/>
    <w:rsid w:val="00504D9B"/>
    <w:rsid w:val="005115D7"/>
    <w:rsid w:val="005115D9"/>
    <w:rsid w:val="005136FA"/>
    <w:rsid w:val="00517FD8"/>
    <w:rsid w:val="00525BDC"/>
    <w:rsid w:val="00526B7B"/>
    <w:rsid w:val="005308CE"/>
    <w:rsid w:val="0053318C"/>
    <w:rsid w:val="00550292"/>
    <w:rsid w:val="005517D4"/>
    <w:rsid w:val="0055308B"/>
    <w:rsid w:val="005561D3"/>
    <w:rsid w:val="0057309C"/>
    <w:rsid w:val="005730DD"/>
    <w:rsid w:val="0057439C"/>
    <w:rsid w:val="00580659"/>
    <w:rsid w:val="00582DA2"/>
    <w:rsid w:val="005832A5"/>
    <w:rsid w:val="00587C88"/>
    <w:rsid w:val="0059554D"/>
    <w:rsid w:val="005A7BC9"/>
    <w:rsid w:val="005B0127"/>
    <w:rsid w:val="005B236E"/>
    <w:rsid w:val="005B3427"/>
    <w:rsid w:val="005B5E57"/>
    <w:rsid w:val="005B7888"/>
    <w:rsid w:val="005B7A35"/>
    <w:rsid w:val="005C24C3"/>
    <w:rsid w:val="005C4B73"/>
    <w:rsid w:val="005E1D2B"/>
    <w:rsid w:val="005E7074"/>
    <w:rsid w:val="005F2BAF"/>
    <w:rsid w:val="005F7BAC"/>
    <w:rsid w:val="00600D93"/>
    <w:rsid w:val="006063C4"/>
    <w:rsid w:val="00626BEA"/>
    <w:rsid w:val="00632539"/>
    <w:rsid w:val="0063300C"/>
    <w:rsid w:val="006473D4"/>
    <w:rsid w:val="006506C3"/>
    <w:rsid w:val="00651A5B"/>
    <w:rsid w:val="00655736"/>
    <w:rsid w:val="00655CB9"/>
    <w:rsid w:val="00663B8D"/>
    <w:rsid w:val="00665CE2"/>
    <w:rsid w:val="00676510"/>
    <w:rsid w:val="0068080C"/>
    <w:rsid w:val="00683F93"/>
    <w:rsid w:val="006962D0"/>
    <w:rsid w:val="00696C8D"/>
    <w:rsid w:val="006A2AC2"/>
    <w:rsid w:val="006A3617"/>
    <w:rsid w:val="006B4452"/>
    <w:rsid w:val="006B635D"/>
    <w:rsid w:val="006E0129"/>
    <w:rsid w:val="006E2707"/>
    <w:rsid w:val="006E46E4"/>
    <w:rsid w:val="006E6383"/>
    <w:rsid w:val="006E75EB"/>
    <w:rsid w:val="006F5D4B"/>
    <w:rsid w:val="00706916"/>
    <w:rsid w:val="00717DA5"/>
    <w:rsid w:val="00744484"/>
    <w:rsid w:val="00747566"/>
    <w:rsid w:val="007538AB"/>
    <w:rsid w:val="00755AE6"/>
    <w:rsid w:val="00757F0E"/>
    <w:rsid w:val="00765665"/>
    <w:rsid w:val="00770D67"/>
    <w:rsid w:val="00770F1E"/>
    <w:rsid w:val="007718EE"/>
    <w:rsid w:val="00773188"/>
    <w:rsid w:val="00776A55"/>
    <w:rsid w:val="0078235A"/>
    <w:rsid w:val="00783782"/>
    <w:rsid w:val="00784B8C"/>
    <w:rsid w:val="007879E1"/>
    <w:rsid w:val="00792AA0"/>
    <w:rsid w:val="007A2180"/>
    <w:rsid w:val="007B02B9"/>
    <w:rsid w:val="007B3EB6"/>
    <w:rsid w:val="007C2BB2"/>
    <w:rsid w:val="007C719A"/>
    <w:rsid w:val="007D7268"/>
    <w:rsid w:val="007D772F"/>
    <w:rsid w:val="007D7F09"/>
    <w:rsid w:val="007E44A6"/>
    <w:rsid w:val="007E5EDA"/>
    <w:rsid w:val="007E676E"/>
    <w:rsid w:val="007F402D"/>
    <w:rsid w:val="007F6901"/>
    <w:rsid w:val="008124DD"/>
    <w:rsid w:val="0081310D"/>
    <w:rsid w:val="00814FC4"/>
    <w:rsid w:val="00820D7E"/>
    <w:rsid w:val="00823A11"/>
    <w:rsid w:val="00835342"/>
    <w:rsid w:val="008436D8"/>
    <w:rsid w:val="0085230B"/>
    <w:rsid w:val="00852F42"/>
    <w:rsid w:val="0085405E"/>
    <w:rsid w:val="0085414A"/>
    <w:rsid w:val="00857EB9"/>
    <w:rsid w:val="0086269D"/>
    <w:rsid w:val="00862787"/>
    <w:rsid w:val="0086543A"/>
    <w:rsid w:val="00871259"/>
    <w:rsid w:val="008724E5"/>
    <w:rsid w:val="00880753"/>
    <w:rsid w:val="00884A9D"/>
    <w:rsid w:val="0088512B"/>
    <w:rsid w:val="00891DA2"/>
    <w:rsid w:val="008A04D2"/>
    <w:rsid w:val="008A2B2D"/>
    <w:rsid w:val="008A4E1E"/>
    <w:rsid w:val="008B79B0"/>
    <w:rsid w:val="008B7E2F"/>
    <w:rsid w:val="008C0FC3"/>
    <w:rsid w:val="008C296C"/>
    <w:rsid w:val="008C3FBA"/>
    <w:rsid w:val="008C48F4"/>
    <w:rsid w:val="008D0470"/>
    <w:rsid w:val="008D4305"/>
    <w:rsid w:val="008E1A85"/>
    <w:rsid w:val="008F28C9"/>
    <w:rsid w:val="00900DA9"/>
    <w:rsid w:val="009163A7"/>
    <w:rsid w:val="00922C41"/>
    <w:rsid w:val="00927333"/>
    <w:rsid w:val="00931489"/>
    <w:rsid w:val="00937F5C"/>
    <w:rsid w:val="00946D0B"/>
    <w:rsid w:val="00947538"/>
    <w:rsid w:val="00953A3C"/>
    <w:rsid w:val="00955877"/>
    <w:rsid w:val="00956FA4"/>
    <w:rsid w:val="00961FD4"/>
    <w:rsid w:val="0097064F"/>
    <w:rsid w:val="00973F5A"/>
    <w:rsid w:val="009743A9"/>
    <w:rsid w:val="00987A43"/>
    <w:rsid w:val="00992E3C"/>
    <w:rsid w:val="00993F14"/>
    <w:rsid w:val="00995021"/>
    <w:rsid w:val="009A18CD"/>
    <w:rsid w:val="009A51E9"/>
    <w:rsid w:val="009B34F2"/>
    <w:rsid w:val="009C40DA"/>
    <w:rsid w:val="009C5A6E"/>
    <w:rsid w:val="009D5428"/>
    <w:rsid w:val="009E052D"/>
    <w:rsid w:val="009F7D38"/>
    <w:rsid w:val="00A11DE4"/>
    <w:rsid w:val="00A12558"/>
    <w:rsid w:val="00A131B0"/>
    <w:rsid w:val="00A13903"/>
    <w:rsid w:val="00A16C46"/>
    <w:rsid w:val="00A176D9"/>
    <w:rsid w:val="00A17DC7"/>
    <w:rsid w:val="00A20CCC"/>
    <w:rsid w:val="00A22CE4"/>
    <w:rsid w:val="00A25415"/>
    <w:rsid w:val="00A27B60"/>
    <w:rsid w:val="00A32C67"/>
    <w:rsid w:val="00A338B1"/>
    <w:rsid w:val="00A346AD"/>
    <w:rsid w:val="00A34ED5"/>
    <w:rsid w:val="00A402C3"/>
    <w:rsid w:val="00A41574"/>
    <w:rsid w:val="00A44CAC"/>
    <w:rsid w:val="00A45DBF"/>
    <w:rsid w:val="00A46DA7"/>
    <w:rsid w:val="00A62707"/>
    <w:rsid w:val="00A64969"/>
    <w:rsid w:val="00A725CF"/>
    <w:rsid w:val="00A755A2"/>
    <w:rsid w:val="00A76B8C"/>
    <w:rsid w:val="00A85E20"/>
    <w:rsid w:val="00AA4FD2"/>
    <w:rsid w:val="00AA5795"/>
    <w:rsid w:val="00AA6660"/>
    <w:rsid w:val="00AB2C36"/>
    <w:rsid w:val="00AB6DDE"/>
    <w:rsid w:val="00AB70B6"/>
    <w:rsid w:val="00AC746F"/>
    <w:rsid w:val="00AD1A86"/>
    <w:rsid w:val="00AD62FA"/>
    <w:rsid w:val="00AE103E"/>
    <w:rsid w:val="00AF085E"/>
    <w:rsid w:val="00AF0A07"/>
    <w:rsid w:val="00AF4AEC"/>
    <w:rsid w:val="00AF625E"/>
    <w:rsid w:val="00B139BE"/>
    <w:rsid w:val="00B2172B"/>
    <w:rsid w:val="00B26B10"/>
    <w:rsid w:val="00B26D7C"/>
    <w:rsid w:val="00B32418"/>
    <w:rsid w:val="00B50DF6"/>
    <w:rsid w:val="00B576C7"/>
    <w:rsid w:val="00B726D1"/>
    <w:rsid w:val="00B86627"/>
    <w:rsid w:val="00B913C4"/>
    <w:rsid w:val="00B917D2"/>
    <w:rsid w:val="00BA241A"/>
    <w:rsid w:val="00BA7175"/>
    <w:rsid w:val="00BB04AF"/>
    <w:rsid w:val="00BB0D27"/>
    <w:rsid w:val="00BB1B92"/>
    <w:rsid w:val="00BB376A"/>
    <w:rsid w:val="00BC2EA0"/>
    <w:rsid w:val="00BD0378"/>
    <w:rsid w:val="00BD52C9"/>
    <w:rsid w:val="00BD63D5"/>
    <w:rsid w:val="00BD7D08"/>
    <w:rsid w:val="00BE613A"/>
    <w:rsid w:val="00BE6354"/>
    <w:rsid w:val="00BF516F"/>
    <w:rsid w:val="00C135B7"/>
    <w:rsid w:val="00C138D1"/>
    <w:rsid w:val="00C1475F"/>
    <w:rsid w:val="00C23A97"/>
    <w:rsid w:val="00C23F74"/>
    <w:rsid w:val="00C266C5"/>
    <w:rsid w:val="00C32B55"/>
    <w:rsid w:val="00C34267"/>
    <w:rsid w:val="00C42741"/>
    <w:rsid w:val="00C52EBE"/>
    <w:rsid w:val="00C547CB"/>
    <w:rsid w:val="00C5776D"/>
    <w:rsid w:val="00C626B7"/>
    <w:rsid w:val="00C6382E"/>
    <w:rsid w:val="00C64855"/>
    <w:rsid w:val="00C704EB"/>
    <w:rsid w:val="00C70EA7"/>
    <w:rsid w:val="00C7433F"/>
    <w:rsid w:val="00C7516E"/>
    <w:rsid w:val="00C75770"/>
    <w:rsid w:val="00C75994"/>
    <w:rsid w:val="00C762B3"/>
    <w:rsid w:val="00C814D3"/>
    <w:rsid w:val="00C86C4C"/>
    <w:rsid w:val="00C95E42"/>
    <w:rsid w:val="00C97273"/>
    <w:rsid w:val="00C9785A"/>
    <w:rsid w:val="00CA56BB"/>
    <w:rsid w:val="00CA6440"/>
    <w:rsid w:val="00CB0542"/>
    <w:rsid w:val="00CB35D2"/>
    <w:rsid w:val="00CC0B83"/>
    <w:rsid w:val="00CC685E"/>
    <w:rsid w:val="00CD42D3"/>
    <w:rsid w:val="00D00B2B"/>
    <w:rsid w:val="00D05BB2"/>
    <w:rsid w:val="00D06BF4"/>
    <w:rsid w:val="00D12590"/>
    <w:rsid w:val="00D12D97"/>
    <w:rsid w:val="00D20FD5"/>
    <w:rsid w:val="00D22FC9"/>
    <w:rsid w:val="00D24637"/>
    <w:rsid w:val="00D24877"/>
    <w:rsid w:val="00D34AF1"/>
    <w:rsid w:val="00D404D3"/>
    <w:rsid w:val="00D5242D"/>
    <w:rsid w:val="00D5350E"/>
    <w:rsid w:val="00D606B2"/>
    <w:rsid w:val="00D63606"/>
    <w:rsid w:val="00D647BF"/>
    <w:rsid w:val="00D65DAC"/>
    <w:rsid w:val="00D7105A"/>
    <w:rsid w:val="00D81DDA"/>
    <w:rsid w:val="00D8250F"/>
    <w:rsid w:val="00D85F48"/>
    <w:rsid w:val="00D868FE"/>
    <w:rsid w:val="00D912A4"/>
    <w:rsid w:val="00D956C8"/>
    <w:rsid w:val="00D95C4C"/>
    <w:rsid w:val="00DA36ED"/>
    <w:rsid w:val="00DA61FE"/>
    <w:rsid w:val="00DA73D4"/>
    <w:rsid w:val="00DB1118"/>
    <w:rsid w:val="00DC4A92"/>
    <w:rsid w:val="00DD0C74"/>
    <w:rsid w:val="00DE0AE6"/>
    <w:rsid w:val="00DE12E8"/>
    <w:rsid w:val="00DE34F1"/>
    <w:rsid w:val="00DE6160"/>
    <w:rsid w:val="00DE7897"/>
    <w:rsid w:val="00DF1618"/>
    <w:rsid w:val="00DF4942"/>
    <w:rsid w:val="00DF58AD"/>
    <w:rsid w:val="00E15490"/>
    <w:rsid w:val="00E16F73"/>
    <w:rsid w:val="00E2125F"/>
    <w:rsid w:val="00E244E1"/>
    <w:rsid w:val="00E316DB"/>
    <w:rsid w:val="00E32056"/>
    <w:rsid w:val="00E4150C"/>
    <w:rsid w:val="00E427CF"/>
    <w:rsid w:val="00E42E7A"/>
    <w:rsid w:val="00E53295"/>
    <w:rsid w:val="00E54B21"/>
    <w:rsid w:val="00E627B1"/>
    <w:rsid w:val="00E64197"/>
    <w:rsid w:val="00E6450D"/>
    <w:rsid w:val="00E649CC"/>
    <w:rsid w:val="00E70169"/>
    <w:rsid w:val="00E70D08"/>
    <w:rsid w:val="00E7576D"/>
    <w:rsid w:val="00E760CA"/>
    <w:rsid w:val="00E77CF7"/>
    <w:rsid w:val="00E82557"/>
    <w:rsid w:val="00E82B63"/>
    <w:rsid w:val="00E82E9B"/>
    <w:rsid w:val="00E84742"/>
    <w:rsid w:val="00E9376C"/>
    <w:rsid w:val="00E94AAA"/>
    <w:rsid w:val="00E95AE2"/>
    <w:rsid w:val="00EA0DD6"/>
    <w:rsid w:val="00EA1E06"/>
    <w:rsid w:val="00EA335E"/>
    <w:rsid w:val="00EA5066"/>
    <w:rsid w:val="00EA528C"/>
    <w:rsid w:val="00EA580C"/>
    <w:rsid w:val="00EC19F1"/>
    <w:rsid w:val="00EC6F8D"/>
    <w:rsid w:val="00ED1FEF"/>
    <w:rsid w:val="00ED39B2"/>
    <w:rsid w:val="00EE49F4"/>
    <w:rsid w:val="00EF19CF"/>
    <w:rsid w:val="00EF34E2"/>
    <w:rsid w:val="00F01B0A"/>
    <w:rsid w:val="00F02805"/>
    <w:rsid w:val="00F05F6D"/>
    <w:rsid w:val="00F30DC6"/>
    <w:rsid w:val="00F32C23"/>
    <w:rsid w:val="00F354B5"/>
    <w:rsid w:val="00F3655D"/>
    <w:rsid w:val="00F44033"/>
    <w:rsid w:val="00F44E0D"/>
    <w:rsid w:val="00F50FF6"/>
    <w:rsid w:val="00F518C9"/>
    <w:rsid w:val="00F53DE9"/>
    <w:rsid w:val="00F550B7"/>
    <w:rsid w:val="00F576CB"/>
    <w:rsid w:val="00F65BD5"/>
    <w:rsid w:val="00F66B18"/>
    <w:rsid w:val="00F7035D"/>
    <w:rsid w:val="00F7142D"/>
    <w:rsid w:val="00F71A02"/>
    <w:rsid w:val="00F7358E"/>
    <w:rsid w:val="00F92F89"/>
    <w:rsid w:val="00F97E1E"/>
    <w:rsid w:val="00FA0D63"/>
    <w:rsid w:val="00FA1E41"/>
    <w:rsid w:val="00FA2142"/>
    <w:rsid w:val="00FA2BA2"/>
    <w:rsid w:val="00FB0D2E"/>
    <w:rsid w:val="00FB1101"/>
    <w:rsid w:val="00FC190D"/>
    <w:rsid w:val="00FC5B52"/>
    <w:rsid w:val="00FD1226"/>
    <w:rsid w:val="00FD1F1D"/>
    <w:rsid w:val="00FE04E5"/>
    <w:rsid w:val="00FE4EE4"/>
    <w:rsid w:val="00FE6EF5"/>
    <w:rsid w:val="00FF2747"/>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lang w:val="en-GB"/>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rsid w:val="004A2875"/>
    <w:pPr>
      <w:ind w:left="720"/>
      <w:contextualSpacing/>
    </w:pPr>
  </w:style>
  <w:style w:type="character" w:styleId="Hyperlink">
    <w:name w:val="Hyperlink"/>
    <w:basedOn w:val="DefaultParagraphFont"/>
    <w:unhideWhenUsed/>
    <w:rsid w:val="00956FA4"/>
    <w:rPr>
      <w:color w:val="0000FF" w:themeColor="hyperlink"/>
      <w:u w:val="single"/>
    </w:rPr>
  </w:style>
  <w:style w:type="character" w:styleId="UnresolvedMention">
    <w:name w:val="Unresolved Mention"/>
    <w:basedOn w:val="DefaultParagraphFont"/>
    <w:uiPriority w:val="99"/>
    <w:semiHidden/>
    <w:unhideWhenUsed/>
    <w:rsid w:val="00956FA4"/>
    <w:rPr>
      <w:color w:val="605E5C"/>
      <w:shd w:val="clear" w:color="auto" w:fill="E1DFDD"/>
    </w:rPr>
  </w:style>
  <w:style w:type="character" w:styleId="CommentReference">
    <w:name w:val="annotation reference"/>
    <w:basedOn w:val="DefaultParagraphFont"/>
    <w:uiPriority w:val="99"/>
    <w:semiHidden/>
    <w:unhideWhenUsed/>
    <w:rsid w:val="00E82557"/>
    <w:rPr>
      <w:sz w:val="16"/>
      <w:szCs w:val="16"/>
    </w:rPr>
  </w:style>
  <w:style w:type="paragraph" w:styleId="CommentText">
    <w:name w:val="annotation text"/>
    <w:basedOn w:val="Normal"/>
    <w:link w:val="CommentTextChar"/>
    <w:uiPriority w:val="99"/>
    <w:unhideWhenUsed/>
    <w:rsid w:val="00E82557"/>
    <w:rPr>
      <w:sz w:val="20"/>
      <w:szCs w:val="20"/>
    </w:rPr>
  </w:style>
  <w:style w:type="character" w:customStyle="1" w:styleId="CommentTextChar">
    <w:name w:val="Comment Text Char"/>
    <w:basedOn w:val="DefaultParagraphFont"/>
    <w:link w:val="CommentText"/>
    <w:uiPriority w:val="99"/>
    <w:rsid w:val="00E8255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82557"/>
    <w:rPr>
      <w:b/>
      <w:bCs/>
    </w:rPr>
  </w:style>
  <w:style w:type="character" w:customStyle="1" w:styleId="CommentSubjectChar">
    <w:name w:val="Comment Subject Char"/>
    <w:basedOn w:val="CommentTextChar"/>
    <w:link w:val="CommentSubject"/>
    <w:uiPriority w:val="99"/>
    <w:semiHidden/>
    <w:rsid w:val="00E82557"/>
    <w:rPr>
      <w:rFonts w:ascii="Times New Roman" w:eastAsia="Times New Roman" w:hAnsi="Times New Roman"/>
      <w:b/>
      <w:bCs/>
    </w:rPr>
  </w:style>
  <w:style w:type="paragraph" w:styleId="FootnoteText">
    <w:name w:val="footnote text"/>
    <w:basedOn w:val="Normal"/>
    <w:link w:val="FootnoteTextChar"/>
    <w:uiPriority w:val="99"/>
    <w:unhideWhenUsed/>
    <w:rsid w:val="00E7576D"/>
    <w:rPr>
      <w:sz w:val="20"/>
      <w:szCs w:val="20"/>
    </w:rPr>
  </w:style>
  <w:style w:type="character" w:customStyle="1" w:styleId="FootnoteTextChar">
    <w:name w:val="Footnote Text Char"/>
    <w:basedOn w:val="DefaultParagraphFont"/>
    <w:link w:val="FootnoteText"/>
    <w:uiPriority w:val="99"/>
    <w:rsid w:val="00E7576D"/>
    <w:rPr>
      <w:rFonts w:ascii="Times New Roman" w:eastAsia="Times New Roman" w:hAnsi="Times New Roman"/>
    </w:rPr>
  </w:style>
  <w:style w:type="character" w:styleId="FootnoteReference">
    <w:name w:val="footnote reference"/>
    <w:uiPriority w:val="99"/>
    <w:unhideWhenUsed/>
    <w:rsid w:val="00E7576D"/>
    <w:rPr>
      <w:vertAlign w:val="superscript"/>
    </w:rPr>
  </w:style>
  <w:style w:type="paragraph" w:customStyle="1" w:styleId="GAPara">
    <w:name w:val="GA Para"/>
    <w:qFormat/>
    <w:rsid w:val="008C0FC3"/>
    <w:pPr>
      <w:numPr>
        <w:numId w:val="21"/>
      </w:numPr>
      <w:spacing w:after="120"/>
    </w:pPr>
    <w:rPr>
      <w:rFonts w:ascii="Arial" w:eastAsia="Times New Roman" w:hAnsi="Arial" w:cs="Arial"/>
      <w:snapToGrid w:val="0"/>
      <w:sz w:val="22"/>
      <w:szCs w:val="22"/>
      <w:lang w:val="en-GB" w:eastAsia="en-US"/>
    </w:rPr>
  </w:style>
  <w:style w:type="character" w:customStyle="1" w:styleId="hps">
    <w:name w:val="hps"/>
    <w:rsid w:val="00937F5C"/>
  </w:style>
  <w:style w:type="paragraph" w:customStyle="1" w:styleId="1GAPara">
    <w:name w:val="1. GA Para"/>
    <w:qFormat/>
    <w:rsid w:val="008D0470"/>
    <w:pPr>
      <w:spacing w:after="120"/>
      <w:ind w:left="567" w:hanging="567"/>
    </w:pPr>
    <w:rPr>
      <w:rFonts w:ascii="Arial" w:eastAsia="Times New Roman" w:hAnsi="Arial" w:cs="Arial"/>
      <w:snapToGrid w:val="0"/>
      <w:sz w:val="22"/>
      <w:szCs w:val="22"/>
      <w:lang w:val="en-GB" w:eastAsia="en-US"/>
    </w:rPr>
  </w:style>
  <w:style w:type="paragraph" w:customStyle="1" w:styleId="Annex">
    <w:name w:val="Annex"/>
    <w:basedOn w:val="Normal"/>
    <w:next w:val="Normal"/>
    <w:rsid w:val="00ED1FEF"/>
    <w:pPr>
      <w:pageBreakBefore/>
      <w:autoSpaceDE w:val="0"/>
      <w:autoSpaceDN w:val="0"/>
      <w:adjustRightInd w:val="0"/>
      <w:spacing w:before="360" w:after="240"/>
      <w:jc w:val="center"/>
      <w:outlineLvl w:val="0"/>
    </w:pPr>
    <w:rPr>
      <w:rFonts w:ascii="Arial" w:eastAsia="SimSun" w:hAnsi="Arial" w:cs="Arial"/>
      <w:b/>
      <w:bCs/>
      <w:sz w:val="22"/>
      <w:szCs w:val="22"/>
      <w:lang w:val="en-GB" w:eastAsia="zh-CN"/>
    </w:rPr>
  </w:style>
  <w:style w:type="paragraph" w:styleId="Revision">
    <w:name w:val="Revision"/>
    <w:hidden/>
    <w:uiPriority w:val="99"/>
    <w:semiHidden/>
    <w:rsid w:val="003E7CB7"/>
    <w:rPr>
      <w:rFonts w:ascii="Times New Roman" w:eastAsia="Times New Roman" w:hAnsi="Times New Roman"/>
      <w:sz w:val="24"/>
      <w:szCs w:val="24"/>
    </w:rPr>
  </w:style>
  <w:style w:type="paragraph" w:customStyle="1" w:styleId="DocMain">
    <w:name w:val="Doc_Main"/>
    <w:basedOn w:val="NoSpacing"/>
    <w:uiPriority w:val="99"/>
    <w:qFormat/>
    <w:rsid w:val="00550292"/>
    <w:pPr>
      <w:spacing w:before="240" w:after="240"/>
      <w:ind w:left="720" w:hanging="360"/>
      <w:jc w:val="both"/>
    </w:pPr>
    <w:rPr>
      <w:rFonts w:ascii="Arial" w:eastAsia="SimSun" w:hAnsi="Arial" w:cs="Arial"/>
      <w:sz w:val="22"/>
      <w:szCs w:val="22"/>
      <w:lang w:eastAsia="zh-CN"/>
    </w:rPr>
  </w:style>
  <w:style w:type="paragraph" w:styleId="NoSpacing">
    <w:name w:val="No Spacing"/>
    <w:uiPriority w:val="1"/>
    <w:rsid w:val="00550292"/>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271E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879882">
      <w:bodyDiv w:val="1"/>
      <w:marLeft w:val="0"/>
      <w:marRight w:val="0"/>
      <w:marTop w:val="0"/>
      <w:marBottom w:val="0"/>
      <w:divBdr>
        <w:top w:val="none" w:sz="0" w:space="0" w:color="auto"/>
        <w:left w:val="none" w:sz="0" w:space="0" w:color="auto"/>
        <w:bottom w:val="none" w:sz="0" w:space="0" w:color="auto"/>
        <w:right w:val="none" w:sz="0" w:space="0" w:color="auto"/>
      </w:divBdr>
    </w:div>
    <w:div w:id="104008276">
      <w:bodyDiv w:val="1"/>
      <w:marLeft w:val="0"/>
      <w:marRight w:val="0"/>
      <w:marTop w:val="0"/>
      <w:marBottom w:val="0"/>
      <w:divBdr>
        <w:top w:val="none" w:sz="0" w:space="0" w:color="auto"/>
        <w:left w:val="none" w:sz="0" w:space="0" w:color="auto"/>
        <w:bottom w:val="none" w:sz="0" w:space="0" w:color="auto"/>
        <w:right w:val="none" w:sz="0" w:space="0" w:color="auto"/>
      </w:divBdr>
    </w:div>
    <w:div w:id="177931516">
      <w:bodyDiv w:val="1"/>
      <w:marLeft w:val="0"/>
      <w:marRight w:val="0"/>
      <w:marTop w:val="0"/>
      <w:marBottom w:val="0"/>
      <w:divBdr>
        <w:top w:val="none" w:sz="0" w:space="0" w:color="auto"/>
        <w:left w:val="none" w:sz="0" w:space="0" w:color="auto"/>
        <w:bottom w:val="none" w:sz="0" w:space="0" w:color="auto"/>
        <w:right w:val="none" w:sz="0" w:space="0" w:color="auto"/>
      </w:divBdr>
      <w:divsChild>
        <w:div w:id="1120998870">
          <w:marLeft w:val="0"/>
          <w:marRight w:val="0"/>
          <w:marTop w:val="0"/>
          <w:marBottom w:val="0"/>
          <w:divBdr>
            <w:top w:val="none" w:sz="0" w:space="0" w:color="auto"/>
            <w:left w:val="none" w:sz="0" w:space="0" w:color="auto"/>
            <w:bottom w:val="none" w:sz="0" w:space="0" w:color="auto"/>
            <w:right w:val="none" w:sz="0" w:space="0" w:color="auto"/>
          </w:divBdr>
          <w:divsChild>
            <w:div w:id="1365640834">
              <w:marLeft w:val="-225"/>
              <w:marRight w:val="-225"/>
              <w:marTop w:val="0"/>
              <w:marBottom w:val="0"/>
              <w:divBdr>
                <w:top w:val="none" w:sz="0" w:space="0" w:color="auto"/>
                <w:left w:val="none" w:sz="0" w:space="0" w:color="auto"/>
                <w:bottom w:val="none" w:sz="0" w:space="0" w:color="auto"/>
                <w:right w:val="none" w:sz="0" w:space="0" w:color="auto"/>
              </w:divBdr>
              <w:divsChild>
                <w:div w:id="350108635">
                  <w:marLeft w:val="0"/>
                  <w:marRight w:val="0"/>
                  <w:marTop w:val="0"/>
                  <w:marBottom w:val="0"/>
                  <w:divBdr>
                    <w:top w:val="none" w:sz="0" w:space="0" w:color="auto"/>
                    <w:left w:val="none" w:sz="0" w:space="0" w:color="auto"/>
                    <w:bottom w:val="none" w:sz="0" w:space="0" w:color="auto"/>
                    <w:right w:val="none" w:sz="0" w:space="0" w:color="auto"/>
                  </w:divBdr>
                  <w:divsChild>
                    <w:div w:id="105403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168736">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835191357">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708791254">
      <w:bodyDiv w:val="1"/>
      <w:marLeft w:val="0"/>
      <w:marRight w:val="0"/>
      <w:marTop w:val="0"/>
      <w:marBottom w:val="0"/>
      <w:divBdr>
        <w:top w:val="none" w:sz="0" w:space="0" w:color="auto"/>
        <w:left w:val="none" w:sz="0" w:space="0" w:color="auto"/>
        <w:bottom w:val="none" w:sz="0" w:space="0" w:color="auto"/>
        <w:right w:val="none" w:sz="0" w:space="0" w:color="auto"/>
      </w:divBdr>
    </w:div>
    <w:div w:id="1841844187">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885671759">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en/Decisions/8.GA/7" TargetMode="External"/><Relationship Id="rId13" Type="http://schemas.openxmlformats.org/officeDocument/2006/relationships/image" Target="media/image2.png"/><Relationship Id="rId18" Type="http://schemas.openxmlformats.org/officeDocument/2006/relationships/hyperlink" Target="https://ich.unesco.org/en/Decisions/7.GA/8" TargetMode="External"/><Relationship Id="rId26" Type="http://schemas.openxmlformats.org/officeDocument/2006/relationships/hyperlink" Target="https://ich.unesco.org/en/living-heritage-experiences-and-the-covid-19-pandemic-01123" TargetMode="External"/><Relationship Id="rId3" Type="http://schemas.openxmlformats.org/officeDocument/2006/relationships/styles" Target="styles.xml"/><Relationship Id="rId21" Type="http://schemas.openxmlformats.org/officeDocument/2006/relationships/hyperlink" Target="https://ich.unesco.org/en/Decisions/14.COM/7"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ich.unesco.org/doc/src/53318.pdf" TargetMode="External"/><Relationship Id="rId17" Type="http://schemas.openxmlformats.org/officeDocument/2006/relationships/hyperlink" Target="https://ich.unesco.org/doc/src/LHE-21-16.COM-INF.10-EN.docx" TargetMode="External"/><Relationship Id="rId25" Type="http://schemas.openxmlformats.org/officeDocument/2006/relationships/hyperlink" Target="https://ich.unesco.org/" TargetMode="External"/><Relationship Id="rId33" Type="http://schemas.openxmlformats.org/officeDocument/2006/relationships/hyperlink" Target="https://unesdoc.unesco.org/ark:/48223/pf0000372579/PDF/372579eng.pdf.multi"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ch.unesco.org/doc/src/LHE-21-16.COM-14-EN.docx" TargetMode="External"/><Relationship Id="rId20" Type="http://schemas.openxmlformats.org/officeDocument/2006/relationships/hyperlink" Target="https://ich.unesco.org/doc/src/LHE-21-16.COM-14-EN.docx" TargetMode="External"/><Relationship Id="rId29" Type="http://schemas.openxmlformats.org/officeDocument/2006/relationships/hyperlink" Target="https://ich.unesco.org/en/d%C3%A9cisions/8.GA/7?dec=decisions&amp;ref_decision=8.G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unesdoc.unesco.org/ark:/48223/pf0000372579/PDF/372579eng.pdf.multi" TargetMode="External"/><Relationship Id="rId32" Type="http://schemas.openxmlformats.org/officeDocument/2006/relationships/hyperlink" Target="https://ich.unesco.org/en/Decisions/14.COM/7"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ich.unesco.org/en/d%C3%A9cisions/14.COM/7?dec=decisions&amp;ref_decision=14.COM" TargetMode="External"/><Relationship Id="rId28" Type="http://schemas.openxmlformats.org/officeDocument/2006/relationships/hyperlink" Target="https://ich.unesco.org/doc/src/LHE-21-16.COM_WG-Recommandations_EN.docx" TargetMode="External"/><Relationship Id="rId36" Type="http://schemas.openxmlformats.org/officeDocument/2006/relationships/header" Target="header3.xml"/><Relationship Id="rId10" Type="http://schemas.openxmlformats.org/officeDocument/2006/relationships/hyperlink" Target="https://ich.unesco.org/doc/src/LHE-19-14.COM-7-EN_Rev.2.docx" TargetMode="External"/><Relationship Id="rId19" Type="http://schemas.openxmlformats.org/officeDocument/2006/relationships/hyperlink" Target="https://ich.unesco.org/doc/src/LHE-21-16.COM_WG-Recommandations_EN.docx" TargetMode="External"/><Relationship Id="rId31" Type="http://schemas.openxmlformats.org/officeDocument/2006/relationships/hyperlink" Target="https://ich.unesco.org/en/Decisions/8.GA/7" TargetMode="External"/><Relationship Id="rId4" Type="http://schemas.openxmlformats.org/officeDocument/2006/relationships/settings" Target="settings.xml"/><Relationship Id="rId9" Type="http://schemas.openxmlformats.org/officeDocument/2006/relationships/hyperlink" Target="https://ich.unesco.org/doc/src/LHE-21-16.COM-INF.13.1-EN.docx" TargetMode="External"/><Relationship Id="rId14" Type="http://schemas.openxmlformats.org/officeDocument/2006/relationships/hyperlink" Target="https://ich.unesco.org/doc/src/LHE-21-16.COM-7.d-EN.docx" TargetMode="External"/><Relationship Id="rId22" Type="http://schemas.openxmlformats.org/officeDocument/2006/relationships/hyperlink" Target="https://unesdoc.unesco.org/ark:/48223/pf0000367155" TargetMode="External"/><Relationship Id="rId27" Type="http://schemas.openxmlformats.org/officeDocument/2006/relationships/hyperlink" Target="https://ich.unesco.org/doc/src/LHE-21-16.COM-14-EN.docx" TargetMode="External"/><Relationship Id="rId30" Type="http://schemas.openxmlformats.org/officeDocument/2006/relationships/hyperlink" Target="https://ich.unesco.org/doc/src/LHE-21-16.COM-INF.13.1-EN.docx" TargetMode="External"/><Relationship Id="rId35"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ich.unesco.org/doc/src/2003_Convention_Basic_Texts-_2020_version-EN.pdf" TargetMode="External"/><Relationship Id="rId7" Type="http://schemas.openxmlformats.org/officeDocument/2006/relationships/hyperlink" Target="https://unesdoc.unesco.org/ark:/48223/pf0000375756?posInSet=1&amp;queryId=f4082765-2f1f-4710-a706-047db14472d1-draft-data-349" TargetMode="External"/><Relationship Id="rId2" Type="http://schemas.openxmlformats.org/officeDocument/2006/relationships/hyperlink" Target="https://unesdoc.unesco.org/ark:/48223/pf0000253907/PDF/253907eng.pdf.multi" TargetMode="External"/><Relationship Id="rId1" Type="http://schemas.openxmlformats.org/officeDocument/2006/relationships/hyperlink" Target="https://ich.unesco.org/en/ich-fund-00816" TargetMode="External"/><Relationship Id="rId6" Type="http://schemas.openxmlformats.org/officeDocument/2006/relationships/hyperlink" Target="https://unesdoc.unesco.org/ark:/48223/pf0000375756?posInSet=1&amp;queryId=f4082765-2f1f-4710-a706-047db14472d1-draft-data-349" TargetMode="External"/><Relationship Id="rId5" Type="http://schemas.openxmlformats.org/officeDocument/2006/relationships/hyperlink" Target="https://ich.unesco.org/en/Decisions/8.GA/7" TargetMode="External"/><Relationship Id="rId4" Type="http://schemas.openxmlformats.org/officeDocument/2006/relationships/hyperlink" Target="https://ich.unesco.org/en/Decisions/8.COM/7.c"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13</Pages>
  <Words>6190</Words>
  <Characters>35286</Characters>
  <Application>Microsoft Office Word</Application>
  <DocSecurity>0</DocSecurity>
  <Lines>294</Lines>
  <Paragraphs>82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UNESCO</Company>
  <LinksUpToDate>false</LinksUpToDate>
  <CharactersWithSpaces>41394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Kim, Dain</cp:lastModifiedBy>
  <cp:revision>25</cp:revision>
  <cp:lastPrinted>2021-11-07T11:51:00Z</cp:lastPrinted>
  <dcterms:created xsi:type="dcterms:W3CDTF">2021-11-15T17:59:00Z</dcterms:created>
  <dcterms:modified xsi:type="dcterms:W3CDTF">2021-12-07T15:08:00Z</dcterms:modified>
</cp:coreProperties>
</file>