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4068" w14:textId="7266FBC7" w:rsidR="002938F2" w:rsidRPr="00636760" w:rsidRDefault="002938F2" w:rsidP="008757B1">
      <w:pPr>
        <w:tabs>
          <w:tab w:val="left" w:pos="4536"/>
        </w:tabs>
        <w:spacing w:before="1440"/>
        <w:jc w:val="center"/>
        <w:rPr>
          <w:rFonts w:ascii="Arial" w:hAnsi="Arial" w:cs="Arial"/>
          <w:b/>
          <w:szCs w:val="22"/>
        </w:rPr>
      </w:pPr>
      <w:r>
        <w:rPr>
          <w:rFonts w:ascii="Arial" w:hAnsi="Arial"/>
          <w:b/>
          <w:szCs w:val="22"/>
        </w:rPr>
        <w:t>CONVENTION POUR LA SAUVEGARDE</w:t>
      </w:r>
      <w:r w:rsidR="00574EF1">
        <w:rPr>
          <w:rFonts w:ascii="Arial" w:hAnsi="Arial"/>
          <w:b/>
          <w:szCs w:val="22"/>
        </w:rPr>
        <w:br/>
      </w:r>
      <w:r>
        <w:rPr>
          <w:rFonts w:ascii="Arial" w:hAnsi="Arial"/>
          <w:b/>
          <w:szCs w:val="22"/>
        </w:rPr>
        <w:t>DU</w:t>
      </w:r>
      <w:r w:rsidR="00574EF1">
        <w:rPr>
          <w:rFonts w:ascii="Arial" w:hAnsi="Arial"/>
          <w:b/>
          <w:szCs w:val="22"/>
        </w:rPr>
        <w:t xml:space="preserve"> </w:t>
      </w:r>
      <w:r>
        <w:rPr>
          <w:rFonts w:ascii="Arial" w:hAnsi="Arial"/>
          <w:b/>
          <w:szCs w:val="22"/>
        </w:rPr>
        <w:t>PATRIMOINE CULTUREL IMMATÉRIEL</w:t>
      </w:r>
    </w:p>
    <w:p w14:paraId="1C7C8EE1" w14:textId="082DAC7C" w:rsidR="007E4E37" w:rsidRPr="004E056C" w:rsidRDefault="00574EF1" w:rsidP="007E4E37">
      <w:pPr>
        <w:spacing w:before="1200"/>
        <w:jc w:val="center"/>
        <w:rPr>
          <w:rFonts w:ascii="Arial" w:hAnsi="Arial" w:cs="Arial"/>
          <w:b/>
          <w:szCs w:val="22"/>
        </w:rPr>
      </w:pPr>
      <w:r>
        <w:rPr>
          <w:rFonts w:ascii="Arial" w:hAnsi="Arial"/>
          <w:b/>
          <w:szCs w:val="22"/>
        </w:rPr>
        <w:t xml:space="preserve">COMITÉ INTERGOUVERNEMENTAL DE </w:t>
      </w:r>
      <w:r w:rsidR="007E4E37">
        <w:rPr>
          <w:rFonts w:ascii="Arial" w:hAnsi="Arial"/>
          <w:b/>
          <w:szCs w:val="22"/>
        </w:rPr>
        <w:t>SAUVEGARDE</w:t>
      </w:r>
      <w:r>
        <w:rPr>
          <w:rFonts w:ascii="Arial" w:hAnsi="Arial"/>
          <w:b/>
          <w:szCs w:val="22"/>
        </w:rPr>
        <w:br/>
      </w:r>
      <w:r w:rsidR="007E4E37">
        <w:rPr>
          <w:rFonts w:ascii="Arial" w:hAnsi="Arial"/>
          <w:b/>
          <w:szCs w:val="22"/>
        </w:rPr>
        <w:t>DU PATRIMOINE CULTUREL IMMATÉRIEL</w:t>
      </w:r>
    </w:p>
    <w:p w14:paraId="718210F2" w14:textId="77777777" w:rsidR="007E4E37" w:rsidRPr="004E056C" w:rsidRDefault="001943EE" w:rsidP="009B55AC">
      <w:pPr>
        <w:spacing w:before="840" w:after="0"/>
        <w:jc w:val="center"/>
        <w:rPr>
          <w:rFonts w:ascii="Arial" w:hAnsi="Arial" w:cs="Arial"/>
          <w:b/>
          <w:szCs w:val="22"/>
        </w:rPr>
      </w:pPr>
      <w:r>
        <w:rPr>
          <w:rFonts w:ascii="Arial" w:hAnsi="Arial"/>
          <w:b/>
          <w:szCs w:val="22"/>
        </w:rPr>
        <w:t>Quatorzième session</w:t>
      </w:r>
    </w:p>
    <w:p w14:paraId="25D1117F" w14:textId="77777777" w:rsidR="001943EE" w:rsidRPr="001943EE" w:rsidRDefault="001943EE" w:rsidP="001943EE">
      <w:pPr>
        <w:spacing w:after="0"/>
        <w:jc w:val="center"/>
        <w:rPr>
          <w:rFonts w:ascii="Arial" w:eastAsiaTheme="minorEastAsia" w:hAnsi="Arial" w:cs="Arial"/>
          <w:b/>
          <w:szCs w:val="22"/>
        </w:rPr>
      </w:pPr>
      <w:r>
        <w:rPr>
          <w:rFonts w:ascii="Arial" w:hAnsi="Arial"/>
          <w:b/>
          <w:szCs w:val="22"/>
        </w:rPr>
        <w:t>Bogotá, République de Colombie</w:t>
      </w:r>
    </w:p>
    <w:p w14:paraId="6098F918" w14:textId="77777777" w:rsidR="007E4E37" w:rsidRPr="00E3509F" w:rsidRDefault="001943EE" w:rsidP="009B55AC">
      <w:pPr>
        <w:spacing w:after="0"/>
        <w:jc w:val="center"/>
        <w:rPr>
          <w:rFonts w:ascii="Arial" w:eastAsiaTheme="minorEastAsia" w:hAnsi="Arial" w:cs="Arial"/>
          <w:b/>
          <w:szCs w:val="22"/>
        </w:rPr>
      </w:pPr>
      <w:r>
        <w:rPr>
          <w:rFonts w:ascii="Arial" w:hAnsi="Arial"/>
          <w:b/>
          <w:szCs w:val="22"/>
        </w:rPr>
        <w:t>9 – 14 décembre 2019</w:t>
      </w:r>
    </w:p>
    <w:p w14:paraId="2577830B" w14:textId="2897BCF1" w:rsidR="00087BAC" w:rsidRDefault="00733362" w:rsidP="00AE1B18">
      <w:pPr>
        <w:pStyle w:val="Sansinterligne1"/>
        <w:spacing w:before="1200"/>
        <w:jc w:val="center"/>
        <w:rPr>
          <w:rFonts w:ascii="Arial" w:hAnsi="Arial" w:cs="Arial"/>
          <w:b/>
          <w:sz w:val="22"/>
          <w:szCs w:val="22"/>
          <w:u w:val="single"/>
        </w:rPr>
      </w:pPr>
      <w:r>
        <w:rPr>
          <w:rFonts w:ascii="Arial" w:hAnsi="Arial"/>
          <w:b/>
          <w:sz w:val="22"/>
          <w:szCs w:val="22"/>
          <w:u w:val="single"/>
        </w:rPr>
        <w:t>Avis de l’Organe d’évaluation sur les candidatures</w:t>
      </w:r>
    </w:p>
    <w:p w14:paraId="67990441" w14:textId="4F463EE5" w:rsidR="00851458" w:rsidRPr="004E056C" w:rsidRDefault="00F37C7B" w:rsidP="00087BAC">
      <w:pPr>
        <w:spacing w:after="0"/>
        <w:jc w:val="center"/>
        <w:rPr>
          <w:rFonts w:ascii="Arial" w:hAnsi="Arial" w:cs="Arial"/>
          <w:b/>
          <w:szCs w:val="22"/>
          <w:u w:val="single"/>
        </w:rPr>
      </w:pPr>
      <w:proofErr w:type="gramStart"/>
      <w:r>
        <w:rPr>
          <w:rFonts w:ascii="Arial" w:hAnsi="Arial"/>
          <w:b/>
          <w:szCs w:val="22"/>
          <w:u w:val="single"/>
        </w:rPr>
        <w:t>concernées</w:t>
      </w:r>
      <w:proofErr w:type="gramEnd"/>
      <w:r>
        <w:rPr>
          <w:rFonts w:ascii="Arial" w:hAnsi="Arial"/>
          <w:b/>
          <w:szCs w:val="22"/>
          <w:u w:val="single"/>
        </w:rPr>
        <w:t xml:space="preserve"> par le processus « </w:t>
      </w:r>
      <w:r w:rsidR="00AE72EC">
        <w:rPr>
          <w:rFonts w:ascii="Arial" w:hAnsi="Arial"/>
          <w:b/>
          <w:szCs w:val="22"/>
          <w:u w:val="single"/>
        </w:rPr>
        <w:t xml:space="preserve">provisoire de </w:t>
      </w:r>
      <w:r>
        <w:rPr>
          <w:rFonts w:ascii="Arial" w:hAnsi="Arial"/>
          <w:b/>
          <w:szCs w:val="22"/>
          <w:u w:val="single"/>
        </w:rPr>
        <w:t>dialogue en amont » pour le cycle 2019</w:t>
      </w:r>
    </w:p>
    <w:p w14:paraId="74451916" w14:textId="77777777" w:rsidR="00675C5F" w:rsidRDefault="00851458" w:rsidP="00E87EB1">
      <w:pPr>
        <w:pStyle w:val="1GAPara"/>
      </w:pPr>
      <w:r>
        <w:br w:type="page"/>
      </w:r>
    </w:p>
    <w:p w14:paraId="19E05B47" w14:textId="5668B070" w:rsidR="00675C5F" w:rsidRPr="007F550C" w:rsidRDefault="00675C5F" w:rsidP="00700D72">
      <w:pPr>
        <w:pStyle w:val="1GAPara"/>
        <w:numPr>
          <w:ilvl w:val="0"/>
          <w:numId w:val="18"/>
        </w:numPr>
        <w:ind w:left="567" w:hanging="567"/>
        <w:jc w:val="both"/>
      </w:pPr>
      <w:r>
        <w:lastRenderedPageBreak/>
        <w:t xml:space="preserve">Le présent document </w:t>
      </w:r>
      <w:r w:rsidR="008335AB">
        <w:t>contient</w:t>
      </w:r>
      <w:r>
        <w:t xml:space="preserve"> l’avis de l’Organe d’évaluation sur les candidatures qui ont été concernées par le processus de dialogue pour le cycle 2019. Lors de sa treizième session, le Comité a décidé de mettre en place </w:t>
      </w:r>
      <w:r w:rsidRPr="007F550C">
        <w:t xml:space="preserve">un processus </w:t>
      </w:r>
      <w:r w:rsidR="00DB79E5" w:rsidRPr="007F550C">
        <w:t>« </w:t>
      </w:r>
      <w:r w:rsidR="00DD546E" w:rsidRPr="007F550C">
        <w:t xml:space="preserve">provisoire </w:t>
      </w:r>
      <w:r w:rsidRPr="007F550C">
        <w:t>de dialogue en amont » et a demandé au Secrétariat de transmettre aux États parties concernés toutes les questions de l’Organe d’évaluation concernant les dossiers soumis pour le cycle 2019 (</w:t>
      </w:r>
      <w:hyperlink r:id="rId8" w:history="1">
        <w:r w:rsidRPr="007F550C">
          <w:rPr>
            <w:rStyle w:val="Lienhypertexte"/>
            <w:snapToGrid/>
          </w:rPr>
          <w:t>décision 13.COM 10</w:t>
        </w:r>
      </w:hyperlink>
      <w:r w:rsidRPr="007F550C">
        <w:t>). Cette procédure a été introduite dans le cadre d’une réflexion globale sur les mécanismes des listes de la Convention de 2003, dans le but d’améliorer le processus d’inscription des candidatures faisant partie de la « récolte précoce ».</w:t>
      </w:r>
    </w:p>
    <w:p w14:paraId="3B25428C" w14:textId="1D811F08" w:rsidR="004E0569" w:rsidRPr="00072ABB" w:rsidRDefault="004E68E6" w:rsidP="00700D72">
      <w:pPr>
        <w:pStyle w:val="1GAPara"/>
        <w:numPr>
          <w:ilvl w:val="0"/>
          <w:numId w:val="18"/>
        </w:numPr>
        <w:ind w:left="567" w:hanging="567"/>
        <w:jc w:val="both"/>
      </w:pPr>
      <w:r w:rsidRPr="007F550C">
        <w:t xml:space="preserve">Une session </w:t>
      </w:r>
      <w:r w:rsidR="003A6AA6" w:rsidRPr="007F550C">
        <w:t xml:space="preserve">d’information et </w:t>
      </w:r>
      <w:r w:rsidRPr="007F550C">
        <w:t>d’échange s’est tenue le 1</w:t>
      </w:r>
      <w:r w:rsidRPr="007F550C">
        <w:rPr>
          <w:vertAlign w:val="superscript"/>
        </w:rPr>
        <w:t>er</w:t>
      </w:r>
      <w:r w:rsidRPr="007F550C">
        <w:t xml:space="preserve"> mars 2019. L’objectif de cette session était de présenter aux États parties la procédure et </w:t>
      </w:r>
      <w:r w:rsidR="0049301E" w:rsidRPr="007F550C">
        <w:t xml:space="preserve">le </w:t>
      </w:r>
      <w:r w:rsidRPr="007F550C">
        <w:t xml:space="preserve">calendrier </w:t>
      </w:r>
      <w:r w:rsidR="008D5B19" w:rsidRPr="00072ABB">
        <w:t xml:space="preserve">provisoires </w:t>
      </w:r>
      <w:r w:rsidRPr="00072ABB">
        <w:t xml:space="preserve">proposés pour le processus de dialogue, ceux-ci étant conformes aux Directives opérationnelles de la Convention, et notamment au calendrier d’évaluation des candidatures fixé dans le paragraphe 55 des Directives opérationnelles. </w:t>
      </w:r>
      <w:r w:rsidR="0049301E" w:rsidRPr="00072ABB">
        <w:t>Le document présentant l</w:t>
      </w:r>
      <w:r w:rsidR="00651C38" w:rsidRPr="00072ABB">
        <w:t>a</w:t>
      </w:r>
      <w:r w:rsidRPr="00072ABB">
        <w:t xml:space="preserve"> procédure et le calendrier </w:t>
      </w:r>
      <w:r w:rsidR="00657214" w:rsidRPr="00072ABB">
        <w:t xml:space="preserve">provisoires </w:t>
      </w:r>
      <w:r w:rsidR="00331ED2">
        <w:t>figure en annexe.</w:t>
      </w:r>
    </w:p>
    <w:p w14:paraId="4F1A770D" w14:textId="05E879EA" w:rsidR="00675C5F" w:rsidRPr="00285D77" w:rsidRDefault="004E0569" w:rsidP="00700D72">
      <w:pPr>
        <w:pStyle w:val="1GAPara"/>
        <w:numPr>
          <w:ilvl w:val="0"/>
          <w:numId w:val="18"/>
        </w:numPr>
        <w:ind w:left="567" w:hanging="567"/>
        <w:jc w:val="both"/>
      </w:pPr>
      <w:r w:rsidRPr="007F550C">
        <w:t>L’Organe d’évaluation a finalisé ses recommandations pour chaque dossier de candidature lors de sa seconde réunion en juin 2019.</w:t>
      </w:r>
      <w:r w:rsidR="006C1290">
        <w:t xml:space="preserve"> </w:t>
      </w:r>
      <w:r w:rsidR="0025546D" w:rsidRPr="00085D2C">
        <w:t>En même temps</w:t>
      </w:r>
      <w:r w:rsidRPr="00085D2C">
        <w:t xml:space="preserve">, </w:t>
      </w:r>
      <w:r w:rsidR="008963FE" w:rsidRPr="00085D2C">
        <w:t xml:space="preserve">au cours de cette réunion, </w:t>
      </w:r>
      <w:r w:rsidRPr="00085D2C">
        <w:t xml:space="preserve">l’Organe a </w:t>
      </w:r>
      <w:r w:rsidR="00E7372F" w:rsidRPr="00085D2C">
        <w:t xml:space="preserve">appliqué </w:t>
      </w:r>
      <w:r w:rsidRPr="00085D2C">
        <w:t xml:space="preserve">le processus de dialogue, conformément à la </w:t>
      </w:r>
      <w:hyperlink r:id="rId9" w:history="1">
        <w:r w:rsidRPr="00085D2C">
          <w:rPr>
            <w:rStyle w:val="Lienhypertexte"/>
            <w:snapToGrid/>
          </w:rPr>
          <w:t>décision 13.COM 10</w:t>
        </w:r>
      </w:hyperlink>
      <w:r w:rsidRPr="00085D2C">
        <w:t xml:space="preserve"> du Comité</w:t>
      </w:r>
      <w:r w:rsidRPr="00693E51">
        <w:t xml:space="preserve">. </w:t>
      </w:r>
      <w:r w:rsidR="005018B6" w:rsidRPr="00693E51">
        <w:t xml:space="preserve">Il </w:t>
      </w:r>
      <w:r w:rsidRPr="00693E51">
        <w:t>a estimé qu’un court processus de question</w:t>
      </w:r>
      <w:r w:rsidR="005611F7" w:rsidRPr="00693E51">
        <w:t>s</w:t>
      </w:r>
      <w:r w:rsidRPr="00693E51">
        <w:t>-réponse</w:t>
      </w:r>
      <w:r w:rsidR="005611F7" w:rsidRPr="00693E51">
        <w:t>s</w:t>
      </w:r>
      <w:r w:rsidRPr="00693E51">
        <w:t xml:space="preserve"> avec l’État soumissionnaire pourrait permettre de </w:t>
      </w:r>
      <w:r w:rsidR="00BF1732" w:rsidRPr="00693E51">
        <w:t xml:space="preserve">clarifier </w:t>
      </w:r>
      <w:r w:rsidRPr="00693E51">
        <w:t>si le critère concerné</w:t>
      </w:r>
      <w:r w:rsidRPr="007F550C">
        <w:t xml:space="preserve"> était satisfait dans le cas de six dossiers de candidature. Les questions ont été formulées par l</w:t>
      </w:r>
      <w:r w:rsidR="005018B6" w:rsidRPr="007F550C">
        <w:t>a</w:t>
      </w:r>
      <w:r w:rsidRPr="007F550C">
        <w:t xml:space="preserve"> Président</w:t>
      </w:r>
      <w:r w:rsidR="005018B6" w:rsidRPr="007F550C">
        <w:t>e</w:t>
      </w:r>
      <w:r w:rsidRPr="007F550C">
        <w:t>, le Vice-Président et le Rappor</w:t>
      </w:r>
      <w:r>
        <w:t>teur, qui se sont basés sur les discussions de l’Organe. Le 1</w:t>
      </w:r>
      <w:r w:rsidR="0050400A">
        <w:t>2</w:t>
      </w:r>
      <w:r>
        <w:t> juin 2019, à l’issue de la réunion, le Secrétariat a ensuite transmis les questions par écrit aux États soumissionnaires concernés.</w:t>
      </w:r>
    </w:p>
    <w:p w14:paraId="455619C5" w14:textId="0750C02F" w:rsidR="00675C5F" w:rsidRPr="00285D77" w:rsidRDefault="00BF6356" w:rsidP="00700D72">
      <w:pPr>
        <w:pStyle w:val="1GAPara"/>
        <w:spacing w:after="240"/>
        <w:ind w:left="567" w:hanging="567"/>
        <w:jc w:val="both"/>
      </w:pPr>
      <w:r>
        <w:t>Les s</w:t>
      </w:r>
      <w:r w:rsidR="00675C5F">
        <w:t xml:space="preserve">ix candidatures </w:t>
      </w:r>
      <w:r>
        <w:t xml:space="preserve">suivantes </w:t>
      </w:r>
      <w:r w:rsidR="00675C5F">
        <w:t>pour inscription sur la Liste du patrimoine culturel immatériel nécessitant une sauvegarde urgente (ci-après dénommée « Liste de sauvegarde urgente ») ou sur la Liste représentative du patrimoine culturel immatériel de l'humanité (ci-après « Liste représentative ») ont été concernées par le processus de dialogue :</w:t>
      </w:r>
    </w:p>
    <w:tbl>
      <w:tblPr>
        <w:tblW w:w="4700" w:type="pct"/>
        <w:tblInd w:w="624" w:type="dxa"/>
        <w:tblLayout w:type="fixed"/>
        <w:tblCellMar>
          <w:left w:w="0" w:type="dxa"/>
          <w:right w:w="0" w:type="dxa"/>
        </w:tblCellMar>
        <w:tblLook w:val="04A0" w:firstRow="1" w:lastRow="0" w:firstColumn="1" w:lastColumn="0" w:noHBand="0" w:noVBand="1"/>
      </w:tblPr>
      <w:tblGrid>
        <w:gridCol w:w="1876"/>
        <w:gridCol w:w="1884"/>
        <w:gridCol w:w="2409"/>
        <w:gridCol w:w="1702"/>
        <w:gridCol w:w="1170"/>
      </w:tblGrid>
      <w:tr w:rsidR="006E6B5F" w:rsidRPr="006265F0" w14:paraId="482794BB" w14:textId="77777777" w:rsidTr="008757B1">
        <w:trPr>
          <w:tblHeader/>
        </w:trPr>
        <w:tc>
          <w:tcPr>
            <w:tcW w:w="1037"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3277190" w14:textId="77777777" w:rsidR="00675C5F" w:rsidRPr="006265F0" w:rsidRDefault="00675C5F">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4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B3C505D" w14:textId="4CF5972C" w:rsidR="00675C5F" w:rsidRPr="006265F0" w:rsidRDefault="00675C5F">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t xml:space="preserve"> </w:t>
            </w:r>
            <w:r>
              <w:rPr>
                <w:rFonts w:ascii="Arial" w:hAnsi="Arial"/>
                <w:b/>
                <w:bCs/>
                <w:sz w:val="22"/>
                <w:szCs w:val="22"/>
              </w:rPr>
              <w:t>soumissionnaire</w:t>
            </w:r>
          </w:p>
        </w:tc>
        <w:tc>
          <w:tcPr>
            <w:tcW w:w="133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3E402B0" w14:textId="77777777" w:rsidR="00675C5F" w:rsidRPr="006265F0" w:rsidRDefault="00675C5F">
            <w:pPr>
              <w:pStyle w:val="NormalWeb"/>
              <w:jc w:val="center"/>
              <w:rPr>
                <w:rFonts w:ascii="Arial" w:hAnsi="Arial" w:cs="Arial"/>
                <w:sz w:val="22"/>
                <w:szCs w:val="22"/>
              </w:rPr>
            </w:pPr>
            <w:r>
              <w:rPr>
                <w:rFonts w:ascii="Arial" w:hAnsi="Arial"/>
                <w:b/>
                <w:bCs/>
                <w:sz w:val="22"/>
                <w:szCs w:val="22"/>
              </w:rPr>
              <w:t>Candidature</w:t>
            </w:r>
          </w:p>
        </w:tc>
        <w:tc>
          <w:tcPr>
            <w:tcW w:w="94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D47DA00" w14:textId="2B3ED7C8" w:rsidR="00675C5F" w:rsidRPr="008757B1" w:rsidRDefault="002912FC" w:rsidP="008757B1">
            <w:pPr>
              <w:pStyle w:val="NormalWeb"/>
              <w:jc w:val="center"/>
              <w:rPr>
                <w:rFonts w:ascii="Arial" w:hAnsi="Arial"/>
                <w:b/>
                <w:bCs/>
                <w:sz w:val="22"/>
                <w:szCs w:val="22"/>
              </w:rPr>
            </w:pPr>
            <w:r>
              <w:rPr>
                <w:rFonts w:ascii="Arial" w:hAnsi="Arial"/>
                <w:b/>
                <w:bCs/>
                <w:sz w:val="22"/>
                <w:szCs w:val="22"/>
              </w:rPr>
              <w:t>Liste</w:t>
            </w:r>
            <w:r w:rsidR="00B6180A">
              <w:rPr>
                <w:rFonts w:ascii="Arial" w:hAnsi="Arial"/>
                <w:b/>
                <w:bCs/>
                <w:sz w:val="22"/>
                <w:szCs w:val="22"/>
              </w:rPr>
              <w:t>s</w:t>
            </w:r>
          </w:p>
        </w:tc>
        <w:tc>
          <w:tcPr>
            <w:tcW w:w="647"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28831774" w14:textId="77777777" w:rsidR="00675C5F" w:rsidRPr="006265F0" w:rsidRDefault="00675C5F">
            <w:pPr>
              <w:pStyle w:val="NormalWeb"/>
              <w:jc w:val="center"/>
              <w:rPr>
                <w:rFonts w:ascii="Arial" w:hAnsi="Arial" w:cs="Arial"/>
                <w:sz w:val="22"/>
                <w:szCs w:val="22"/>
              </w:rPr>
            </w:pPr>
            <w:r>
              <w:rPr>
                <w:rFonts w:ascii="Arial" w:hAnsi="Arial"/>
                <w:b/>
                <w:bCs/>
                <w:sz w:val="22"/>
                <w:szCs w:val="22"/>
              </w:rPr>
              <w:t>Dossier n°</w:t>
            </w:r>
          </w:p>
        </w:tc>
      </w:tr>
      <w:tr w:rsidR="006E6B5F" w:rsidRPr="006265F0" w14:paraId="6A5811FE" w14:textId="77777777" w:rsidTr="008757B1">
        <w:tc>
          <w:tcPr>
            <w:tcW w:w="1037" w:type="pct"/>
            <w:tcBorders>
              <w:top w:val="nil"/>
              <w:left w:val="single" w:sz="8" w:space="0" w:color="auto"/>
              <w:bottom w:val="single" w:sz="8" w:space="0" w:color="auto"/>
              <w:right w:val="nil"/>
            </w:tcBorders>
            <w:tcMar>
              <w:top w:w="0" w:type="dxa"/>
              <w:left w:w="57" w:type="dxa"/>
              <w:bottom w:w="0" w:type="dxa"/>
              <w:right w:w="57" w:type="dxa"/>
            </w:tcMar>
            <w:hideMark/>
          </w:tcPr>
          <w:p w14:paraId="3181B0BD" w14:textId="4DB48993" w:rsidR="00675C5F" w:rsidRPr="006265F0" w:rsidRDefault="00675C5F" w:rsidP="009377AA">
            <w:pPr>
              <w:pStyle w:val="NormalWeb"/>
              <w:jc w:val="center"/>
              <w:rPr>
                <w:rFonts w:ascii="Arial" w:hAnsi="Arial" w:cs="Arial"/>
                <w:sz w:val="22"/>
                <w:szCs w:val="22"/>
              </w:rPr>
            </w:pPr>
            <w:r>
              <w:rPr>
                <w:rFonts w:ascii="Arial" w:hAnsi="Arial"/>
                <w:sz w:val="22"/>
                <w:szCs w:val="22"/>
              </w:rPr>
              <w:t>14.COM</w:t>
            </w:r>
            <w:r w:rsidR="009377AA">
              <w:rPr>
                <w:rFonts w:ascii="Arial" w:hAnsi="Arial"/>
                <w:sz w:val="22"/>
                <w:szCs w:val="22"/>
              </w:rPr>
              <w:t> </w:t>
            </w:r>
            <w:r>
              <w:rPr>
                <w:rFonts w:ascii="Arial" w:hAnsi="Arial"/>
                <w:sz w:val="22"/>
                <w:szCs w:val="22"/>
              </w:rPr>
              <w:t>10.a.2</w:t>
            </w:r>
          </w:p>
        </w:tc>
        <w:tc>
          <w:tcPr>
            <w:tcW w:w="1042" w:type="pct"/>
            <w:tcBorders>
              <w:top w:val="nil"/>
              <w:left w:val="nil"/>
              <w:bottom w:val="single" w:sz="8" w:space="0" w:color="auto"/>
              <w:right w:val="nil"/>
            </w:tcBorders>
            <w:tcMar>
              <w:top w:w="0" w:type="dxa"/>
              <w:left w:w="57" w:type="dxa"/>
              <w:bottom w:w="0" w:type="dxa"/>
              <w:right w:w="57" w:type="dxa"/>
            </w:tcMar>
            <w:hideMark/>
          </w:tcPr>
          <w:p w14:paraId="5765FE3A" w14:textId="77777777" w:rsidR="00675C5F" w:rsidRPr="006265F0" w:rsidRDefault="00675C5F">
            <w:pPr>
              <w:pStyle w:val="NormalWeb"/>
              <w:jc w:val="center"/>
              <w:rPr>
                <w:rFonts w:ascii="Arial" w:hAnsi="Arial" w:cs="Arial"/>
                <w:sz w:val="22"/>
                <w:szCs w:val="22"/>
              </w:rPr>
            </w:pPr>
            <w:r>
              <w:rPr>
                <w:rFonts w:ascii="Arial" w:hAnsi="Arial"/>
                <w:sz w:val="22"/>
                <w:szCs w:val="22"/>
              </w:rPr>
              <w:t>Kenya</w:t>
            </w:r>
          </w:p>
        </w:tc>
        <w:tc>
          <w:tcPr>
            <w:tcW w:w="1332" w:type="pct"/>
            <w:tcBorders>
              <w:top w:val="nil"/>
              <w:left w:val="nil"/>
              <w:bottom w:val="single" w:sz="8" w:space="0" w:color="auto"/>
              <w:right w:val="nil"/>
            </w:tcBorders>
            <w:tcMar>
              <w:top w:w="0" w:type="dxa"/>
              <w:left w:w="57" w:type="dxa"/>
              <w:bottom w:w="0" w:type="dxa"/>
              <w:right w:w="57" w:type="dxa"/>
            </w:tcMar>
            <w:hideMark/>
          </w:tcPr>
          <w:p w14:paraId="7ED6E06A" w14:textId="77777777" w:rsidR="00675C5F" w:rsidRPr="006265F0" w:rsidRDefault="00675C5F" w:rsidP="001A622D">
            <w:pPr>
              <w:pStyle w:val="NormalWeb"/>
              <w:rPr>
                <w:rFonts w:ascii="Arial" w:hAnsi="Arial" w:cs="Arial"/>
                <w:sz w:val="22"/>
                <w:szCs w:val="22"/>
              </w:rPr>
            </w:pPr>
            <w:r>
              <w:rPr>
                <w:rFonts w:ascii="Arial" w:hAnsi="Arial"/>
                <w:sz w:val="22"/>
                <w:szCs w:val="22"/>
              </w:rPr>
              <w:t xml:space="preserve">Les rituels et pratiques associés au sanctuaire de Kit </w:t>
            </w:r>
            <w:proofErr w:type="spellStart"/>
            <w:r>
              <w:rPr>
                <w:rFonts w:ascii="Arial" w:hAnsi="Arial"/>
                <w:sz w:val="22"/>
                <w:szCs w:val="22"/>
              </w:rPr>
              <w:t>Mikayi</w:t>
            </w:r>
            <w:proofErr w:type="spellEnd"/>
          </w:p>
        </w:tc>
        <w:tc>
          <w:tcPr>
            <w:tcW w:w="941" w:type="pct"/>
            <w:tcBorders>
              <w:top w:val="nil"/>
              <w:left w:val="nil"/>
              <w:bottom w:val="single" w:sz="8" w:space="0" w:color="auto"/>
              <w:right w:val="nil"/>
            </w:tcBorders>
            <w:tcMar>
              <w:top w:w="0" w:type="dxa"/>
              <w:left w:w="57" w:type="dxa"/>
              <w:bottom w:w="0" w:type="dxa"/>
              <w:right w:w="57" w:type="dxa"/>
            </w:tcMar>
            <w:hideMark/>
          </w:tcPr>
          <w:p w14:paraId="146C518D" w14:textId="77777777" w:rsidR="00675C5F" w:rsidRPr="006265F0" w:rsidRDefault="00C368D7">
            <w:pPr>
              <w:pStyle w:val="NormalWeb"/>
              <w:jc w:val="center"/>
              <w:rPr>
                <w:rFonts w:ascii="Arial" w:hAnsi="Arial" w:cs="Arial"/>
                <w:sz w:val="22"/>
                <w:szCs w:val="22"/>
              </w:rPr>
            </w:pPr>
            <w:r>
              <w:rPr>
                <w:rFonts w:ascii="Arial" w:hAnsi="Arial"/>
                <w:sz w:val="22"/>
                <w:szCs w:val="22"/>
              </w:rPr>
              <w:t>Liste de sauvegarde urgente</w:t>
            </w:r>
          </w:p>
        </w:tc>
        <w:tc>
          <w:tcPr>
            <w:tcW w:w="647" w:type="pct"/>
            <w:tcBorders>
              <w:top w:val="nil"/>
              <w:left w:val="nil"/>
              <w:bottom w:val="single" w:sz="8" w:space="0" w:color="auto"/>
              <w:right w:val="single" w:sz="8" w:space="0" w:color="auto"/>
            </w:tcBorders>
            <w:tcMar>
              <w:top w:w="0" w:type="dxa"/>
              <w:left w:w="57" w:type="dxa"/>
              <w:bottom w:w="0" w:type="dxa"/>
              <w:right w:w="57" w:type="dxa"/>
            </w:tcMar>
            <w:hideMark/>
          </w:tcPr>
          <w:p w14:paraId="1A813843" w14:textId="095EFBF4" w:rsidR="00675C5F" w:rsidRPr="006265F0" w:rsidRDefault="009377AA">
            <w:pPr>
              <w:pStyle w:val="NormalWeb"/>
              <w:jc w:val="center"/>
              <w:rPr>
                <w:rFonts w:ascii="Arial" w:hAnsi="Arial" w:cs="Arial"/>
                <w:sz w:val="22"/>
                <w:szCs w:val="22"/>
              </w:rPr>
            </w:pPr>
            <w:hyperlink r:id="rId10" w:anchor="10.a.2" w:history="1">
              <w:r w:rsidR="003B5645" w:rsidRPr="00765924">
                <w:rPr>
                  <w:rStyle w:val="Lienhypertexte"/>
                  <w:rFonts w:ascii="Arial" w:hAnsi="Arial" w:cs="Arial"/>
                  <w:sz w:val="22"/>
                  <w:szCs w:val="22"/>
                </w:rPr>
                <w:t>01489</w:t>
              </w:r>
            </w:hyperlink>
          </w:p>
        </w:tc>
      </w:tr>
      <w:tr w:rsidR="006E6B5F" w:rsidRPr="006265F0" w14:paraId="7C99B1C6" w14:textId="77777777" w:rsidTr="008757B1">
        <w:tc>
          <w:tcPr>
            <w:tcW w:w="1037" w:type="pct"/>
            <w:tcBorders>
              <w:top w:val="single" w:sz="8" w:space="0" w:color="auto"/>
              <w:left w:val="single" w:sz="8" w:space="0" w:color="auto"/>
              <w:bottom w:val="single" w:sz="8" w:space="0" w:color="auto"/>
              <w:right w:val="nil"/>
            </w:tcBorders>
            <w:tcMar>
              <w:top w:w="0" w:type="dxa"/>
              <w:left w:w="57" w:type="dxa"/>
              <w:bottom w:w="0" w:type="dxa"/>
              <w:right w:w="57" w:type="dxa"/>
            </w:tcMar>
            <w:hideMark/>
          </w:tcPr>
          <w:p w14:paraId="4FB72B31" w14:textId="67D579FE" w:rsidR="00675C5F" w:rsidRPr="006265F0" w:rsidRDefault="00675C5F" w:rsidP="009377AA">
            <w:pPr>
              <w:pStyle w:val="NormalWeb"/>
              <w:jc w:val="center"/>
              <w:rPr>
                <w:rFonts w:ascii="Arial" w:hAnsi="Arial" w:cs="Arial"/>
                <w:sz w:val="22"/>
                <w:szCs w:val="22"/>
              </w:rPr>
            </w:pPr>
            <w:r>
              <w:rPr>
                <w:rFonts w:ascii="Arial" w:hAnsi="Arial"/>
                <w:sz w:val="22"/>
                <w:szCs w:val="22"/>
              </w:rPr>
              <w:t>14.COM</w:t>
            </w:r>
            <w:r w:rsidR="009377AA">
              <w:rPr>
                <w:rFonts w:ascii="Arial" w:hAnsi="Arial"/>
                <w:sz w:val="22"/>
                <w:szCs w:val="22"/>
              </w:rPr>
              <w:t> </w:t>
            </w:r>
            <w:r>
              <w:rPr>
                <w:rFonts w:ascii="Arial" w:hAnsi="Arial"/>
                <w:sz w:val="22"/>
                <w:szCs w:val="22"/>
              </w:rPr>
              <w:t>10.a.4</w:t>
            </w:r>
          </w:p>
        </w:tc>
        <w:tc>
          <w:tcPr>
            <w:tcW w:w="1042" w:type="pct"/>
            <w:tcBorders>
              <w:top w:val="single" w:sz="8" w:space="0" w:color="auto"/>
              <w:left w:val="nil"/>
              <w:bottom w:val="single" w:sz="8" w:space="0" w:color="auto"/>
              <w:right w:val="nil"/>
            </w:tcBorders>
            <w:tcMar>
              <w:top w:w="0" w:type="dxa"/>
              <w:left w:w="57" w:type="dxa"/>
              <w:bottom w:w="0" w:type="dxa"/>
              <w:right w:w="57" w:type="dxa"/>
            </w:tcMar>
            <w:hideMark/>
          </w:tcPr>
          <w:p w14:paraId="4100E28C" w14:textId="77777777" w:rsidR="00675C5F" w:rsidRPr="006265F0" w:rsidRDefault="00675C5F">
            <w:pPr>
              <w:pStyle w:val="NormalWeb"/>
              <w:jc w:val="center"/>
              <w:rPr>
                <w:rFonts w:ascii="Arial" w:hAnsi="Arial" w:cs="Arial"/>
                <w:sz w:val="22"/>
                <w:szCs w:val="22"/>
              </w:rPr>
            </w:pPr>
            <w:r>
              <w:rPr>
                <w:rFonts w:ascii="Arial" w:hAnsi="Arial"/>
                <w:sz w:val="22"/>
                <w:szCs w:val="22"/>
              </w:rPr>
              <w:t>Philippines</w:t>
            </w:r>
          </w:p>
        </w:tc>
        <w:tc>
          <w:tcPr>
            <w:tcW w:w="1332" w:type="pct"/>
            <w:tcBorders>
              <w:top w:val="single" w:sz="8" w:space="0" w:color="auto"/>
              <w:left w:val="nil"/>
              <w:bottom w:val="single" w:sz="8" w:space="0" w:color="auto"/>
              <w:right w:val="nil"/>
            </w:tcBorders>
            <w:tcMar>
              <w:top w:w="0" w:type="dxa"/>
              <w:left w:w="57" w:type="dxa"/>
              <w:bottom w:w="0" w:type="dxa"/>
              <w:right w:w="57" w:type="dxa"/>
            </w:tcMar>
            <w:hideMark/>
          </w:tcPr>
          <w:p w14:paraId="59FFF657" w14:textId="77777777" w:rsidR="00675C5F" w:rsidRPr="006265F0" w:rsidRDefault="00675C5F" w:rsidP="001A622D">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Buklog</w:t>
            </w:r>
            <w:proofErr w:type="spellEnd"/>
            <w:r>
              <w:rPr>
                <w:rFonts w:ascii="Arial" w:hAnsi="Arial"/>
                <w:sz w:val="22"/>
                <w:szCs w:val="22"/>
              </w:rPr>
              <w:t xml:space="preserve">, système de rituels de gratitude des </w:t>
            </w:r>
            <w:proofErr w:type="spellStart"/>
            <w:r>
              <w:rPr>
                <w:rFonts w:ascii="Arial" w:hAnsi="Arial"/>
                <w:sz w:val="22"/>
                <w:szCs w:val="22"/>
              </w:rPr>
              <w:t>Subanen</w:t>
            </w:r>
            <w:proofErr w:type="spellEnd"/>
          </w:p>
        </w:tc>
        <w:tc>
          <w:tcPr>
            <w:tcW w:w="941" w:type="pct"/>
            <w:tcBorders>
              <w:top w:val="single" w:sz="8" w:space="0" w:color="auto"/>
              <w:left w:val="nil"/>
              <w:bottom w:val="single" w:sz="8" w:space="0" w:color="auto"/>
              <w:right w:val="nil"/>
            </w:tcBorders>
            <w:tcMar>
              <w:top w:w="0" w:type="dxa"/>
              <w:left w:w="57" w:type="dxa"/>
              <w:bottom w:w="0" w:type="dxa"/>
              <w:right w:w="57" w:type="dxa"/>
            </w:tcMar>
            <w:hideMark/>
          </w:tcPr>
          <w:p w14:paraId="4B9A4D82" w14:textId="77777777" w:rsidR="00675C5F" w:rsidRPr="006265F0" w:rsidRDefault="00C368D7" w:rsidP="00C368D7">
            <w:pPr>
              <w:pStyle w:val="NormalWeb"/>
              <w:jc w:val="center"/>
              <w:rPr>
                <w:rFonts w:ascii="Arial" w:hAnsi="Arial" w:cs="Arial"/>
                <w:sz w:val="22"/>
                <w:szCs w:val="22"/>
              </w:rPr>
            </w:pPr>
            <w:r>
              <w:rPr>
                <w:rFonts w:ascii="Arial" w:hAnsi="Arial"/>
                <w:sz w:val="22"/>
                <w:szCs w:val="22"/>
              </w:rPr>
              <w:t xml:space="preserve">Liste de sauvegarde urgente </w:t>
            </w:r>
          </w:p>
        </w:tc>
        <w:tc>
          <w:tcPr>
            <w:tcW w:w="647" w:type="pct"/>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799C4F43" w14:textId="0EE9AE41" w:rsidR="00675C5F" w:rsidRPr="006265F0" w:rsidRDefault="009377AA">
            <w:pPr>
              <w:pStyle w:val="NormalWeb"/>
              <w:jc w:val="center"/>
              <w:rPr>
                <w:rFonts w:ascii="Arial" w:hAnsi="Arial" w:cs="Arial"/>
                <w:sz w:val="22"/>
                <w:szCs w:val="22"/>
              </w:rPr>
            </w:pPr>
            <w:hyperlink r:id="rId11" w:anchor="10.a.4" w:history="1">
              <w:r w:rsidR="00573A21" w:rsidRPr="00765924">
                <w:rPr>
                  <w:rStyle w:val="Lienhypertexte"/>
                  <w:rFonts w:ascii="Arial" w:hAnsi="Arial" w:cs="Arial"/>
                  <w:sz w:val="22"/>
                  <w:szCs w:val="22"/>
                </w:rPr>
                <w:t>01495</w:t>
              </w:r>
            </w:hyperlink>
          </w:p>
        </w:tc>
      </w:tr>
      <w:tr w:rsidR="00A94ED5" w:rsidRPr="006265F0" w14:paraId="19C4DFA0" w14:textId="77777777" w:rsidTr="008757B1">
        <w:tc>
          <w:tcPr>
            <w:tcW w:w="1037" w:type="pct"/>
            <w:tcBorders>
              <w:top w:val="single" w:sz="8" w:space="0" w:color="auto"/>
              <w:left w:val="single" w:sz="8" w:space="0" w:color="auto"/>
              <w:bottom w:val="single" w:sz="8" w:space="0" w:color="auto"/>
              <w:right w:val="nil"/>
            </w:tcBorders>
            <w:tcMar>
              <w:top w:w="0" w:type="dxa"/>
              <w:left w:w="57" w:type="dxa"/>
              <w:bottom w:w="0" w:type="dxa"/>
              <w:right w:w="57" w:type="dxa"/>
            </w:tcMar>
          </w:tcPr>
          <w:p w14:paraId="2F4603A0"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14.COM 10.b.14</w:t>
            </w:r>
          </w:p>
        </w:tc>
        <w:tc>
          <w:tcPr>
            <w:tcW w:w="1042" w:type="pct"/>
            <w:tcBorders>
              <w:top w:val="single" w:sz="8" w:space="0" w:color="auto"/>
              <w:left w:val="nil"/>
              <w:bottom w:val="single" w:sz="8" w:space="0" w:color="auto"/>
              <w:right w:val="nil"/>
            </w:tcBorders>
            <w:tcMar>
              <w:top w:w="0" w:type="dxa"/>
              <w:left w:w="57" w:type="dxa"/>
              <w:bottom w:w="0" w:type="dxa"/>
              <w:right w:w="57" w:type="dxa"/>
            </w:tcMar>
          </w:tcPr>
          <w:p w14:paraId="2C05CCFF"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Inde</w:t>
            </w:r>
          </w:p>
        </w:tc>
        <w:tc>
          <w:tcPr>
            <w:tcW w:w="1332" w:type="pct"/>
            <w:tcBorders>
              <w:top w:val="single" w:sz="8" w:space="0" w:color="auto"/>
              <w:left w:val="nil"/>
              <w:bottom w:val="single" w:sz="8" w:space="0" w:color="auto"/>
              <w:right w:val="nil"/>
            </w:tcBorders>
            <w:tcMar>
              <w:top w:w="0" w:type="dxa"/>
              <w:left w:w="57" w:type="dxa"/>
              <w:bottom w:w="0" w:type="dxa"/>
              <w:right w:w="57" w:type="dxa"/>
            </w:tcMar>
          </w:tcPr>
          <w:p w14:paraId="75960B21" w14:textId="3FE980F3" w:rsidR="00A94ED5" w:rsidRPr="006265F0" w:rsidRDefault="00A94ED5" w:rsidP="00162A2F">
            <w:pPr>
              <w:pStyle w:val="NormalWeb"/>
              <w:rPr>
                <w:rFonts w:ascii="Arial" w:hAnsi="Arial" w:cs="Arial"/>
                <w:sz w:val="22"/>
                <w:szCs w:val="22"/>
              </w:rPr>
            </w:pPr>
            <w:r>
              <w:rPr>
                <w:rFonts w:ascii="Arial" w:hAnsi="Arial"/>
                <w:sz w:val="22"/>
                <w:szCs w:val="22"/>
              </w:rPr>
              <w:t>L</w:t>
            </w:r>
            <w:r w:rsidR="001626E5">
              <w:rPr>
                <w:rFonts w:ascii="Arial" w:hAnsi="Arial"/>
                <w:sz w:val="22"/>
                <w:szCs w:val="22"/>
              </w:rPr>
              <w:t>e</w:t>
            </w:r>
            <w:r>
              <w:rPr>
                <w:rFonts w:ascii="Arial" w:hAnsi="Arial"/>
                <w:sz w:val="22"/>
                <w:szCs w:val="22"/>
              </w:rPr>
              <w:t xml:space="preserve"> </w:t>
            </w:r>
            <w:proofErr w:type="spellStart"/>
            <w:r>
              <w:rPr>
                <w:rFonts w:ascii="Arial" w:hAnsi="Arial"/>
                <w:sz w:val="22"/>
                <w:szCs w:val="22"/>
              </w:rPr>
              <w:t>sowa-rigpa</w:t>
            </w:r>
            <w:proofErr w:type="spellEnd"/>
            <w:r>
              <w:rPr>
                <w:rFonts w:ascii="Arial" w:hAnsi="Arial"/>
                <w:sz w:val="22"/>
                <w:szCs w:val="22"/>
              </w:rPr>
              <w:t>, connaissance de la guérison ou science de la guérison</w:t>
            </w:r>
          </w:p>
        </w:tc>
        <w:tc>
          <w:tcPr>
            <w:tcW w:w="941" w:type="pct"/>
            <w:tcBorders>
              <w:top w:val="single" w:sz="8" w:space="0" w:color="auto"/>
              <w:left w:val="nil"/>
              <w:bottom w:val="single" w:sz="8" w:space="0" w:color="auto"/>
              <w:right w:val="nil"/>
            </w:tcBorders>
            <w:tcMar>
              <w:top w:w="0" w:type="dxa"/>
              <w:left w:w="57" w:type="dxa"/>
              <w:bottom w:w="0" w:type="dxa"/>
              <w:right w:w="57" w:type="dxa"/>
            </w:tcMar>
          </w:tcPr>
          <w:p w14:paraId="1835EF8C" w14:textId="77777777" w:rsidR="00A94ED5" w:rsidRPr="006265F0" w:rsidRDefault="00C368D7" w:rsidP="00A94ED5">
            <w:pPr>
              <w:pStyle w:val="NormalWeb"/>
              <w:jc w:val="center"/>
              <w:rPr>
                <w:rFonts w:ascii="Arial" w:hAnsi="Arial" w:cs="Arial"/>
                <w:sz w:val="22"/>
                <w:szCs w:val="22"/>
              </w:rPr>
            </w:pPr>
            <w:r>
              <w:rPr>
                <w:rFonts w:ascii="Arial" w:hAnsi="Arial"/>
                <w:sz w:val="22"/>
                <w:szCs w:val="22"/>
              </w:rPr>
              <w:t>Liste représentative</w:t>
            </w:r>
          </w:p>
        </w:tc>
        <w:tc>
          <w:tcPr>
            <w:tcW w:w="647" w:type="pct"/>
            <w:tcBorders>
              <w:top w:val="single" w:sz="8" w:space="0" w:color="auto"/>
              <w:left w:val="nil"/>
              <w:bottom w:val="single" w:sz="8" w:space="0" w:color="auto"/>
              <w:right w:val="single" w:sz="8" w:space="0" w:color="auto"/>
            </w:tcBorders>
            <w:tcMar>
              <w:top w:w="0" w:type="dxa"/>
              <w:left w:w="57" w:type="dxa"/>
              <w:bottom w:w="0" w:type="dxa"/>
              <w:right w:w="57" w:type="dxa"/>
            </w:tcMar>
          </w:tcPr>
          <w:p w14:paraId="68337964" w14:textId="3C2704B1" w:rsidR="00A94ED5" w:rsidRPr="006265F0" w:rsidRDefault="009377AA" w:rsidP="00A94ED5">
            <w:pPr>
              <w:pStyle w:val="NormalWeb"/>
              <w:jc w:val="center"/>
              <w:rPr>
                <w:rFonts w:ascii="Arial" w:hAnsi="Arial" w:cs="Arial"/>
                <w:sz w:val="22"/>
                <w:szCs w:val="22"/>
              </w:rPr>
            </w:pPr>
            <w:hyperlink r:id="rId12" w:anchor="10.b.14" w:history="1">
              <w:r w:rsidR="00865E12" w:rsidRPr="00F14587">
                <w:rPr>
                  <w:rStyle w:val="Lienhypertexte"/>
                  <w:rFonts w:ascii="Arial" w:eastAsia="SimSun" w:hAnsi="Arial" w:cs="Arial"/>
                  <w:sz w:val="22"/>
                  <w:szCs w:val="22"/>
                  <w:lang w:val="en-GB"/>
                </w:rPr>
                <w:t>01</w:t>
              </w:r>
              <w:r w:rsidR="00865E12">
                <w:rPr>
                  <w:rStyle w:val="Lienhypertexte"/>
                  <w:rFonts w:ascii="Arial" w:eastAsia="SimSun" w:hAnsi="Arial" w:cs="Arial"/>
                  <w:sz w:val="22"/>
                  <w:szCs w:val="22"/>
                  <w:lang w:val="en-GB"/>
                </w:rPr>
                <w:t>358</w:t>
              </w:r>
            </w:hyperlink>
          </w:p>
        </w:tc>
      </w:tr>
      <w:tr w:rsidR="00A94ED5" w:rsidRPr="006265F0" w14:paraId="2795B9B0" w14:textId="77777777" w:rsidTr="008757B1">
        <w:tc>
          <w:tcPr>
            <w:tcW w:w="1037" w:type="pct"/>
            <w:tcBorders>
              <w:top w:val="nil"/>
              <w:left w:val="single" w:sz="8" w:space="0" w:color="auto"/>
              <w:bottom w:val="single" w:sz="8" w:space="0" w:color="auto"/>
              <w:right w:val="nil"/>
            </w:tcBorders>
            <w:tcMar>
              <w:top w:w="0" w:type="dxa"/>
              <w:left w:w="57" w:type="dxa"/>
              <w:bottom w:w="0" w:type="dxa"/>
              <w:right w:w="57" w:type="dxa"/>
            </w:tcMar>
          </w:tcPr>
          <w:p w14:paraId="30C3BEFD"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14.COM 10.b.27</w:t>
            </w:r>
          </w:p>
        </w:tc>
        <w:tc>
          <w:tcPr>
            <w:tcW w:w="1042" w:type="pct"/>
            <w:tcBorders>
              <w:top w:val="nil"/>
              <w:left w:val="nil"/>
              <w:bottom w:val="single" w:sz="8" w:space="0" w:color="auto"/>
              <w:right w:val="nil"/>
            </w:tcBorders>
            <w:tcMar>
              <w:top w:w="0" w:type="dxa"/>
              <w:left w:w="57" w:type="dxa"/>
              <w:bottom w:w="0" w:type="dxa"/>
              <w:right w:w="57" w:type="dxa"/>
            </w:tcMar>
          </w:tcPr>
          <w:p w14:paraId="6082BCC9"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Nigéria</w:t>
            </w:r>
          </w:p>
        </w:tc>
        <w:tc>
          <w:tcPr>
            <w:tcW w:w="1332" w:type="pct"/>
            <w:tcBorders>
              <w:top w:val="nil"/>
              <w:left w:val="nil"/>
              <w:bottom w:val="single" w:sz="8" w:space="0" w:color="auto"/>
              <w:right w:val="nil"/>
            </w:tcBorders>
            <w:tcMar>
              <w:top w:w="0" w:type="dxa"/>
              <w:left w:w="57" w:type="dxa"/>
              <w:bottom w:w="0" w:type="dxa"/>
              <w:right w:w="57" w:type="dxa"/>
            </w:tcMar>
          </w:tcPr>
          <w:p w14:paraId="129152CC" w14:textId="77777777" w:rsidR="00A94ED5" w:rsidRPr="006265F0" w:rsidRDefault="00A94ED5" w:rsidP="001A622D">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kwagh-hir</w:t>
            </w:r>
            <w:proofErr w:type="spellEnd"/>
            <w:r>
              <w:rPr>
                <w:rFonts w:ascii="Arial" w:hAnsi="Arial"/>
                <w:sz w:val="22"/>
                <w:szCs w:val="22"/>
              </w:rPr>
              <w:t>, représentation théâtrale</w:t>
            </w:r>
          </w:p>
        </w:tc>
        <w:tc>
          <w:tcPr>
            <w:tcW w:w="941" w:type="pct"/>
            <w:tcBorders>
              <w:top w:val="nil"/>
              <w:left w:val="nil"/>
              <w:bottom w:val="single" w:sz="8" w:space="0" w:color="auto"/>
              <w:right w:val="nil"/>
            </w:tcBorders>
            <w:tcMar>
              <w:top w:w="0" w:type="dxa"/>
              <w:left w:w="57" w:type="dxa"/>
              <w:bottom w:w="0" w:type="dxa"/>
              <w:right w:w="57" w:type="dxa"/>
            </w:tcMar>
          </w:tcPr>
          <w:p w14:paraId="6C222589" w14:textId="77777777" w:rsidR="00A94ED5" w:rsidRPr="006265F0" w:rsidRDefault="00C368D7" w:rsidP="00C368D7">
            <w:pPr>
              <w:pStyle w:val="NormalWeb"/>
              <w:jc w:val="center"/>
              <w:rPr>
                <w:rFonts w:ascii="Arial" w:hAnsi="Arial" w:cs="Arial"/>
                <w:sz w:val="22"/>
                <w:szCs w:val="22"/>
              </w:rPr>
            </w:pPr>
            <w:r>
              <w:rPr>
                <w:rFonts w:ascii="Arial" w:hAnsi="Arial"/>
                <w:sz w:val="22"/>
                <w:szCs w:val="22"/>
              </w:rPr>
              <w:t>Liste représentative</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7506F945" w14:textId="65ECA58F" w:rsidR="00A94ED5" w:rsidRPr="006265F0" w:rsidRDefault="009377AA" w:rsidP="00A94ED5">
            <w:pPr>
              <w:pStyle w:val="NormalWeb"/>
              <w:jc w:val="center"/>
              <w:rPr>
                <w:rFonts w:ascii="Arial" w:hAnsi="Arial" w:cs="Arial"/>
                <w:sz w:val="22"/>
                <w:szCs w:val="22"/>
              </w:rPr>
            </w:pPr>
            <w:hyperlink r:id="rId13" w:anchor="10.b.27" w:history="1">
              <w:r w:rsidR="00E947ED" w:rsidRPr="00F14587">
                <w:rPr>
                  <w:rStyle w:val="Lienhypertexte"/>
                  <w:rFonts w:ascii="Arial" w:eastAsia="SimSun" w:hAnsi="Arial" w:cs="Arial"/>
                  <w:sz w:val="22"/>
                  <w:szCs w:val="22"/>
                  <w:lang w:val="en-GB"/>
                </w:rPr>
                <w:t>0</w:t>
              </w:r>
              <w:r w:rsidR="00E947ED">
                <w:rPr>
                  <w:rStyle w:val="Lienhypertexte"/>
                  <w:rFonts w:ascii="Arial" w:eastAsia="SimSun" w:hAnsi="Arial" w:cs="Arial"/>
                  <w:sz w:val="22"/>
                  <w:szCs w:val="22"/>
                  <w:lang w:val="en-GB"/>
                </w:rPr>
                <w:t>0683</w:t>
              </w:r>
            </w:hyperlink>
          </w:p>
        </w:tc>
      </w:tr>
      <w:tr w:rsidR="00A94ED5" w:rsidRPr="006265F0" w14:paraId="55DA716C" w14:textId="77777777" w:rsidTr="008757B1">
        <w:tc>
          <w:tcPr>
            <w:tcW w:w="1037" w:type="pct"/>
            <w:tcBorders>
              <w:top w:val="nil"/>
              <w:left w:val="single" w:sz="8" w:space="0" w:color="auto"/>
              <w:bottom w:val="single" w:sz="8" w:space="0" w:color="auto"/>
              <w:right w:val="nil"/>
            </w:tcBorders>
            <w:tcMar>
              <w:top w:w="0" w:type="dxa"/>
              <w:left w:w="57" w:type="dxa"/>
              <w:bottom w:w="0" w:type="dxa"/>
              <w:right w:w="57" w:type="dxa"/>
            </w:tcMar>
          </w:tcPr>
          <w:p w14:paraId="360164E3"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14.COM 10.b.31</w:t>
            </w:r>
          </w:p>
        </w:tc>
        <w:tc>
          <w:tcPr>
            <w:tcW w:w="1042" w:type="pct"/>
            <w:tcBorders>
              <w:top w:val="nil"/>
              <w:left w:val="nil"/>
              <w:bottom w:val="single" w:sz="8" w:space="0" w:color="auto"/>
              <w:right w:val="nil"/>
            </w:tcBorders>
            <w:tcMar>
              <w:top w:w="0" w:type="dxa"/>
              <w:left w:w="57" w:type="dxa"/>
              <w:bottom w:w="0" w:type="dxa"/>
              <w:right w:w="57" w:type="dxa"/>
            </w:tcMar>
          </w:tcPr>
          <w:p w14:paraId="6E882B09"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Samoa</w:t>
            </w:r>
          </w:p>
        </w:tc>
        <w:tc>
          <w:tcPr>
            <w:tcW w:w="1332" w:type="pct"/>
            <w:tcBorders>
              <w:top w:val="nil"/>
              <w:left w:val="nil"/>
              <w:bottom w:val="single" w:sz="8" w:space="0" w:color="auto"/>
              <w:right w:val="nil"/>
            </w:tcBorders>
            <w:tcMar>
              <w:top w:w="0" w:type="dxa"/>
              <w:left w:w="57" w:type="dxa"/>
              <w:bottom w:w="0" w:type="dxa"/>
              <w:right w:w="57" w:type="dxa"/>
            </w:tcMar>
          </w:tcPr>
          <w:p w14:paraId="78E7D88D" w14:textId="77777777" w:rsidR="00A94ED5" w:rsidRPr="006265F0" w:rsidRDefault="00A94ED5" w:rsidP="001A622D">
            <w:pPr>
              <w:pStyle w:val="NormalWeb"/>
              <w:rPr>
                <w:rFonts w:ascii="Arial" w:hAnsi="Arial" w:cs="Arial"/>
                <w:sz w:val="22"/>
                <w:szCs w:val="22"/>
              </w:rPr>
            </w:pPr>
            <w:r>
              <w:rPr>
                <w:rFonts w:ascii="Arial" w:hAnsi="Arial"/>
                <w:sz w:val="22"/>
                <w:szCs w:val="22"/>
              </w:rPr>
              <w:t>Le '</w:t>
            </w:r>
            <w:proofErr w:type="spellStart"/>
            <w:r>
              <w:rPr>
                <w:rFonts w:ascii="Arial" w:hAnsi="Arial"/>
                <w:sz w:val="22"/>
                <w:szCs w:val="22"/>
              </w:rPr>
              <w:t>ie</w:t>
            </w:r>
            <w:proofErr w:type="spellEnd"/>
            <w:r>
              <w:rPr>
                <w:rFonts w:ascii="Arial" w:hAnsi="Arial"/>
                <w:sz w:val="22"/>
                <w:szCs w:val="22"/>
              </w:rPr>
              <w:t xml:space="preserve"> Samoa, ou natte fine, et sa valeur culturelle</w:t>
            </w:r>
          </w:p>
        </w:tc>
        <w:tc>
          <w:tcPr>
            <w:tcW w:w="941" w:type="pct"/>
            <w:tcBorders>
              <w:top w:val="nil"/>
              <w:left w:val="nil"/>
              <w:bottom w:val="single" w:sz="8" w:space="0" w:color="auto"/>
              <w:right w:val="nil"/>
            </w:tcBorders>
            <w:tcMar>
              <w:top w:w="0" w:type="dxa"/>
              <w:left w:w="57" w:type="dxa"/>
              <w:bottom w:w="0" w:type="dxa"/>
              <w:right w:w="57" w:type="dxa"/>
            </w:tcMar>
          </w:tcPr>
          <w:p w14:paraId="716B82CB" w14:textId="77777777" w:rsidR="00A94ED5" w:rsidRPr="006265F0" w:rsidRDefault="00C368D7" w:rsidP="00C368D7">
            <w:pPr>
              <w:pStyle w:val="NormalWeb"/>
              <w:jc w:val="center"/>
              <w:rPr>
                <w:rFonts w:ascii="Arial" w:hAnsi="Arial" w:cs="Arial"/>
                <w:sz w:val="22"/>
                <w:szCs w:val="22"/>
              </w:rPr>
            </w:pPr>
            <w:r>
              <w:rPr>
                <w:rFonts w:ascii="Arial" w:hAnsi="Arial"/>
                <w:sz w:val="22"/>
                <w:szCs w:val="22"/>
              </w:rPr>
              <w:t>Liste représentative</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4485A367" w14:textId="335F11F7" w:rsidR="00A94ED5" w:rsidRPr="006265F0" w:rsidRDefault="009377AA" w:rsidP="00A94ED5">
            <w:pPr>
              <w:pStyle w:val="NormalWeb"/>
              <w:jc w:val="center"/>
              <w:rPr>
                <w:rFonts w:ascii="Arial" w:hAnsi="Arial" w:cs="Arial"/>
                <w:sz w:val="22"/>
                <w:szCs w:val="22"/>
              </w:rPr>
            </w:pPr>
            <w:hyperlink r:id="rId14" w:anchor="10.b.31" w:history="1">
              <w:r w:rsidR="00AB3C93" w:rsidRPr="00F14587">
                <w:rPr>
                  <w:rStyle w:val="Lienhypertexte"/>
                  <w:rFonts w:ascii="Arial" w:eastAsia="SimSun" w:hAnsi="Arial" w:cs="Arial"/>
                  <w:sz w:val="22"/>
                  <w:szCs w:val="22"/>
                  <w:lang w:val="en-GB"/>
                </w:rPr>
                <w:t>01</w:t>
              </w:r>
              <w:r w:rsidR="00AB3C93">
                <w:rPr>
                  <w:rStyle w:val="Lienhypertexte"/>
                  <w:rFonts w:ascii="Arial" w:eastAsia="SimSun" w:hAnsi="Arial" w:cs="Arial"/>
                  <w:sz w:val="22"/>
                  <w:szCs w:val="22"/>
                  <w:lang w:val="en-GB"/>
                </w:rPr>
                <w:t>499</w:t>
              </w:r>
            </w:hyperlink>
          </w:p>
        </w:tc>
      </w:tr>
      <w:tr w:rsidR="00A94ED5" w:rsidRPr="006265F0" w14:paraId="1E9F6FFB" w14:textId="77777777" w:rsidTr="008757B1">
        <w:tc>
          <w:tcPr>
            <w:tcW w:w="1037" w:type="pct"/>
            <w:tcBorders>
              <w:top w:val="nil"/>
              <w:left w:val="single" w:sz="8" w:space="0" w:color="auto"/>
              <w:bottom w:val="single" w:sz="8" w:space="0" w:color="auto"/>
              <w:right w:val="nil"/>
            </w:tcBorders>
            <w:tcMar>
              <w:top w:w="0" w:type="dxa"/>
              <w:left w:w="57" w:type="dxa"/>
              <w:bottom w:w="0" w:type="dxa"/>
              <w:right w:w="57" w:type="dxa"/>
            </w:tcMar>
          </w:tcPr>
          <w:p w14:paraId="383E0F41"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14.COM 10.b.37</w:t>
            </w:r>
          </w:p>
        </w:tc>
        <w:tc>
          <w:tcPr>
            <w:tcW w:w="1042" w:type="pct"/>
            <w:tcBorders>
              <w:top w:val="nil"/>
              <w:left w:val="nil"/>
              <w:bottom w:val="single" w:sz="8" w:space="0" w:color="auto"/>
              <w:right w:val="nil"/>
            </w:tcBorders>
            <w:tcMar>
              <w:top w:w="0" w:type="dxa"/>
              <w:left w:w="57" w:type="dxa"/>
              <w:bottom w:w="0" w:type="dxa"/>
              <w:right w:w="57" w:type="dxa"/>
            </w:tcMar>
          </w:tcPr>
          <w:p w14:paraId="3FDC1458" w14:textId="77777777" w:rsidR="00A94ED5" w:rsidRPr="006265F0" w:rsidRDefault="00A94ED5" w:rsidP="00A94ED5">
            <w:pPr>
              <w:pStyle w:val="NormalWeb"/>
              <w:jc w:val="center"/>
              <w:rPr>
                <w:rFonts w:ascii="Arial" w:hAnsi="Arial" w:cs="Arial"/>
                <w:sz w:val="22"/>
                <w:szCs w:val="22"/>
              </w:rPr>
            </w:pPr>
            <w:r>
              <w:rPr>
                <w:rFonts w:ascii="Arial" w:hAnsi="Arial"/>
                <w:sz w:val="22"/>
                <w:szCs w:val="22"/>
              </w:rPr>
              <w:t>Thaïlande</w:t>
            </w:r>
          </w:p>
        </w:tc>
        <w:tc>
          <w:tcPr>
            <w:tcW w:w="1332" w:type="pct"/>
            <w:tcBorders>
              <w:top w:val="nil"/>
              <w:left w:val="nil"/>
              <w:bottom w:val="single" w:sz="8" w:space="0" w:color="auto"/>
              <w:right w:val="nil"/>
            </w:tcBorders>
            <w:tcMar>
              <w:top w:w="0" w:type="dxa"/>
              <w:left w:w="57" w:type="dxa"/>
              <w:bottom w:w="0" w:type="dxa"/>
              <w:right w:w="57" w:type="dxa"/>
            </w:tcMar>
          </w:tcPr>
          <w:p w14:paraId="790544BD" w14:textId="77777777" w:rsidR="00A94ED5" w:rsidRPr="006265F0" w:rsidRDefault="00A94ED5" w:rsidP="001A622D">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nuad</w:t>
            </w:r>
            <w:proofErr w:type="spellEnd"/>
            <w:r>
              <w:rPr>
                <w:rFonts w:ascii="Arial" w:hAnsi="Arial"/>
                <w:sz w:val="22"/>
                <w:szCs w:val="22"/>
              </w:rPr>
              <w:t xml:space="preserve"> </w:t>
            </w:r>
            <w:proofErr w:type="spellStart"/>
            <w:r>
              <w:rPr>
                <w:rFonts w:ascii="Arial" w:hAnsi="Arial"/>
                <w:sz w:val="22"/>
                <w:szCs w:val="22"/>
              </w:rPr>
              <w:t>thai</w:t>
            </w:r>
            <w:proofErr w:type="spellEnd"/>
            <w:r>
              <w:rPr>
                <w:rFonts w:ascii="Arial" w:hAnsi="Arial"/>
                <w:sz w:val="22"/>
                <w:szCs w:val="22"/>
              </w:rPr>
              <w:t>, massage thaïlandais traditionnel</w:t>
            </w:r>
          </w:p>
        </w:tc>
        <w:tc>
          <w:tcPr>
            <w:tcW w:w="941" w:type="pct"/>
            <w:tcBorders>
              <w:top w:val="nil"/>
              <w:left w:val="nil"/>
              <w:bottom w:val="single" w:sz="8" w:space="0" w:color="auto"/>
              <w:right w:val="nil"/>
            </w:tcBorders>
            <w:tcMar>
              <w:top w:w="0" w:type="dxa"/>
              <w:left w:w="57" w:type="dxa"/>
              <w:bottom w:w="0" w:type="dxa"/>
              <w:right w:w="57" w:type="dxa"/>
            </w:tcMar>
          </w:tcPr>
          <w:p w14:paraId="5A2AFF85" w14:textId="77777777" w:rsidR="00A94ED5" w:rsidRPr="006265F0" w:rsidRDefault="00C368D7" w:rsidP="00C368D7">
            <w:pPr>
              <w:pStyle w:val="NormalWeb"/>
              <w:jc w:val="center"/>
              <w:rPr>
                <w:rFonts w:ascii="Arial" w:hAnsi="Arial" w:cs="Arial"/>
                <w:sz w:val="22"/>
                <w:szCs w:val="22"/>
              </w:rPr>
            </w:pPr>
            <w:r>
              <w:rPr>
                <w:rFonts w:ascii="Arial" w:hAnsi="Arial"/>
                <w:sz w:val="22"/>
                <w:szCs w:val="22"/>
              </w:rPr>
              <w:t>Liste représentative</w:t>
            </w:r>
          </w:p>
        </w:tc>
        <w:tc>
          <w:tcPr>
            <w:tcW w:w="647" w:type="pct"/>
            <w:tcBorders>
              <w:top w:val="nil"/>
              <w:left w:val="nil"/>
              <w:bottom w:val="single" w:sz="8" w:space="0" w:color="auto"/>
              <w:right w:val="single" w:sz="8" w:space="0" w:color="auto"/>
            </w:tcBorders>
            <w:tcMar>
              <w:top w:w="0" w:type="dxa"/>
              <w:left w:w="57" w:type="dxa"/>
              <w:bottom w:w="0" w:type="dxa"/>
              <w:right w:w="57" w:type="dxa"/>
            </w:tcMar>
          </w:tcPr>
          <w:p w14:paraId="3E996AB5" w14:textId="37699B08" w:rsidR="00A94ED5" w:rsidRPr="006265F0" w:rsidRDefault="009377AA" w:rsidP="00A94ED5">
            <w:pPr>
              <w:pStyle w:val="NormalWeb"/>
              <w:jc w:val="center"/>
              <w:rPr>
                <w:rFonts w:ascii="Arial" w:hAnsi="Arial" w:cs="Arial"/>
                <w:sz w:val="22"/>
                <w:szCs w:val="22"/>
              </w:rPr>
            </w:pPr>
            <w:hyperlink r:id="rId15" w:anchor="10.b.37" w:history="1">
              <w:r w:rsidR="00945DC8" w:rsidRPr="00F14587">
                <w:rPr>
                  <w:rStyle w:val="Lienhypertexte"/>
                  <w:rFonts w:ascii="Arial" w:eastAsia="SimSun" w:hAnsi="Arial" w:cs="Arial"/>
                  <w:sz w:val="22"/>
                  <w:szCs w:val="22"/>
                  <w:lang w:val="en-GB"/>
                </w:rPr>
                <w:t>01</w:t>
              </w:r>
              <w:r w:rsidR="00945DC8">
                <w:rPr>
                  <w:rStyle w:val="Lienhypertexte"/>
                  <w:rFonts w:ascii="Arial" w:eastAsia="SimSun" w:hAnsi="Arial" w:cs="Arial"/>
                  <w:sz w:val="22"/>
                  <w:szCs w:val="22"/>
                  <w:lang w:val="en-GB"/>
                </w:rPr>
                <w:t>384</w:t>
              </w:r>
            </w:hyperlink>
          </w:p>
        </w:tc>
      </w:tr>
    </w:tbl>
    <w:p w14:paraId="6597BBEF" w14:textId="77777777" w:rsidR="00675C5F" w:rsidRDefault="00675C5F" w:rsidP="00675C5F">
      <w:pPr>
        <w:pStyle w:val="1gapara0"/>
        <w:rPr>
          <w:rFonts w:ascii="Calibri" w:hAnsi="Calibri"/>
        </w:rPr>
      </w:pPr>
    </w:p>
    <w:p w14:paraId="0911B22B" w14:textId="545BE2EB" w:rsidR="006D1391" w:rsidRPr="001423E1" w:rsidRDefault="006D1391" w:rsidP="00700D72">
      <w:pPr>
        <w:pStyle w:val="1GAPara"/>
        <w:ind w:left="567" w:hanging="567"/>
        <w:jc w:val="both"/>
      </w:pPr>
      <w:r>
        <w:t>Les six États parties concernés ont répondu par écrit, en anglais et en français, aux questions posées par l’Organe d'évaluation avant la date limite du 12 juillet 2019. Les réponses des États soumissionnaires ont ensuite été mises en ligne, à la disposition de</w:t>
      </w:r>
      <w:r w:rsidR="00151BBD">
        <w:t xml:space="preserve"> chaque </w:t>
      </w:r>
      <w:r>
        <w:t>membre de l’Organe d’évaluation, afin qu</w:t>
      </w:r>
      <w:r w:rsidR="00151BBD">
        <w:t xml:space="preserve">’ils </w:t>
      </w:r>
      <w:r>
        <w:t>puisse</w:t>
      </w:r>
      <w:r w:rsidR="00151BBD">
        <w:t>nt</w:t>
      </w:r>
      <w:r>
        <w:t xml:space="preserve"> donner un avis individuel sur les réponses.</w:t>
      </w:r>
    </w:p>
    <w:p w14:paraId="06ECD625" w14:textId="2198492A" w:rsidR="006D1391" w:rsidRPr="00FC4664" w:rsidRDefault="006D1391" w:rsidP="00700D72">
      <w:pPr>
        <w:pStyle w:val="1GAPara"/>
        <w:ind w:left="567" w:hanging="567"/>
        <w:jc w:val="both"/>
        <w:rPr>
          <w:rFonts w:eastAsiaTheme="minorHAnsi"/>
        </w:rPr>
      </w:pPr>
      <w:r>
        <w:lastRenderedPageBreak/>
        <w:t xml:space="preserve">Lors de sa troisième réunion en septembre 2019, l’Organe a débattu pour savoir si les </w:t>
      </w:r>
      <w:r w:rsidR="00870D9A">
        <w:t xml:space="preserve">réponses </w:t>
      </w:r>
      <w:r>
        <w:t xml:space="preserve">fournies par les États soumissionnaires répondaient </w:t>
      </w:r>
      <w:r w:rsidR="00BF1732">
        <w:t xml:space="preserve">de manière adéquate </w:t>
      </w:r>
      <w:r>
        <w:t>aux questions posées et si</w:t>
      </w:r>
      <w:r w:rsidR="00870D9A">
        <w:t>, d’après</w:t>
      </w:r>
      <w:r>
        <w:t xml:space="preserve"> les informations contenues dans les réponses</w:t>
      </w:r>
      <w:r w:rsidR="00870D9A">
        <w:t>,</w:t>
      </w:r>
      <w:r>
        <w:t xml:space="preserve"> le critère concerné</w:t>
      </w:r>
      <w:r w:rsidR="00870D9A">
        <w:t xml:space="preserve"> pouvait être considéré</w:t>
      </w:r>
      <w:r>
        <w:t xml:space="preserve"> comme satisfait. Sur la base de ses délibérations, l’Organe d'évaluation a formulé son avis collectif pour chaque dossier concerné par le processus de dialogue.</w:t>
      </w:r>
    </w:p>
    <w:p w14:paraId="365EB33B" w14:textId="48BF848B" w:rsidR="008A433E" w:rsidRPr="001241F3" w:rsidRDefault="0053336E" w:rsidP="00700D72">
      <w:pPr>
        <w:pStyle w:val="1GAPara"/>
        <w:ind w:left="567" w:hanging="567"/>
        <w:jc w:val="both"/>
        <w:rPr>
          <w:rFonts w:eastAsia="SimSun"/>
        </w:rPr>
      </w:pPr>
      <w:r>
        <w:t xml:space="preserve">Les avis collectifs de l’Organe d’évaluation figurent dans le présent document, et ne font pas partie intégrante des rapports de l’Organe d’évaluation (à </w:t>
      </w:r>
      <w:r w:rsidR="00C60FAA">
        <w:t>savoir les documents de </w:t>
      </w:r>
      <w:r w:rsidR="00C60FAA" w:rsidRPr="007613A0">
        <w:t>travail </w:t>
      </w:r>
      <w:hyperlink r:id="rId16" w:history="1">
        <w:r w:rsidRPr="007613A0">
          <w:rPr>
            <w:rStyle w:val="Lienhypertexte"/>
            <w:rFonts w:cs="Arial"/>
            <w:shd w:val="clear" w:color="auto" w:fill="FFFFFF"/>
          </w:rPr>
          <w:t>LHE/19/14.COM/10.a</w:t>
        </w:r>
      </w:hyperlink>
      <w:r w:rsidRPr="007613A0">
        <w:rPr>
          <w:shd w:val="clear" w:color="auto" w:fill="FFFFFF"/>
        </w:rPr>
        <w:t>,</w:t>
      </w:r>
      <w:r w:rsidR="00C60FAA" w:rsidRPr="007613A0">
        <w:rPr>
          <w:shd w:val="clear" w:color="auto" w:fill="FFFFFF"/>
        </w:rPr>
        <w:t> </w:t>
      </w:r>
      <w:hyperlink r:id="rId17" w:history="1">
        <w:r w:rsidRPr="007613A0">
          <w:rPr>
            <w:rStyle w:val="Lienhypertexte"/>
            <w:rFonts w:cs="Arial"/>
            <w:shd w:val="clear" w:color="auto" w:fill="FFFFFF"/>
          </w:rPr>
          <w:t>LHE/19/14.COM/10.b</w:t>
        </w:r>
      </w:hyperlink>
      <w:r w:rsidRPr="007613A0">
        <w:rPr>
          <w:shd w:val="clear" w:color="auto" w:fill="FFFFFF"/>
        </w:rPr>
        <w:t>,</w:t>
      </w:r>
      <w:r w:rsidR="00C60FAA" w:rsidRPr="007613A0">
        <w:rPr>
          <w:shd w:val="clear" w:color="auto" w:fill="FFFFFF"/>
        </w:rPr>
        <w:t> </w:t>
      </w:r>
      <w:hyperlink r:id="rId18" w:history="1">
        <w:r w:rsidRPr="007613A0">
          <w:rPr>
            <w:rStyle w:val="Lienhypertexte"/>
            <w:rFonts w:cs="Arial"/>
            <w:shd w:val="clear" w:color="auto" w:fill="FFFFFF"/>
          </w:rPr>
          <w:t>LHE/19/14.COM/10.c</w:t>
        </w:r>
      </w:hyperlink>
      <w:r w:rsidR="0012761B">
        <w:rPr>
          <w:shd w:val="clear" w:color="auto" w:fill="FFFFFF"/>
        </w:rPr>
        <w:t xml:space="preserve"> </w:t>
      </w:r>
      <w:r w:rsidR="00C60FAA" w:rsidRPr="007613A0">
        <w:rPr>
          <w:shd w:val="clear" w:color="auto" w:fill="FFFFFF"/>
        </w:rPr>
        <w:t>et</w:t>
      </w:r>
      <w:r w:rsidR="0012761B">
        <w:rPr>
          <w:shd w:val="clear" w:color="auto" w:fill="FFFFFF"/>
        </w:rPr>
        <w:t xml:space="preserve"> </w:t>
      </w:r>
      <w:hyperlink r:id="rId19" w:history="1">
        <w:r w:rsidR="00C60FAA" w:rsidRPr="007613A0">
          <w:rPr>
            <w:rStyle w:val="Lienhypertexte"/>
            <w:rFonts w:cs="Arial"/>
            <w:shd w:val="clear" w:color="auto" w:fill="FFFFFF"/>
          </w:rPr>
          <w:t>LHE/19/14.COM/10.d</w:t>
        </w:r>
      </w:hyperlink>
      <w:r w:rsidR="00C60FAA" w:rsidRPr="007613A0">
        <w:rPr>
          <w:shd w:val="clear" w:color="auto" w:fill="FFFFFF"/>
        </w:rPr>
        <w:t>)</w:t>
      </w:r>
      <w:r w:rsidR="00C16860" w:rsidRPr="007613A0">
        <w:rPr>
          <w:shd w:val="clear" w:color="auto" w:fill="FFFFFF"/>
        </w:rPr>
        <w:t xml:space="preserve"> qui comprennent </w:t>
      </w:r>
      <w:r w:rsidRPr="007613A0">
        <w:t>les</w:t>
      </w:r>
      <w:r w:rsidRPr="007613A0">
        <w:rPr>
          <w:shd w:val="clear" w:color="auto" w:fill="FFFFFF"/>
        </w:rPr>
        <w:t xml:space="preserve"> recomman</w:t>
      </w:r>
      <w:r w:rsidR="00C16860" w:rsidRPr="007613A0">
        <w:rPr>
          <w:shd w:val="clear" w:color="auto" w:fill="FFFFFF"/>
        </w:rPr>
        <w:t xml:space="preserve">dations de l’Organe pour chaque </w:t>
      </w:r>
      <w:r w:rsidRPr="007613A0">
        <w:rPr>
          <w:shd w:val="clear" w:color="auto" w:fill="FFFFFF"/>
        </w:rPr>
        <w:t>dossier de candidature.</w:t>
      </w:r>
      <w:r>
        <w:t xml:space="preserve"> </w:t>
      </w:r>
      <w:r w:rsidR="00C97BFE">
        <w:t>L</w:t>
      </w:r>
      <w:r>
        <w:t>es avis n</w:t>
      </w:r>
      <w:r w:rsidR="008D7D26">
        <w:t>e</w:t>
      </w:r>
      <w:r>
        <w:t xml:space="preserve"> </w:t>
      </w:r>
      <w:r w:rsidR="008D7D26">
        <w:t xml:space="preserve">changent </w:t>
      </w:r>
      <w:r>
        <w:t xml:space="preserve">donc pas les recommandations de l’Organe d’évaluation au Comité, présentées dans les </w:t>
      </w:r>
      <w:r w:rsidR="00C97BFE">
        <w:t xml:space="preserve">documents </w:t>
      </w:r>
      <w:r>
        <w:t xml:space="preserve">susmentionnés, et ne modifient pas les résultats </w:t>
      </w:r>
      <w:r w:rsidR="00C97BFE">
        <w:t xml:space="preserve">finaux </w:t>
      </w:r>
      <w:r>
        <w:t xml:space="preserve">des évaluations de l’Organe. </w:t>
      </w:r>
      <w:r w:rsidRPr="00B838F2">
        <w:t xml:space="preserve">De plus, </w:t>
      </w:r>
      <w:r w:rsidR="00926DC9" w:rsidRPr="00B838F2">
        <w:t>la (</w:t>
      </w:r>
      <w:r w:rsidRPr="00B838F2">
        <w:t>les</w:t>
      </w:r>
      <w:r w:rsidR="00926DC9" w:rsidRPr="00B838F2">
        <w:t>)</w:t>
      </w:r>
      <w:r w:rsidRPr="00B838F2">
        <w:t xml:space="preserve"> question</w:t>
      </w:r>
      <w:r w:rsidR="00926DC9" w:rsidRPr="00B838F2">
        <w:t>(</w:t>
      </w:r>
      <w:r w:rsidRPr="00B838F2">
        <w:t>s</w:t>
      </w:r>
      <w:r w:rsidR="00926DC9" w:rsidRPr="00B838F2">
        <w:t>)</w:t>
      </w:r>
      <w:r w:rsidRPr="00B838F2">
        <w:t xml:space="preserve"> aux États soumissionnaires et </w:t>
      </w:r>
      <w:r w:rsidR="00926DC9" w:rsidRPr="00B838F2">
        <w:t>la (</w:t>
      </w:r>
      <w:r w:rsidRPr="00B838F2">
        <w:t>les</w:t>
      </w:r>
      <w:r w:rsidR="00926DC9" w:rsidRPr="00B838F2">
        <w:t>)</w:t>
      </w:r>
      <w:r w:rsidRPr="00B838F2">
        <w:t xml:space="preserve"> réponse</w:t>
      </w:r>
      <w:r w:rsidR="00926DC9" w:rsidRPr="00B838F2">
        <w:t>(</w:t>
      </w:r>
      <w:r w:rsidRPr="00B838F2">
        <w:t>s</w:t>
      </w:r>
      <w:r w:rsidR="00926DC9" w:rsidRPr="00B838F2">
        <w:t>)</w:t>
      </w:r>
      <w:r w:rsidRPr="00B838F2">
        <w:t xml:space="preserve"> de ces derniers sont communiquées à part sur le site de la Convention, avec le dossier de candidature.</w:t>
      </w:r>
    </w:p>
    <w:p w14:paraId="04CB72A8" w14:textId="58BF2C17" w:rsidR="00F45045" w:rsidRPr="001241F3" w:rsidRDefault="00D732D0" w:rsidP="00700D72">
      <w:pPr>
        <w:pStyle w:val="1GAPara"/>
        <w:spacing w:after="240"/>
        <w:ind w:left="567" w:hanging="567"/>
        <w:jc w:val="both"/>
      </w:pPr>
      <w:r>
        <w:t xml:space="preserve">Pour les six dossiers de candidature susmentionnés, les avis de l’Organe d'évaluation émis suite au processus </w:t>
      </w:r>
      <w:r w:rsidR="00080B98">
        <w:t xml:space="preserve">provisoire </w:t>
      </w:r>
      <w:r>
        <w:t>de dialogue en amont sont présentés ci-dessous :</w:t>
      </w:r>
    </w:p>
    <w:tbl>
      <w:tblPr>
        <w:tblW w:w="4755" w:type="pct"/>
        <w:tblInd w:w="624" w:type="dxa"/>
        <w:tblLayout w:type="fixed"/>
        <w:tblCellMar>
          <w:left w:w="0" w:type="dxa"/>
          <w:right w:w="0" w:type="dxa"/>
        </w:tblCellMar>
        <w:tblLook w:val="04A0" w:firstRow="1" w:lastRow="0" w:firstColumn="1" w:lastColumn="0" w:noHBand="0" w:noVBand="1"/>
      </w:tblPr>
      <w:tblGrid>
        <w:gridCol w:w="1774"/>
        <w:gridCol w:w="1987"/>
        <w:gridCol w:w="2832"/>
        <w:gridCol w:w="1559"/>
        <w:gridCol w:w="995"/>
      </w:tblGrid>
      <w:tr w:rsidR="00F8232B" w:rsidRPr="006265F0" w14:paraId="07D2E8E6" w14:textId="77777777" w:rsidTr="00616454">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03918ADE" w14:textId="77777777" w:rsidR="00E241A8" w:rsidRPr="006265F0" w:rsidRDefault="00E241A8" w:rsidP="003A052D">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189163B" w14:textId="3D88BFB2" w:rsidR="00E241A8" w:rsidRPr="006265F0" w:rsidRDefault="00E241A8" w:rsidP="003A052D">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br/>
            </w:r>
            <w:r>
              <w:rPr>
                <w:rFonts w:ascii="Arial" w:hAnsi="Arial"/>
                <w:b/>
                <w:bCs/>
                <w:sz w:val="22"/>
                <w:szCs w:val="22"/>
              </w:rPr>
              <w:t>soumissionnaire</w:t>
            </w:r>
          </w:p>
        </w:tc>
        <w:tc>
          <w:tcPr>
            <w:tcW w:w="1548"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3269607" w14:textId="77777777" w:rsidR="00E241A8" w:rsidRPr="006265F0" w:rsidRDefault="00E241A8" w:rsidP="003A052D">
            <w:pPr>
              <w:pStyle w:val="NormalWeb"/>
              <w:jc w:val="center"/>
              <w:rPr>
                <w:rFonts w:ascii="Arial" w:hAnsi="Arial" w:cs="Arial"/>
                <w:sz w:val="22"/>
                <w:szCs w:val="22"/>
              </w:rPr>
            </w:pPr>
            <w:r>
              <w:rPr>
                <w:rFonts w:ascii="Arial" w:hAnsi="Arial"/>
                <w:b/>
                <w:bCs/>
                <w:sz w:val="22"/>
                <w:szCs w:val="22"/>
              </w:rPr>
              <w:t>Candidature</w:t>
            </w:r>
          </w:p>
        </w:tc>
        <w:tc>
          <w:tcPr>
            <w:tcW w:w="85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7A562DAF" w14:textId="0337B355" w:rsidR="00E241A8" w:rsidRPr="006265F0" w:rsidRDefault="00E241A8" w:rsidP="008757B1">
            <w:pPr>
              <w:pStyle w:val="NormalWeb"/>
              <w:jc w:val="center"/>
              <w:rPr>
                <w:rFonts w:ascii="Arial" w:hAnsi="Arial" w:cs="Arial"/>
                <w:sz w:val="22"/>
                <w:szCs w:val="22"/>
              </w:rPr>
            </w:pPr>
            <w:r>
              <w:rPr>
                <w:rFonts w:ascii="Arial" w:hAnsi="Arial"/>
                <w:b/>
                <w:bCs/>
                <w:sz w:val="22"/>
                <w:szCs w:val="22"/>
              </w:rPr>
              <w:t>Liste</w:t>
            </w: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57237F2E" w14:textId="77777777" w:rsidR="00E241A8" w:rsidRPr="006265F0" w:rsidRDefault="00E241A8" w:rsidP="003A052D">
            <w:pPr>
              <w:pStyle w:val="NormalWeb"/>
              <w:jc w:val="center"/>
              <w:rPr>
                <w:rFonts w:ascii="Arial" w:hAnsi="Arial" w:cs="Arial"/>
                <w:sz w:val="22"/>
                <w:szCs w:val="22"/>
              </w:rPr>
            </w:pPr>
            <w:r>
              <w:rPr>
                <w:rFonts w:ascii="Arial" w:hAnsi="Arial"/>
                <w:b/>
                <w:bCs/>
                <w:sz w:val="22"/>
                <w:szCs w:val="22"/>
              </w:rPr>
              <w:t>Dossier n°</w:t>
            </w:r>
          </w:p>
        </w:tc>
      </w:tr>
      <w:tr w:rsidR="00F8232B" w:rsidRPr="006265F0" w14:paraId="4B6D01EF" w14:textId="77777777" w:rsidTr="00616454">
        <w:tc>
          <w:tcPr>
            <w:tcW w:w="97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13D6339" w14:textId="5587F9BF" w:rsidR="00E241A8" w:rsidRPr="006265F0" w:rsidRDefault="00E241A8" w:rsidP="009377AA">
            <w:pPr>
              <w:pStyle w:val="NormalWeb"/>
              <w:jc w:val="center"/>
              <w:rPr>
                <w:rFonts w:ascii="Arial" w:hAnsi="Arial" w:cs="Arial"/>
                <w:sz w:val="22"/>
                <w:szCs w:val="22"/>
              </w:rPr>
            </w:pPr>
            <w:r>
              <w:rPr>
                <w:rFonts w:ascii="Arial" w:hAnsi="Arial"/>
                <w:sz w:val="22"/>
                <w:szCs w:val="22"/>
              </w:rPr>
              <w:t>14.COM</w:t>
            </w:r>
            <w:r w:rsidR="009377AA">
              <w:rPr>
                <w:rFonts w:ascii="Arial" w:hAnsi="Arial"/>
                <w:sz w:val="22"/>
                <w:szCs w:val="22"/>
              </w:rPr>
              <w:t> </w:t>
            </w:r>
            <w:r>
              <w:rPr>
                <w:rFonts w:ascii="Arial" w:hAnsi="Arial"/>
                <w:sz w:val="22"/>
                <w:szCs w:val="22"/>
              </w:rPr>
              <w:t>10.a.2</w:t>
            </w:r>
          </w:p>
        </w:tc>
        <w:tc>
          <w:tcPr>
            <w:tcW w:w="108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B1446DD" w14:textId="77777777" w:rsidR="00E241A8" w:rsidRPr="006265F0" w:rsidRDefault="00E241A8" w:rsidP="003A052D">
            <w:pPr>
              <w:pStyle w:val="NormalWeb"/>
              <w:jc w:val="center"/>
              <w:rPr>
                <w:rFonts w:ascii="Arial" w:hAnsi="Arial" w:cs="Arial"/>
                <w:sz w:val="22"/>
                <w:szCs w:val="22"/>
              </w:rPr>
            </w:pPr>
            <w:r>
              <w:rPr>
                <w:rFonts w:ascii="Arial" w:hAnsi="Arial"/>
                <w:sz w:val="22"/>
                <w:szCs w:val="22"/>
              </w:rPr>
              <w:t>Kenya</w:t>
            </w:r>
          </w:p>
        </w:tc>
        <w:tc>
          <w:tcPr>
            <w:tcW w:w="154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3EF7F3B" w14:textId="77777777" w:rsidR="00E241A8" w:rsidRPr="006265F0" w:rsidRDefault="00E241A8" w:rsidP="00CB673B">
            <w:pPr>
              <w:pStyle w:val="NormalWeb"/>
              <w:rPr>
                <w:rFonts w:ascii="Arial" w:hAnsi="Arial" w:cs="Arial"/>
                <w:sz w:val="22"/>
                <w:szCs w:val="22"/>
              </w:rPr>
            </w:pPr>
            <w:r>
              <w:rPr>
                <w:rFonts w:ascii="Arial" w:hAnsi="Arial"/>
                <w:sz w:val="22"/>
                <w:szCs w:val="22"/>
              </w:rPr>
              <w:t xml:space="preserve">Les rituels et pratiques associés au sanctuaire de Kit </w:t>
            </w:r>
            <w:proofErr w:type="spellStart"/>
            <w:r>
              <w:rPr>
                <w:rFonts w:ascii="Arial" w:hAnsi="Arial"/>
                <w:sz w:val="22"/>
                <w:szCs w:val="22"/>
              </w:rPr>
              <w:t>Mikayi</w:t>
            </w:r>
            <w:proofErr w:type="spellEnd"/>
          </w:p>
        </w:tc>
        <w:tc>
          <w:tcPr>
            <w:tcW w:w="85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5F0A020" w14:textId="77777777" w:rsidR="00E241A8" w:rsidRPr="006265F0" w:rsidRDefault="00E241A8" w:rsidP="003A052D">
            <w:pPr>
              <w:pStyle w:val="NormalWeb"/>
              <w:jc w:val="center"/>
              <w:rPr>
                <w:rFonts w:ascii="Arial" w:hAnsi="Arial" w:cs="Arial"/>
                <w:sz w:val="22"/>
                <w:szCs w:val="22"/>
              </w:rPr>
            </w:pPr>
            <w:r>
              <w:rPr>
                <w:rFonts w:ascii="Arial" w:hAnsi="Arial"/>
                <w:sz w:val="22"/>
                <w:szCs w:val="22"/>
              </w:rPr>
              <w:t>Liste de sauvegarde urgente</w:t>
            </w:r>
          </w:p>
        </w:tc>
        <w:tc>
          <w:tcPr>
            <w:tcW w:w="54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B3BAD1D" w14:textId="03025289" w:rsidR="00E241A8" w:rsidRPr="006265F0" w:rsidRDefault="009377AA" w:rsidP="003A052D">
            <w:pPr>
              <w:pStyle w:val="NormalWeb"/>
              <w:jc w:val="center"/>
              <w:rPr>
                <w:rFonts w:ascii="Arial" w:hAnsi="Arial" w:cs="Arial"/>
                <w:sz w:val="22"/>
                <w:szCs w:val="22"/>
              </w:rPr>
            </w:pPr>
            <w:hyperlink r:id="rId20" w:anchor="10.a.2" w:history="1">
              <w:r w:rsidR="003B5645" w:rsidRPr="00765924">
                <w:rPr>
                  <w:rStyle w:val="Lienhypertexte"/>
                  <w:rFonts w:ascii="Arial" w:hAnsi="Arial" w:cs="Arial"/>
                  <w:sz w:val="22"/>
                  <w:szCs w:val="22"/>
                </w:rPr>
                <w:t>01489</w:t>
              </w:r>
            </w:hyperlink>
          </w:p>
        </w:tc>
      </w:tr>
      <w:tr w:rsidR="00FC1B10" w:rsidRPr="006265F0" w14:paraId="36070651" w14:textId="77777777" w:rsidTr="00616454">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42EC74BE" w14:textId="79D061B7" w:rsidR="00E241A8" w:rsidRPr="006265F0" w:rsidRDefault="00E241A8" w:rsidP="00E241A8">
            <w:pPr>
              <w:pStyle w:val="NormalWeb"/>
              <w:jc w:val="center"/>
              <w:rPr>
                <w:rFonts w:ascii="Arial" w:hAnsi="Arial" w:cs="Arial"/>
                <w:sz w:val="22"/>
                <w:szCs w:val="22"/>
              </w:rPr>
            </w:pP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4476675" w14:textId="7EB82780" w:rsidR="00E241A8" w:rsidRPr="006265F0" w:rsidRDefault="00E241A8" w:rsidP="00E241A8">
            <w:pPr>
              <w:pStyle w:val="NormalWeb"/>
              <w:jc w:val="center"/>
              <w:rPr>
                <w:rFonts w:ascii="Arial" w:hAnsi="Arial" w:cs="Arial"/>
                <w:sz w:val="22"/>
                <w:szCs w:val="22"/>
                <w:lang w:val="en-US"/>
              </w:rPr>
            </w:pPr>
          </w:p>
        </w:tc>
        <w:tc>
          <w:tcPr>
            <w:tcW w:w="1548"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42324A48" w14:textId="50CA5F55" w:rsidR="00E241A8" w:rsidRPr="006265F0" w:rsidRDefault="00E241A8" w:rsidP="00E241A8">
            <w:pPr>
              <w:pStyle w:val="NormalWeb"/>
              <w:rPr>
                <w:rFonts w:ascii="Arial" w:hAnsi="Arial" w:cs="Arial"/>
                <w:sz w:val="22"/>
                <w:szCs w:val="22"/>
                <w:lang w:val="en-US"/>
              </w:rPr>
            </w:pPr>
          </w:p>
        </w:tc>
        <w:tc>
          <w:tcPr>
            <w:tcW w:w="852"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1E587357" w14:textId="775D491A" w:rsidR="00E241A8" w:rsidRPr="006265F0" w:rsidRDefault="00E241A8" w:rsidP="00E241A8">
            <w:pPr>
              <w:pStyle w:val="NormalWeb"/>
              <w:jc w:val="center"/>
              <w:rPr>
                <w:rFonts w:ascii="Arial" w:hAnsi="Arial" w:cs="Arial"/>
                <w:sz w:val="22"/>
                <w:szCs w:val="22"/>
              </w:rPr>
            </w:pP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424D9983" w14:textId="5AEAA8DF" w:rsidR="00E241A8" w:rsidRDefault="00E241A8" w:rsidP="00E241A8">
            <w:pPr>
              <w:pStyle w:val="NormalWeb"/>
              <w:jc w:val="center"/>
            </w:pPr>
          </w:p>
        </w:tc>
      </w:tr>
      <w:tr w:rsidR="007C174C" w:rsidRPr="006265F0" w14:paraId="346D075C" w14:textId="77777777" w:rsidTr="007C174C">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1E1A8540" w14:textId="77777777" w:rsidR="007C174C" w:rsidRPr="008757B1" w:rsidRDefault="007C174C" w:rsidP="00E241A8">
            <w:pPr>
              <w:pStyle w:val="compara0"/>
              <w:jc w:val="both"/>
              <w:rPr>
                <w:rFonts w:ascii="Arial" w:hAnsi="Arial" w:cs="Arial"/>
                <w:color w:val="000000"/>
                <w:sz w:val="22"/>
                <w:szCs w:val="22"/>
              </w:rPr>
            </w:pPr>
          </w:p>
          <w:p w14:paraId="71CD6D14" w14:textId="5AE0594B" w:rsidR="007C174C" w:rsidRPr="00E954D9" w:rsidRDefault="009377AA" w:rsidP="00CA1B86">
            <w:pPr>
              <w:pStyle w:val="NormalWeb"/>
              <w:jc w:val="center"/>
              <w:rPr>
                <w:rFonts w:ascii="Arial" w:hAnsi="Arial" w:cs="Arial"/>
                <w:color w:val="000000"/>
                <w:sz w:val="22"/>
                <w:szCs w:val="22"/>
              </w:rPr>
            </w:pPr>
            <w:hyperlink r:id="rId21" w:history="1">
              <w:r w:rsidR="007C174C" w:rsidRPr="00AF7854">
                <w:rPr>
                  <w:rStyle w:val="Lienhypertexte"/>
                  <w:rFonts w:ascii="Arial" w:hAnsi="Arial"/>
                  <w:sz w:val="22"/>
                  <w:szCs w:val="22"/>
                </w:rPr>
                <w:t xml:space="preserve">Question </w:t>
              </w:r>
              <w:r w:rsidR="007C174C" w:rsidRPr="00AF7854">
                <w:rPr>
                  <w:rStyle w:val="Lienhypertexte"/>
                  <w:rFonts w:ascii="Arial" w:hAnsi="Arial" w:cs="Arial"/>
                  <w:sz w:val="22"/>
                  <w:szCs w:val="22"/>
                </w:rPr>
                <w:t xml:space="preserve">et </w:t>
              </w:r>
              <w:r w:rsidR="007C174C" w:rsidRPr="00AF7854">
                <w:rPr>
                  <w:rStyle w:val="Lienhypertexte"/>
                  <w:rFonts w:ascii="Arial" w:hAnsi="Arial"/>
                  <w:sz w:val="22"/>
                  <w:szCs w:val="22"/>
                </w:rPr>
                <w:t>Réponse</w:t>
              </w:r>
            </w:hyperlink>
          </w:p>
          <w:p w14:paraId="3ECC0873" w14:textId="7D4AF6DB" w:rsidR="007C174C" w:rsidRPr="008757B1" w:rsidRDefault="007C174C" w:rsidP="00CA1B86">
            <w:pPr>
              <w:pStyle w:val="compara0"/>
              <w:jc w:val="center"/>
              <w:rPr>
                <w:rFonts w:ascii="Arial" w:hAnsi="Arial" w:cs="Arial"/>
                <w:color w:val="000000"/>
                <w:sz w:val="22"/>
                <w:szCs w:val="22"/>
              </w:rPr>
            </w:pPr>
          </w:p>
        </w:tc>
      </w:tr>
      <w:tr w:rsidR="00F8232B" w:rsidRPr="006265F0" w14:paraId="26133533" w14:textId="77777777" w:rsidTr="00616454">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586B46B2" w14:textId="77777777" w:rsidR="00F8232B" w:rsidRPr="008757B1" w:rsidRDefault="00F8232B" w:rsidP="000A3B9E">
            <w:pPr>
              <w:pStyle w:val="compara0"/>
              <w:jc w:val="both"/>
              <w:rPr>
                <w:rFonts w:ascii="Arial" w:hAnsi="Arial" w:cs="Arial"/>
                <w:color w:val="000000"/>
                <w:sz w:val="22"/>
                <w:szCs w:val="22"/>
              </w:rPr>
            </w:pPr>
          </w:p>
          <w:p w14:paraId="018EBA2B" w14:textId="2E47F60C" w:rsidR="00F8232B" w:rsidRPr="006F0C27" w:rsidRDefault="00F8232B" w:rsidP="006F0C27">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56A9DCAB" w14:textId="77777777" w:rsidR="00FA65DA" w:rsidRPr="008757B1" w:rsidRDefault="00FA65DA" w:rsidP="000A3B9E">
            <w:pPr>
              <w:pStyle w:val="compara0"/>
              <w:jc w:val="both"/>
              <w:rPr>
                <w:rFonts w:ascii="Arial" w:hAnsi="Arial" w:cs="Arial"/>
                <w:color w:val="000000"/>
                <w:sz w:val="22"/>
                <w:szCs w:val="22"/>
              </w:rPr>
            </w:pPr>
          </w:p>
          <w:p w14:paraId="19B6F2E5" w14:textId="2C3AD705" w:rsidR="00F8232B" w:rsidRPr="00E954D9" w:rsidRDefault="00F8232B" w:rsidP="000A3B9E">
            <w:pPr>
              <w:pStyle w:val="compara0"/>
              <w:jc w:val="both"/>
              <w:rPr>
                <w:rFonts w:ascii="Arial" w:hAnsi="Arial" w:cs="Arial"/>
                <w:b/>
                <w:i/>
                <w:color w:val="000000"/>
                <w:sz w:val="22"/>
                <w:szCs w:val="22"/>
              </w:rPr>
            </w:pPr>
            <w:r>
              <w:rPr>
                <w:rFonts w:ascii="Arial" w:hAnsi="Arial"/>
                <w:b/>
                <w:i/>
                <w:color w:val="000000"/>
                <w:sz w:val="22"/>
                <w:szCs w:val="22"/>
              </w:rPr>
              <w:t xml:space="preserve">Prenant note des informations fournies par l’État soumissionnaire, l’Organe d’évaluation </w:t>
            </w:r>
            <w:r w:rsidR="002743F8">
              <w:rPr>
                <w:rFonts w:ascii="Arial" w:hAnsi="Arial"/>
                <w:b/>
                <w:i/>
                <w:color w:val="000000"/>
                <w:sz w:val="22"/>
                <w:szCs w:val="22"/>
              </w:rPr>
              <w:t xml:space="preserve">est d’avis </w:t>
            </w:r>
            <w:r>
              <w:rPr>
                <w:rFonts w:ascii="Arial" w:hAnsi="Arial"/>
                <w:b/>
                <w:i/>
                <w:color w:val="000000"/>
                <w:sz w:val="22"/>
                <w:szCs w:val="22"/>
              </w:rPr>
              <w:t xml:space="preserve">que le critère </w:t>
            </w:r>
            <w:r w:rsidRPr="00CB6AED">
              <w:rPr>
                <w:rFonts w:ascii="Arial" w:hAnsi="Arial"/>
                <w:b/>
                <w:i/>
                <w:color w:val="000000"/>
                <w:sz w:val="22"/>
                <w:szCs w:val="22"/>
              </w:rPr>
              <w:t>concerné</w:t>
            </w:r>
            <w:r w:rsidRPr="00CB6AED">
              <w:rPr>
                <w:rFonts w:ascii="Arial" w:hAnsi="Arial"/>
                <w:b/>
                <w:i/>
                <w:sz w:val="22"/>
                <w:szCs w:val="22"/>
              </w:rPr>
              <w:t xml:space="preserve"> p</w:t>
            </w:r>
            <w:r w:rsidR="009D6E76" w:rsidRPr="00CA1B86">
              <w:rPr>
                <w:rFonts w:ascii="Arial" w:hAnsi="Arial"/>
                <w:b/>
                <w:i/>
                <w:sz w:val="22"/>
                <w:szCs w:val="22"/>
              </w:rPr>
              <w:t>ourrai</w:t>
            </w:r>
            <w:r w:rsidR="009D6E76" w:rsidRPr="00CB6AED">
              <w:rPr>
                <w:rFonts w:ascii="Arial" w:hAnsi="Arial"/>
                <w:b/>
                <w:i/>
                <w:sz w:val="22"/>
                <w:szCs w:val="22"/>
              </w:rPr>
              <w:t>t</w:t>
            </w:r>
            <w:r w:rsidRPr="00CB6AED">
              <w:rPr>
                <w:rFonts w:ascii="Arial" w:hAnsi="Arial"/>
                <w:b/>
                <w:i/>
                <w:sz w:val="22"/>
                <w:szCs w:val="22"/>
              </w:rPr>
              <w:t xml:space="preserve"> </w:t>
            </w:r>
            <w:r>
              <w:rPr>
                <w:rFonts w:ascii="Arial" w:hAnsi="Arial"/>
                <w:b/>
                <w:i/>
                <w:sz w:val="22"/>
                <w:szCs w:val="22"/>
              </w:rPr>
              <w:t>être considéré comme satisfait.</w:t>
            </w:r>
          </w:p>
          <w:p w14:paraId="46BE74D0" w14:textId="77777777" w:rsidR="002743F8" w:rsidRPr="008757B1" w:rsidRDefault="002743F8" w:rsidP="00E954D9">
            <w:pPr>
              <w:pStyle w:val="compara0"/>
              <w:jc w:val="both"/>
              <w:rPr>
                <w:rFonts w:ascii="Arial" w:hAnsi="Arial" w:cs="Arial"/>
                <w:color w:val="000000"/>
                <w:sz w:val="22"/>
                <w:szCs w:val="22"/>
              </w:rPr>
            </w:pPr>
          </w:p>
          <w:p w14:paraId="5F47282C" w14:textId="77777777" w:rsidR="00004153" w:rsidRPr="00EB0C6F" w:rsidRDefault="00004153" w:rsidP="00E954D9">
            <w:pPr>
              <w:pStyle w:val="compara0"/>
              <w:jc w:val="both"/>
              <w:rPr>
                <w:rFonts w:ascii="Arial" w:hAnsi="Arial" w:cs="Arial"/>
                <w:i/>
                <w:color w:val="000000"/>
                <w:sz w:val="22"/>
                <w:szCs w:val="22"/>
              </w:rPr>
            </w:pPr>
            <w:r>
              <w:rPr>
                <w:rFonts w:ascii="Arial" w:hAnsi="Arial"/>
                <w:i/>
                <w:color w:val="000000"/>
                <w:sz w:val="22"/>
                <w:szCs w:val="22"/>
              </w:rPr>
              <w:t>Commentaires :</w:t>
            </w:r>
          </w:p>
          <w:p w14:paraId="4D1694D8" w14:textId="77777777" w:rsidR="00004153" w:rsidRPr="003964DC" w:rsidRDefault="004D37F3" w:rsidP="004D37F3">
            <w:pPr>
              <w:pStyle w:val="compara0"/>
              <w:jc w:val="both"/>
              <w:rPr>
                <w:rFonts w:ascii="Arial" w:hAnsi="Arial" w:cs="Arial"/>
                <w:i/>
                <w:sz w:val="22"/>
              </w:rPr>
            </w:pPr>
            <w:r>
              <w:rPr>
                <w:rFonts w:ascii="Arial" w:hAnsi="Arial"/>
                <w:i/>
                <w:sz w:val="22"/>
              </w:rPr>
              <w:t>L’État partie a fourni un calendrier clair et pertinent pour son plan de sauvegarde.</w:t>
            </w:r>
          </w:p>
          <w:p w14:paraId="5B88B1A0" w14:textId="0674E234" w:rsidR="004D37F3" w:rsidRPr="00231532" w:rsidRDefault="004D37F3" w:rsidP="004D37F3">
            <w:pPr>
              <w:rPr>
                <w:rFonts w:ascii="Arial" w:hAnsi="Arial" w:cs="Arial"/>
                <w:color w:val="000000"/>
                <w:szCs w:val="22"/>
              </w:rPr>
            </w:pPr>
          </w:p>
        </w:tc>
      </w:tr>
    </w:tbl>
    <w:p w14:paraId="09FC5987" w14:textId="7A5ABA1C" w:rsidR="00FA457C" w:rsidRDefault="00FA457C" w:rsidP="0012761B">
      <w:pPr>
        <w:pStyle w:val="compara0"/>
        <w:spacing w:after="200"/>
        <w:jc w:val="both"/>
        <w:rPr>
          <w:rFonts w:ascii="Calibri" w:hAnsi="Calibri"/>
          <w:color w:val="000000"/>
        </w:rPr>
      </w:pPr>
    </w:p>
    <w:tbl>
      <w:tblPr>
        <w:tblW w:w="4755" w:type="pct"/>
        <w:tblInd w:w="624" w:type="dxa"/>
        <w:tblLayout w:type="fixed"/>
        <w:tblCellMar>
          <w:left w:w="0" w:type="dxa"/>
          <w:right w:w="0" w:type="dxa"/>
        </w:tblCellMar>
        <w:tblLook w:val="04A0" w:firstRow="1" w:lastRow="0" w:firstColumn="1" w:lastColumn="0" w:noHBand="0" w:noVBand="1"/>
      </w:tblPr>
      <w:tblGrid>
        <w:gridCol w:w="1774"/>
        <w:gridCol w:w="1987"/>
        <w:gridCol w:w="2832"/>
        <w:gridCol w:w="1559"/>
        <w:gridCol w:w="995"/>
      </w:tblGrid>
      <w:tr w:rsidR="00FA457C" w:rsidRPr="006265F0" w14:paraId="5D58DF09" w14:textId="77777777" w:rsidTr="008757B1">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660B802" w14:textId="77777777" w:rsidR="00FA457C" w:rsidRPr="006265F0" w:rsidRDefault="00FA457C" w:rsidP="00F00401">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177FF294" w14:textId="1EAF354B" w:rsidR="00FA457C" w:rsidRPr="006265F0" w:rsidRDefault="00FA457C" w:rsidP="00F00401">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br/>
            </w:r>
            <w:r>
              <w:rPr>
                <w:rFonts w:ascii="Arial" w:hAnsi="Arial"/>
                <w:b/>
                <w:bCs/>
                <w:sz w:val="22"/>
                <w:szCs w:val="22"/>
              </w:rPr>
              <w:t>soumissionnaire</w:t>
            </w:r>
          </w:p>
        </w:tc>
        <w:tc>
          <w:tcPr>
            <w:tcW w:w="1548"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2289E70B"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Candidature</w:t>
            </w:r>
          </w:p>
        </w:tc>
        <w:tc>
          <w:tcPr>
            <w:tcW w:w="85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1F714B38" w14:textId="77777777" w:rsidR="00FA457C" w:rsidRPr="006265F0" w:rsidRDefault="00FA457C" w:rsidP="008757B1">
            <w:pPr>
              <w:pStyle w:val="NormalWeb"/>
              <w:jc w:val="center"/>
              <w:rPr>
                <w:rFonts w:ascii="Arial" w:hAnsi="Arial" w:cs="Arial"/>
                <w:sz w:val="22"/>
                <w:szCs w:val="22"/>
              </w:rPr>
            </w:pPr>
            <w:r>
              <w:rPr>
                <w:rFonts w:ascii="Arial" w:hAnsi="Arial"/>
                <w:b/>
                <w:bCs/>
                <w:sz w:val="22"/>
                <w:szCs w:val="22"/>
              </w:rPr>
              <w:t>Liste</w:t>
            </w: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585F5BFD"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Dossier n°</w:t>
            </w:r>
          </w:p>
        </w:tc>
      </w:tr>
      <w:tr w:rsidR="005D2A73" w:rsidRPr="006265F0" w14:paraId="4BC6B653" w14:textId="77777777" w:rsidTr="008757B1">
        <w:tc>
          <w:tcPr>
            <w:tcW w:w="97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35714C37" w14:textId="6CB54ACD" w:rsidR="005D2A73" w:rsidRPr="006265F0" w:rsidRDefault="005D2A73" w:rsidP="009377AA">
            <w:pPr>
              <w:pStyle w:val="NormalWeb"/>
              <w:jc w:val="center"/>
              <w:rPr>
                <w:rFonts w:ascii="Arial" w:hAnsi="Arial" w:cs="Arial"/>
                <w:sz w:val="22"/>
                <w:szCs w:val="22"/>
              </w:rPr>
            </w:pPr>
            <w:r>
              <w:rPr>
                <w:rFonts w:ascii="Arial" w:hAnsi="Arial"/>
                <w:sz w:val="22"/>
                <w:szCs w:val="22"/>
              </w:rPr>
              <w:t>14.COM</w:t>
            </w:r>
            <w:r w:rsidR="009377AA">
              <w:rPr>
                <w:rFonts w:ascii="Arial" w:hAnsi="Arial"/>
                <w:sz w:val="22"/>
                <w:szCs w:val="22"/>
              </w:rPr>
              <w:t> </w:t>
            </w:r>
            <w:bookmarkStart w:id="0" w:name="_GoBack"/>
            <w:bookmarkEnd w:id="0"/>
            <w:r>
              <w:rPr>
                <w:rFonts w:ascii="Arial" w:hAnsi="Arial"/>
                <w:sz w:val="22"/>
                <w:szCs w:val="22"/>
              </w:rPr>
              <w:t>10.a.4</w:t>
            </w:r>
          </w:p>
        </w:tc>
        <w:tc>
          <w:tcPr>
            <w:tcW w:w="108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6859BB1" w14:textId="4B9D1247" w:rsidR="005D2A73" w:rsidRPr="006265F0" w:rsidRDefault="005D2A73" w:rsidP="005D2A73">
            <w:pPr>
              <w:pStyle w:val="NormalWeb"/>
              <w:jc w:val="center"/>
              <w:rPr>
                <w:rFonts w:ascii="Arial" w:hAnsi="Arial" w:cs="Arial"/>
                <w:sz w:val="22"/>
                <w:szCs w:val="22"/>
              </w:rPr>
            </w:pPr>
            <w:r>
              <w:rPr>
                <w:rFonts w:ascii="Arial" w:hAnsi="Arial"/>
                <w:sz w:val="22"/>
                <w:szCs w:val="22"/>
              </w:rPr>
              <w:t>Philippines</w:t>
            </w:r>
          </w:p>
        </w:tc>
        <w:tc>
          <w:tcPr>
            <w:tcW w:w="154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EB2BA9A" w14:textId="333A339E" w:rsidR="005D2A73" w:rsidRPr="006265F0" w:rsidRDefault="005D2A73" w:rsidP="00CB673B">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Buklog</w:t>
            </w:r>
            <w:proofErr w:type="spellEnd"/>
            <w:r>
              <w:rPr>
                <w:rFonts w:ascii="Arial" w:hAnsi="Arial"/>
                <w:sz w:val="22"/>
                <w:szCs w:val="22"/>
              </w:rPr>
              <w:t xml:space="preserve">, système de rituels de gratitude des </w:t>
            </w:r>
            <w:proofErr w:type="spellStart"/>
            <w:r>
              <w:rPr>
                <w:rFonts w:ascii="Arial" w:hAnsi="Arial"/>
                <w:sz w:val="22"/>
                <w:szCs w:val="22"/>
              </w:rPr>
              <w:t>Subanen</w:t>
            </w:r>
            <w:proofErr w:type="spellEnd"/>
          </w:p>
        </w:tc>
        <w:tc>
          <w:tcPr>
            <w:tcW w:w="85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9AD95F7" w14:textId="1F737AB5" w:rsidR="005D2A73" w:rsidRPr="006265F0" w:rsidRDefault="005D2A73" w:rsidP="005D2A73">
            <w:pPr>
              <w:pStyle w:val="NormalWeb"/>
              <w:jc w:val="center"/>
              <w:rPr>
                <w:rFonts w:ascii="Arial" w:hAnsi="Arial" w:cs="Arial"/>
                <w:sz w:val="22"/>
                <w:szCs w:val="22"/>
              </w:rPr>
            </w:pPr>
            <w:r>
              <w:rPr>
                <w:rFonts w:ascii="Arial" w:hAnsi="Arial"/>
                <w:sz w:val="22"/>
                <w:szCs w:val="22"/>
              </w:rPr>
              <w:t xml:space="preserve">Liste de sauvegarde urgente </w:t>
            </w:r>
          </w:p>
        </w:tc>
        <w:tc>
          <w:tcPr>
            <w:tcW w:w="54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35EED69" w14:textId="614DBC05" w:rsidR="005D2A73" w:rsidRPr="006265F0" w:rsidRDefault="009377AA" w:rsidP="005D2A73">
            <w:pPr>
              <w:pStyle w:val="NormalWeb"/>
              <w:jc w:val="center"/>
              <w:rPr>
                <w:rFonts w:ascii="Arial" w:hAnsi="Arial" w:cs="Arial"/>
                <w:sz w:val="22"/>
                <w:szCs w:val="22"/>
              </w:rPr>
            </w:pPr>
            <w:hyperlink r:id="rId22" w:anchor="10.a.4" w:history="1">
              <w:r w:rsidR="00573A21" w:rsidRPr="00765924">
                <w:rPr>
                  <w:rStyle w:val="Lienhypertexte"/>
                  <w:rFonts w:ascii="Arial" w:hAnsi="Arial" w:cs="Arial"/>
                  <w:sz w:val="22"/>
                  <w:szCs w:val="22"/>
                </w:rPr>
                <w:t>01495</w:t>
              </w:r>
            </w:hyperlink>
          </w:p>
        </w:tc>
      </w:tr>
      <w:tr w:rsidR="00FA457C" w14:paraId="57446DFE" w14:textId="77777777" w:rsidTr="008757B1">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214D7E8C" w14:textId="77777777" w:rsidR="00FA457C" w:rsidRPr="006265F0" w:rsidRDefault="00FA457C" w:rsidP="00F00401">
            <w:pPr>
              <w:pStyle w:val="NormalWeb"/>
              <w:jc w:val="center"/>
              <w:rPr>
                <w:rFonts w:ascii="Arial" w:hAnsi="Arial" w:cs="Arial"/>
                <w:sz w:val="22"/>
                <w:szCs w:val="22"/>
              </w:rPr>
            </w:pP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34FC8605" w14:textId="77777777" w:rsidR="00FA457C" w:rsidRPr="006265F0" w:rsidRDefault="00FA457C" w:rsidP="00F00401">
            <w:pPr>
              <w:pStyle w:val="NormalWeb"/>
              <w:jc w:val="center"/>
              <w:rPr>
                <w:rFonts w:ascii="Arial" w:hAnsi="Arial" w:cs="Arial"/>
                <w:sz w:val="22"/>
                <w:szCs w:val="22"/>
                <w:lang w:val="en-US"/>
              </w:rPr>
            </w:pPr>
          </w:p>
        </w:tc>
        <w:tc>
          <w:tcPr>
            <w:tcW w:w="1548"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6AE3A64" w14:textId="77777777" w:rsidR="00FA457C" w:rsidRPr="006265F0" w:rsidRDefault="00FA457C" w:rsidP="00F00401">
            <w:pPr>
              <w:pStyle w:val="NormalWeb"/>
              <w:rPr>
                <w:rFonts w:ascii="Arial" w:hAnsi="Arial" w:cs="Arial"/>
                <w:sz w:val="22"/>
                <w:szCs w:val="22"/>
                <w:lang w:val="en-US"/>
              </w:rPr>
            </w:pPr>
          </w:p>
        </w:tc>
        <w:tc>
          <w:tcPr>
            <w:tcW w:w="852"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75030097" w14:textId="77777777" w:rsidR="00FA457C" w:rsidRPr="006265F0" w:rsidRDefault="00FA457C" w:rsidP="00F00401">
            <w:pPr>
              <w:pStyle w:val="NormalWeb"/>
              <w:jc w:val="center"/>
              <w:rPr>
                <w:rFonts w:ascii="Arial" w:hAnsi="Arial" w:cs="Arial"/>
                <w:sz w:val="22"/>
                <w:szCs w:val="22"/>
              </w:rPr>
            </w:pP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0F3AA123" w14:textId="77777777" w:rsidR="00FA457C" w:rsidRDefault="00FA457C" w:rsidP="00F00401">
            <w:pPr>
              <w:pStyle w:val="NormalWeb"/>
              <w:jc w:val="center"/>
            </w:pPr>
          </w:p>
        </w:tc>
      </w:tr>
      <w:tr w:rsidR="00CB6AED" w:rsidRPr="00817F6D" w14:paraId="6F78EFA6" w14:textId="77777777" w:rsidTr="00CB6AED">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61A6E59D" w14:textId="77777777" w:rsidR="00CB6AED" w:rsidRPr="008757B1" w:rsidRDefault="00CB6AED" w:rsidP="00F00401">
            <w:pPr>
              <w:pStyle w:val="compara0"/>
              <w:jc w:val="both"/>
              <w:rPr>
                <w:rFonts w:ascii="Arial" w:hAnsi="Arial" w:cs="Arial"/>
                <w:color w:val="000000"/>
                <w:sz w:val="22"/>
                <w:szCs w:val="22"/>
              </w:rPr>
            </w:pPr>
          </w:p>
          <w:p w14:paraId="1B4A2BE2" w14:textId="21ABD36D" w:rsidR="00CB6AED" w:rsidRDefault="009377AA" w:rsidP="007F45FE">
            <w:pPr>
              <w:pStyle w:val="NormalWeb"/>
              <w:jc w:val="center"/>
              <w:rPr>
                <w:rFonts w:ascii="Arial" w:hAnsi="Arial"/>
                <w:color w:val="000000"/>
                <w:sz w:val="22"/>
                <w:szCs w:val="22"/>
              </w:rPr>
            </w:pPr>
            <w:hyperlink r:id="rId23" w:history="1">
              <w:r w:rsidR="00CB6AED" w:rsidRPr="002149D9">
                <w:rPr>
                  <w:rStyle w:val="Lienhypertexte"/>
                  <w:rFonts w:ascii="Arial" w:hAnsi="Arial"/>
                  <w:sz w:val="22"/>
                  <w:szCs w:val="22"/>
                </w:rPr>
                <w:t xml:space="preserve">Question </w:t>
              </w:r>
              <w:r w:rsidR="00CB6AED" w:rsidRPr="002149D9">
                <w:rPr>
                  <w:rStyle w:val="Lienhypertexte"/>
                  <w:rFonts w:ascii="Arial" w:hAnsi="Arial" w:cs="Arial"/>
                  <w:sz w:val="22"/>
                  <w:szCs w:val="22"/>
                </w:rPr>
                <w:t xml:space="preserve">et </w:t>
              </w:r>
              <w:r w:rsidR="00CB6AED" w:rsidRPr="002149D9">
                <w:rPr>
                  <w:rStyle w:val="Lienhypertexte"/>
                  <w:rFonts w:ascii="Arial" w:hAnsi="Arial"/>
                  <w:sz w:val="22"/>
                  <w:szCs w:val="22"/>
                </w:rPr>
                <w:t>Réponse</w:t>
              </w:r>
            </w:hyperlink>
          </w:p>
          <w:p w14:paraId="3EC39005" w14:textId="77777777" w:rsidR="00CB6AED" w:rsidRPr="008757B1" w:rsidRDefault="00CB6AED" w:rsidP="007F45FE">
            <w:pPr>
              <w:pStyle w:val="NormalWeb"/>
              <w:jc w:val="center"/>
              <w:rPr>
                <w:rFonts w:ascii="Arial" w:hAnsi="Arial" w:cs="Arial"/>
                <w:color w:val="000000"/>
                <w:sz w:val="22"/>
                <w:szCs w:val="22"/>
              </w:rPr>
            </w:pPr>
          </w:p>
        </w:tc>
      </w:tr>
      <w:tr w:rsidR="00FA457C" w:rsidRPr="00231532" w14:paraId="1482F4B2" w14:textId="77777777" w:rsidTr="008757B1">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0D8E995C" w14:textId="77777777" w:rsidR="00FA457C" w:rsidRPr="008757B1" w:rsidRDefault="00FA457C" w:rsidP="00F00401">
            <w:pPr>
              <w:pStyle w:val="compara0"/>
              <w:jc w:val="both"/>
              <w:rPr>
                <w:rFonts w:ascii="Arial" w:hAnsi="Arial" w:cs="Arial"/>
                <w:color w:val="000000"/>
                <w:sz w:val="22"/>
                <w:szCs w:val="22"/>
              </w:rPr>
            </w:pPr>
          </w:p>
          <w:p w14:paraId="329E212F" w14:textId="77777777" w:rsidR="00FA457C" w:rsidRPr="006F0C27" w:rsidRDefault="00FA457C" w:rsidP="00F00401">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776BDBD7" w14:textId="77777777" w:rsidR="00FA457C" w:rsidRPr="008757B1" w:rsidRDefault="00FA457C" w:rsidP="00F00401">
            <w:pPr>
              <w:pStyle w:val="compara0"/>
              <w:jc w:val="both"/>
              <w:rPr>
                <w:rFonts w:ascii="Arial" w:hAnsi="Arial" w:cs="Arial"/>
                <w:color w:val="000000"/>
                <w:sz w:val="22"/>
                <w:szCs w:val="22"/>
              </w:rPr>
            </w:pPr>
          </w:p>
          <w:p w14:paraId="7FDDCA27" w14:textId="1393D65B" w:rsidR="00FA457C" w:rsidRPr="00E954D9" w:rsidRDefault="00FA457C" w:rsidP="00F00401">
            <w:pPr>
              <w:pStyle w:val="compara0"/>
              <w:jc w:val="both"/>
              <w:rPr>
                <w:rFonts w:ascii="Arial" w:hAnsi="Arial" w:cs="Arial"/>
                <w:b/>
                <w:i/>
                <w:color w:val="000000"/>
                <w:sz w:val="22"/>
                <w:szCs w:val="22"/>
              </w:rPr>
            </w:pPr>
            <w:r>
              <w:rPr>
                <w:rFonts w:ascii="Arial" w:hAnsi="Arial"/>
                <w:b/>
                <w:i/>
                <w:color w:val="000000"/>
                <w:sz w:val="22"/>
                <w:szCs w:val="22"/>
              </w:rPr>
              <w:t>Prenant note des informations fournies par l’État soumissionnaire, l’Organe d’évaluation</w:t>
            </w:r>
            <w:r w:rsidR="002743F8">
              <w:rPr>
                <w:rFonts w:ascii="Arial" w:hAnsi="Arial"/>
                <w:b/>
                <w:i/>
                <w:color w:val="000000"/>
                <w:sz w:val="22"/>
                <w:szCs w:val="22"/>
              </w:rPr>
              <w:t xml:space="preserve"> est d’avis</w:t>
            </w:r>
            <w:r>
              <w:rPr>
                <w:rFonts w:ascii="Arial" w:hAnsi="Arial"/>
                <w:b/>
                <w:i/>
                <w:color w:val="000000"/>
                <w:sz w:val="22"/>
                <w:szCs w:val="22"/>
              </w:rPr>
              <w:t xml:space="preserve"> que le critère concerné</w:t>
            </w:r>
            <w:r>
              <w:rPr>
                <w:rFonts w:ascii="Arial" w:hAnsi="Arial"/>
                <w:b/>
                <w:i/>
                <w:sz w:val="22"/>
                <w:szCs w:val="22"/>
              </w:rPr>
              <w:t xml:space="preserve"> </w:t>
            </w:r>
            <w:r w:rsidR="00CB6AED">
              <w:rPr>
                <w:rFonts w:ascii="Arial" w:hAnsi="Arial"/>
                <w:b/>
                <w:i/>
                <w:sz w:val="22"/>
                <w:szCs w:val="22"/>
              </w:rPr>
              <w:t xml:space="preserve">pourrait </w:t>
            </w:r>
            <w:r>
              <w:rPr>
                <w:rFonts w:ascii="Arial" w:hAnsi="Arial"/>
                <w:b/>
                <w:i/>
                <w:sz w:val="22"/>
                <w:szCs w:val="22"/>
              </w:rPr>
              <w:t>être considéré comme satisfait.</w:t>
            </w:r>
          </w:p>
          <w:p w14:paraId="5FD8A895" w14:textId="09F67731" w:rsidR="009F29BC" w:rsidRPr="00EB0C6F" w:rsidRDefault="0012761B" w:rsidP="009F29BC">
            <w:pPr>
              <w:pStyle w:val="compara0"/>
              <w:jc w:val="both"/>
              <w:rPr>
                <w:rFonts w:ascii="Arial" w:hAnsi="Arial" w:cs="Arial"/>
                <w:i/>
                <w:color w:val="000000"/>
                <w:sz w:val="22"/>
                <w:szCs w:val="22"/>
              </w:rPr>
            </w:pPr>
            <w:r>
              <w:rPr>
                <w:rFonts w:ascii="Arial" w:hAnsi="Arial"/>
                <w:i/>
                <w:color w:val="000000"/>
                <w:sz w:val="22"/>
                <w:szCs w:val="22"/>
              </w:rPr>
              <w:lastRenderedPageBreak/>
              <w:t>C</w:t>
            </w:r>
            <w:r w:rsidR="009F29BC">
              <w:rPr>
                <w:rFonts w:ascii="Arial" w:hAnsi="Arial"/>
                <w:i/>
                <w:color w:val="000000"/>
                <w:sz w:val="22"/>
                <w:szCs w:val="22"/>
              </w:rPr>
              <w:t>ommentaires :</w:t>
            </w:r>
          </w:p>
          <w:p w14:paraId="77EF6D0C" w14:textId="6A356E7C" w:rsidR="00DB7826" w:rsidRPr="00EB0C6F" w:rsidRDefault="00DB7826" w:rsidP="0012761B">
            <w:pPr>
              <w:jc w:val="both"/>
              <w:rPr>
                <w:rFonts w:ascii="Arial" w:hAnsi="Arial" w:cs="Arial"/>
                <w:i/>
              </w:rPr>
            </w:pPr>
            <w:r>
              <w:rPr>
                <w:rFonts w:ascii="Arial" w:hAnsi="Arial"/>
                <w:i/>
              </w:rPr>
              <w:t>L’État partie a fourni des preuves convaincantes que les communautés concernées avaient donné leur consentement à la candidature de l’élément pour inscription sur la Liste du patrimoine culturel immatériel nécessitant une sauvegarde urgente, après avoir initialement préparé une candidature pour inscripti</w:t>
            </w:r>
            <w:r w:rsidR="00784C7D">
              <w:rPr>
                <w:rFonts w:ascii="Arial" w:hAnsi="Arial"/>
                <w:i/>
              </w:rPr>
              <w:t>on sur la Liste représentative.</w:t>
            </w:r>
          </w:p>
          <w:p w14:paraId="7AA12E87" w14:textId="77777777" w:rsidR="00FA457C" w:rsidRPr="008757B1" w:rsidRDefault="00FA457C" w:rsidP="00F00401">
            <w:pPr>
              <w:pStyle w:val="compara0"/>
              <w:jc w:val="both"/>
              <w:rPr>
                <w:rFonts w:ascii="Arial" w:hAnsi="Arial" w:cs="Arial"/>
                <w:color w:val="000000"/>
                <w:sz w:val="22"/>
                <w:szCs w:val="22"/>
              </w:rPr>
            </w:pPr>
          </w:p>
        </w:tc>
      </w:tr>
    </w:tbl>
    <w:p w14:paraId="71E25812" w14:textId="5E0DAAAB" w:rsidR="00FA457C" w:rsidRPr="008757B1" w:rsidRDefault="00FA457C" w:rsidP="0012761B">
      <w:pPr>
        <w:pStyle w:val="compara0"/>
        <w:spacing w:after="200"/>
        <w:jc w:val="both"/>
        <w:rPr>
          <w:rFonts w:ascii="Calibri" w:hAnsi="Calibri"/>
          <w:color w:val="000000"/>
        </w:rPr>
      </w:pPr>
    </w:p>
    <w:tbl>
      <w:tblPr>
        <w:tblW w:w="4755" w:type="pct"/>
        <w:tblInd w:w="624" w:type="dxa"/>
        <w:tblLayout w:type="fixed"/>
        <w:tblCellMar>
          <w:left w:w="0" w:type="dxa"/>
          <w:right w:w="0" w:type="dxa"/>
        </w:tblCellMar>
        <w:tblLook w:val="04A0" w:firstRow="1" w:lastRow="0" w:firstColumn="1" w:lastColumn="0" w:noHBand="0" w:noVBand="1"/>
      </w:tblPr>
      <w:tblGrid>
        <w:gridCol w:w="1774"/>
        <w:gridCol w:w="1987"/>
        <w:gridCol w:w="2691"/>
        <w:gridCol w:w="1700"/>
        <w:gridCol w:w="995"/>
      </w:tblGrid>
      <w:tr w:rsidR="00FA457C" w:rsidRPr="006265F0" w14:paraId="71DFB04B" w14:textId="77777777" w:rsidTr="008757B1">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6C3908E0" w14:textId="77777777" w:rsidR="00FA457C" w:rsidRPr="006265F0" w:rsidRDefault="00FA457C" w:rsidP="00F00401">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3165CA7" w14:textId="1F769A5F" w:rsidR="00FA457C" w:rsidRPr="006265F0" w:rsidRDefault="00FA457C" w:rsidP="00F00401">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t xml:space="preserve"> </w:t>
            </w:r>
            <w:r>
              <w:rPr>
                <w:rFonts w:ascii="Arial" w:hAnsi="Arial"/>
                <w:b/>
                <w:bCs/>
                <w:sz w:val="22"/>
                <w:szCs w:val="22"/>
              </w:rPr>
              <w:t>soumissionnaire</w:t>
            </w:r>
          </w:p>
        </w:tc>
        <w:tc>
          <w:tcPr>
            <w:tcW w:w="147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6BED666E"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Candidature</w:t>
            </w: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D7F7C28" w14:textId="77777777" w:rsidR="00FA457C" w:rsidRPr="006265F0" w:rsidRDefault="00FA457C" w:rsidP="008757B1">
            <w:pPr>
              <w:pStyle w:val="NormalWeb"/>
              <w:jc w:val="center"/>
              <w:rPr>
                <w:rFonts w:ascii="Arial" w:hAnsi="Arial" w:cs="Arial"/>
                <w:sz w:val="22"/>
                <w:szCs w:val="22"/>
              </w:rPr>
            </w:pPr>
            <w:r>
              <w:rPr>
                <w:rFonts w:ascii="Arial" w:hAnsi="Arial"/>
                <w:b/>
                <w:bCs/>
                <w:sz w:val="22"/>
                <w:szCs w:val="22"/>
              </w:rPr>
              <w:t>Liste</w:t>
            </w: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6ECAB71C"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Dossier n°</w:t>
            </w:r>
          </w:p>
        </w:tc>
      </w:tr>
      <w:tr w:rsidR="005D2A73" w:rsidRPr="006265F0" w14:paraId="71FF99D3" w14:textId="77777777" w:rsidTr="008757B1">
        <w:tc>
          <w:tcPr>
            <w:tcW w:w="970"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D7B28A8" w14:textId="53BC1DD7" w:rsidR="005D2A73" w:rsidRPr="006265F0" w:rsidRDefault="005D2A73" w:rsidP="005D2A73">
            <w:pPr>
              <w:pStyle w:val="NormalWeb"/>
              <w:jc w:val="center"/>
              <w:rPr>
                <w:rFonts w:ascii="Arial" w:hAnsi="Arial" w:cs="Arial"/>
                <w:sz w:val="22"/>
                <w:szCs w:val="22"/>
              </w:rPr>
            </w:pPr>
            <w:r>
              <w:rPr>
                <w:rFonts w:ascii="Arial" w:hAnsi="Arial"/>
                <w:sz w:val="22"/>
                <w:szCs w:val="22"/>
              </w:rPr>
              <w:t>14.COM 10.b.14</w:t>
            </w:r>
          </w:p>
        </w:tc>
        <w:tc>
          <w:tcPr>
            <w:tcW w:w="108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8D36ECC" w14:textId="71682299" w:rsidR="005D2A73" w:rsidRPr="006265F0" w:rsidRDefault="005D2A73" w:rsidP="005D2A73">
            <w:pPr>
              <w:pStyle w:val="NormalWeb"/>
              <w:jc w:val="center"/>
              <w:rPr>
                <w:rFonts w:ascii="Arial" w:hAnsi="Arial" w:cs="Arial"/>
                <w:sz w:val="22"/>
                <w:szCs w:val="22"/>
              </w:rPr>
            </w:pPr>
            <w:r>
              <w:rPr>
                <w:rFonts w:ascii="Arial" w:hAnsi="Arial"/>
                <w:sz w:val="22"/>
                <w:szCs w:val="22"/>
              </w:rPr>
              <w:t>Inde</w:t>
            </w:r>
          </w:p>
        </w:tc>
        <w:tc>
          <w:tcPr>
            <w:tcW w:w="147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24E8A0A" w14:textId="49B1E8D9" w:rsidR="005D2A73" w:rsidRPr="006265F0" w:rsidRDefault="005D2A73" w:rsidP="00CB673B">
            <w:pPr>
              <w:pStyle w:val="NormalWeb"/>
              <w:rPr>
                <w:rFonts w:ascii="Arial" w:hAnsi="Arial" w:cs="Arial"/>
                <w:sz w:val="22"/>
                <w:szCs w:val="22"/>
              </w:rPr>
            </w:pPr>
            <w:r>
              <w:rPr>
                <w:rFonts w:ascii="Arial" w:hAnsi="Arial"/>
                <w:sz w:val="22"/>
                <w:szCs w:val="22"/>
              </w:rPr>
              <w:t>L</w:t>
            </w:r>
            <w:r w:rsidR="000340A6">
              <w:rPr>
                <w:rFonts w:ascii="Arial" w:hAnsi="Arial"/>
                <w:sz w:val="22"/>
                <w:szCs w:val="22"/>
              </w:rPr>
              <w:t>e</w:t>
            </w:r>
            <w:r>
              <w:rPr>
                <w:rFonts w:ascii="Arial" w:hAnsi="Arial"/>
                <w:sz w:val="22"/>
                <w:szCs w:val="22"/>
              </w:rPr>
              <w:t xml:space="preserve"> </w:t>
            </w:r>
            <w:proofErr w:type="spellStart"/>
            <w:r>
              <w:rPr>
                <w:rFonts w:ascii="Arial" w:hAnsi="Arial"/>
                <w:sz w:val="22"/>
                <w:szCs w:val="22"/>
              </w:rPr>
              <w:t>sowa-rigpa</w:t>
            </w:r>
            <w:proofErr w:type="spellEnd"/>
            <w:r>
              <w:rPr>
                <w:rFonts w:ascii="Arial" w:hAnsi="Arial"/>
                <w:sz w:val="22"/>
                <w:szCs w:val="22"/>
              </w:rPr>
              <w:t>, connaissance de la guérison ou science de la guérison</w:t>
            </w:r>
          </w:p>
        </w:tc>
        <w:tc>
          <w:tcPr>
            <w:tcW w:w="92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A1253C2" w14:textId="2A33482E" w:rsidR="005D2A73" w:rsidRPr="006265F0" w:rsidRDefault="005D2A73" w:rsidP="005D2A73">
            <w:pPr>
              <w:pStyle w:val="NormalWeb"/>
              <w:jc w:val="center"/>
              <w:rPr>
                <w:rFonts w:ascii="Arial" w:hAnsi="Arial" w:cs="Arial"/>
                <w:sz w:val="22"/>
                <w:szCs w:val="22"/>
              </w:rPr>
            </w:pPr>
            <w:r>
              <w:rPr>
                <w:rFonts w:ascii="Arial" w:hAnsi="Arial"/>
                <w:sz w:val="22"/>
                <w:szCs w:val="22"/>
              </w:rPr>
              <w:t>Liste représentative</w:t>
            </w:r>
          </w:p>
        </w:tc>
        <w:tc>
          <w:tcPr>
            <w:tcW w:w="544"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5C24272C" w14:textId="4EBF89FA" w:rsidR="005D2A73" w:rsidRPr="006265F0" w:rsidRDefault="009377AA" w:rsidP="005D2A73">
            <w:pPr>
              <w:pStyle w:val="NormalWeb"/>
              <w:jc w:val="center"/>
              <w:rPr>
                <w:rFonts w:ascii="Arial" w:hAnsi="Arial" w:cs="Arial"/>
                <w:sz w:val="22"/>
                <w:szCs w:val="22"/>
              </w:rPr>
            </w:pPr>
            <w:hyperlink r:id="rId24" w:anchor="10.b.14" w:history="1">
              <w:r w:rsidR="00865E12" w:rsidRPr="00F14587">
                <w:rPr>
                  <w:rStyle w:val="Lienhypertexte"/>
                  <w:rFonts w:ascii="Arial" w:eastAsia="SimSun" w:hAnsi="Arial" w:cs="Arial"/>
                  <w:sz w:val="22"/>
                  <w:szCs w:val="22"/>
                  <w:lang w:val="en-GB"/>
                </w:rPr>
                <w:t>01</w:t>
              </w:r>
              <w:r w:rsidR="00865E12">
                <w:rPr>
                  <w:rStyle w:val="Lienhypertexte"/>
                  <w:rFonts w:ascii="Arial" w:eastAsia="SimSun" w:hAnsi="Arial" w:cs="Arial"/>
                  <w:sz w:val="22"/>
                  <w:szCs w:val="22"/>
                  <w:lang w:val="en-GB"/>
                </w:rPr>
                <w:t>358</w:t>
              </w:r>
            </w:hyperlink>
          </w:p>
        </w:tc>
      </w:tr>
      <w:tr w:rsidR="00FA457C" w14:paraId="5E6A2B81" w14:textId="77777777" w:rsidTr="008757B1">
        <w:tc>
          <w:tcPr>
            <w:tcW w:w="970"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75BD217F" w14:textId="77777777" w:rsidR="00FA457C" w:rsidRPr="006265F0" w:rsidRDefault="00FA457C" w:rsidP="00F00401">
            <w:pPr>
              <w:pStyle w:val="NormalWeb"/>
              <w:jc w:val="center"/>
              <w:rPr>
                <w:rFonts w:ascii="Arial" w:hAnsi="Arial" w:cs="Arial"/>
                <w:sz w:val="22"/>
                <w:szCs w:val="22"/>
              </w:rPr>
            </w:pPr>
          </w:p>
        </w:tc>
        <w:tc>
          <w:tcPr>
            <w:tcW w:w="1086"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73BAEA10" w14:textId="77777777" w:rsidR="00FA457C" w:rsidRPr="006265F0" w:rsidRDefault="00FA457C" w:rsidP="00F00401">
            <w:pPr>
              <w:pStyle w:val="NormalWeb"/>
              <w:jc w:val="center"/>
              <w:rPr>
                <w:rFonts w:ascii="Arial" w:hAnsi="Arial" w:cs="Arial"/>
                <w:sz w:val="22"/>
                <w:szCs w:val="22"/>
                <w:lang w:val="en-US"/>
              </w:rPr>
            </w:pPr>
          </w:p>
        </w:tc>
        <w:tc>
          <w:tcPr>
            <w:tcW w:w="1471"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64B25B6D" w14:textId="77777777" w:rsidR="00FA457C" w:rsidRPr="006265F0" w:rsidRDefault="00FA457C" w:rsidP="00F00401">
            <w:pPr>
              <w:pStyle w:val="NormalWeb"/>
              <w:rPr>
                <w:rFonts w:ascii="Arial" w:hAnsi="Arial" w:cs="Arial"/>
                <w:sz w:val="22"/>
                <w:szCs w:val="22"/>
                <w:lang w:val="en-US"/>
              </w:rPr>
            </w:pP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296A48EE" w14:textId="77777777" w:rsidR="00FA457C" w:rsidRPr="006265F0" w:rsidRDefault="00FA457C" w:rsidP="00F00401">
            <w:pPr>
              <w:pStyle w:val="NormalWeb"/>
              <w:jc w:val="center"/>
              <w:rPr>
                <w:rFonts w:ascii="Arial" w:hAnsi="Arial" w:cs="Arial"/>
                <w:sz w:val="22"/>
                <w:szCs w:val="22"/>
              </w:rPr>
            </w:pPr>
          </w:p>
        </w:tc>
        <w:tc>
          <w:tcPr>
            <w:tcW w:w="544"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6D7C8E40" w14:textId="77777777" w:rsidR="00FA457C" w:rsidRDefault="00FA457C" w:rsidP="00F00401">
            <w:pPr>
              <w:pStyle w:val="NormalWeb"/>
              <w:jc w:val="center"/>
            </w:pPr>
          </w:p>
        </w:tc>
      </w:tr>
      <w:tr w:rsidR="00CB6AED" w:rsidRPr="00817F6D" w14:paraId="5F20379F" w14:textId="77777777" w:rsidTr="00CB6AED">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3694E428" w14:textId="77777777" w:rsidR="00CB6AED" w:rsidRPr="008757B1" w:rsidRDefault="00CB6AED" w:rsidP="00F00401">
            <w:pPr>
              <w:pStyle w:val="compara0"/>
              <w:jc w:val="both"/>
              <w:rPr>
                <w:rFonts w:ascii="Arial" w:hAnsi="Arial" w:cs="Arial"/>
                <w:color w:val="000000"/>
                <w:sz w:val="22"/>
                <w:szCs w:val="22"/>
              </w:rPr>
            </w:pPr>
          </w:p>
          <w:p w14:paraId="0613E2B0" w14:textId="72972362" w:rsidR="00CB6AED" w:rsidRDefault="009377AA" w:rsidP="004F027C">
            <w:pPr>
              <w:pStyle w:val="NormalWeb"/>
              <w:jc w:val="center"/>
              <w:rPr>
                <w:rFonts w:ascii="Arial" w:hAnsi="Arial" w:cs="Arial"/>
                <w:color w:val="000000"/>
                <w:sz w:val="22"/>
                <w:szCs w:val="22"/>
              </w:rPr>
            </w:pPr>
            <w:hyperlink r:id="rId25" w:history="1">
              <w:r w:rsidR="00CB6AED" w:rsidRPr="00E60134">
                <w:rPr>
                  <w:rStyle w:val="Lienhypertexte"/>
                  <w:rFonts w:ascii="Arial" w:hAnsi="Arial"/>
                  <w:sz w:val="22"/>
                  <w:szCs w:val="22"/>
                </w:rPr>
                <w:t xml:space="preserve">Question </w:t>
              </w:r>
              <w:r w:rsidR="00CB6AED" w:rsidRPr="00E60134">
                <w:rPr>
                  <w:rStyle w:val="Lienhypertexte"/>
                  <w:rFonts w:ascii="Arial" w:hAnsi="Arial" w:cs="Arial"/>
                  <w:sz w:val="22"/>
                  <w:szCs w:val="22"/>
                </w:rPr>
                <w:t xml:space="preserve">et </w:t>
              </w:r>
              <w:r w:rsidR="00CB6AED" w:rsidRPr="00E60134">
                <w:rPr>
                  <w:rStyle w:val="Lienhypertexte"/>
                  <w:rFonts w:ascii="Arial" w:hAnsi="Arial"/>
                  <w:sz w:val="22"/>
                  <w:szCs w:val="22"/>
                </w:rPr>
                <w:t>Réponse</w:t>
              </w:r>
            </w:hyperlink>
          </w:p>
          <w:p w14:paraId="25FC67A0" w14:textId="7F79FE0B" w:rsidR="00CB6AED" w:rsidRPr="008757B1" w:rsidRDefault="00CB6AED" w:rsidP="004F027C">
            <w:pPr>
              <w:pStyle w:val="NormalWeb"/>
              <w:jc w:val="center"/>
              <w:rPr>
                <w:rFonts w:ascii="Arial" w:hAnsi="Arial" w:cs="Arial"/>
                <w:color w:val="000000"/>
                <w:sz w:val="22"/>
                <w:szCs w:val="22"/>
              </w:rPr>
            </w:pPr>
          </w:p>
        </w:tc>
      </w:tr>
      <w:tr w:rsidR="00FA457C" w:rsidRPr="00231532" w14:paraId="07160954" w14:textId="77777777" w:rsidTr="008757B1">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7202A813" w14:textId="77777777" w:rsidR="00FA457C" w:rsidRPr="008757B1" w:rsidRDefault="00FA457C" w:rsidP="00F00401">
            <w:pPr>
              <w:pStyle w:val="compara0"/>
              <w:jc w:val="both"/>
              <w:rPr>
                <w:rFonts w:ascii="Arial" w:hAnsi="Arial" w:cs="Arial"/>
                <w:color w:val="000000"/>
                <w:sz w:val="22"/>
                <w:szCs w:val="22"/>
              </w:rPr>
            </w:pPr>
          </w:p>
          <w:p w14:paraId="6AF6CE85" w14:textId="77777777" w:rsidR="00FA457C" w:rsidRPr="006F0C27" w:rsidRDefault="00FA457C" w:rsidP="00F00401">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195DBAA2" w14:textId="77777777" w:rsidR="00FA457C" w:rsidRPr="008757B1" w:rsidRDefault="00FA457C" w:rsidP="00F00401">
            <w:pPr>
              <w:pStyle w:val="compara0"/>
              <w:jc w:val="both"/>
              <w:rPr>
                <w:rFonts w:ascii="Arial" w:hAnsi="Arial" w:cs="Arial"/>
                <w:color w:val="000000"/>
                <w:sz w:val="22"/>
                <w:szCs w:val="22"/>
              </w:rPr>
            </w:pPr>
          </w:p>
          <w:p w14:paraId="3BCD8523" w14:textId="753DEAA6" w:rsidR="00FA457C" w:rsidRPr="00E954D9" w:rsidRDefault="00FA457C" w:rsidP="00F00401">
            <w:pPr>
              <w:pStyle w:val="compara0"/>
              <w:jc w:val="both"/>
              <w:rPr>
                <w:rFonts w:ascii="Arial" w:hAnsi="Arial" w:cs="Arial"/>
                <w:b/>
                <w:i/>
                <w:color w:val="000000"/>
                <w:sz w:val="22"/>
                <w:szCs w:val="22"/>
              </w:rPr>
            </w:pPr>
            <w:r>
              <w:rPr>
                <w:rFonts w:ascii="Arial" w:hAnsi="Arial"/>
                <w:b/>
                <w:i/>
                <w:color w:val="000000"/>
                <w:sz w:val="22"/>
                <w:szCs w:val="22"/>
              </w:rPr>
              <w:t xml:space="preserve">Prenant note des informations fournies par l’État soumissionnaire, l’Organe d’évaluation </w:t>
            </w:r>
            <w:r w:rsidR="002743F8">
              <w:rPr>
                <w:rFonts w:ascii="Arial" w:hAnsi="Arial"/>
                <w:b/>
                <w:i/>
                <w:color w:val="000000"/>
                <w:sz w:val="22"/>
                <w:szCs w:val="22"/>
              </w:rPr>
              <w:t xml:space="preserve">est d’avis </w:t>
            </w:r>
            <w:r>
              <w:rPr>
                <w:rFonts w:ascii="Arial" w:hAnsi="Arial"/>
                <w:b/>
                <w:i/>
                <w:color w:val="000000"/>
                <w:sz w:val="22"/>
                <w:szCs w:val="22"/>
              </w:rPr>
              <w:t>que le critère concerné</w:t>
            </w:r>
            <w:r>
              <w:rPr>
                <w:rFonts w:ascii="Arial" w:hAnsi="Arial"/>
                <w:b/>
                <w:i/>
                <w:sz w:val="22"/>
                <w:szCs w:val="22"/>
              </w:rPr>
              <w:t xml:space="preserve"> </w:t>
            </w:r>
            <w:r w:rsidR="00CB6AED">
              <w:rPr>
                <w:rFonts w:ascii="Arial" w:hAnsi="Arial"/>
                <w:b/>
                <w:i/>
                <w:sz w:val="22"/>
                <w:szCs w:val="22"/>
              </w:rPr>
              <w:t xml:space="preserve">pourrait </w:t>
            </w:r>
            <w:r>
              <w:rPr>
                <w:rFonts w:ascii="Arial" w:hAnsi="Arial"/>
                <w:b/>
                <w:i/>
                <w:sz w:val="22"/>
                <w:szCs w:val="22"/>
              </w:rPr>
              <w:t>être considéré comme satisfait.</w:t>
            </w:r>
          </w:p>
          <w:p w14:paraId="6B7A7DB4" w14:textId="77777777" w:rsidR="00160596" w:rsidRPr="008757B1" w:rsidRDefault="00160596" w:rsidP="00160596">
            <w:pPr>
              <w:pStyle w:val="compara0"/>
              <w:jc w:val="both"/>
              <w:rPr>
                <w:rFonts w:ascii="Arial" w:hAnsi="Arial" w:cs="Arial"/>
                <w:color w:val="000000"/>
                <w:sz w:val="22"/>
                <w:szCs w:val="22"/>
              </w:rPr>
            </w:pPr>
          </w:p>
          <w:p w14:paraId="7D47D713" w14:textId="364AB7D0" w:rsidR="00160596" w:rsidRPr="00EB0C6F" w:rsidRDefault="00160596" w:rsidP="00160596">
            <w:pPr>
              <w:pStyle w:val="compara0"/>
              <w:jc w:val="both"/>
              <w:rPr>
                <w:rFonts w:ascii="Arial" w:hAnsi="Arial" w:cs="Arial"/>
                <w:i/>
                <w:color w:val="000000"/>
                <w:sz w:val="22"/>
                <w:szCs w:val="22"/>
              </w:rPr>
            </w:pPr>
            <w:r>
              <w:rPr>
                <w:rFonts w:ascii="Arial" w:hAnsi="Arial"/>
                <w:i/>
                <w:color w:val="000000"/>
                <w:sz w:val="22"/>
                <w:szCs w:val="22"/>
              </w:rPr>
              <w:t>Commentaires :</w:t>
            </w:r>
          </w:p>
          <w:p w14:paraId="6467E39A" w14:textId="78FBE58D" w:rsidR="00FA457C" w:rsidRPr="00EB0C6F" w:rsidRDefault="00C95A1B" w:rsidP="0012761B">
            <w:pPr>
              <w:jc w:val="both"/>
              <w:rPr>
                <w:rFonts w:ascii="Arial" w:hAnsi="Arial" w:cs="Arial"/>
                <w:i/>
              </w:rPr>
            </w:pPr>
            <w:r>
              <w:rPr>
                <w:rFonts w:ascii="Arial" w:hAnsi="Arial"/>
                <w:i/>
              </w:rPr>
              <w:t xml:space="preserve">L'État partie a clarifié la manière dont les communautés bénéficieront de mesures de sauvegarde </w:t>
            </w:r>
            <w:r w:rsidRPr="002C79A6">
              <w:rPr>
                <w:rFonts w:ascii="Arial" w:hAnsi="Arial"/>
                <w:i/>
              </w:rPr>
              <w:t>particulières mises en place au niveau institutionnel.</w:t>
            </w:r>
          </w:p>
          <w:p w14:paraId="5679509A" w14:textId="174F9DDD" w:rsidR="00160596" w:rsidRPr="008757B1" w:rsidRDefault="00160596" w:rsidP="00F00401">
            <w:pPr>
              <w:pStyle w:val="compara0"/>
              <w:jc w:val="both"/>
              <w:rPr>
                <w:rFonts w:ascii="Arial" w:hAnsi="Arial" w:cs="Arial"/>
                <w:color w:val="000000"/>
                <w:sz w:val="22"/>
                <w:szCs w:val="22"/>
              </w:rPr>
            </w:pPr>
          </w:p>
        </w:tc>
      </w:tr>
    </w:tbl>
    <w:p w14:paraId="7C6F15E7" w14:textId="2885B8D8" w:rsidR="00FA457C" w:rsidRDefault="00FA457C" w:rsidP="0012761B">
      <w:pPr>
        <w:pStyle w:val="compara0"/>
        <w:spacing w:after="200"/>
        <w:jc w:val="both"/>
        <w:rPr>
          <w:rFonts w:ascii="Calibri" w:hAnsi="Calibri"/>
          <w:color w:val="000000"/>
        </w:rPr>
      </w:pPr>
    </w:p>
    <w:tbl>
      <w:tblPr>
        <w:tblW w:w="4755" w:type="pct"/>
        <w:tblInd w:w="624" w:type="dxa"/>
        <w:tblLayout w:type="fixed"/>
        <w:tblCellMar>
          <w:left w:w="0" w:type="dxa"/>
          <w:right w:w="0" w:type="dxa"/>
        </w:tblCellMar>
        <w:tblLook w:val="04A0" w:firstRow="1" w:lastRow="0" w:firstColumn="1" w:lastColumn="0" w:noHBand="0" w:noVBand="1"/>
      </w:tblPr>
      <w:tblGrid>
        <w:gridCol w:w="1776"/>
        <w:gridCol w:w="1985"/>
        <w:gridCol w:w="2693"/>
        <w:gridCol w:w="1700"/>
        <w:gridCol w:w="993"/>
      </w:tblGrid>
      <w:tr w:rsidR="00FA457C" w:rsidRPr="006265F0" w14:paraId="10A4B616" w14:textId="77777777" w:rsidTr="00CB6AED">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1C253807" w14:textId="77777777" w:rsidR="00FA457C" w:rsidRPr="006265F0" w:rsidRDefault="00FA457C" w:rsidP="00F00401">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AE32BF3" w14:textId="07D523B0" w:rsidR="00FA457C" w:rsidRPr="006265F0" w:rsidRDefault="00FA457C" w:rsidP="00F00401">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t xml:space="preserve"> </w:t>
            </w:r>
            <w:r>
              <w:rPr>
                <w:rFonts w:ascii="Arial" w:hAnsi="Arial"/>
                <w:b/>
                <w:bCs/>
                <w:sz w:val="22"/>
                <w:szCs w:val="22"/>
              </w:rPr>
              <w:t>soumissionnaire</w:t>
            </w: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819E716"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Candidature</w:t>
            </w: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74C320B7" w14:textId="77777777" w:rsidR="00FA457C" w:rsidRPr="006265F0" w:rsidRDefault="00FA457C" w:rsidP="008757B1">
            <w:pPr>
              <w:pStyle w:val="NormalWeb"/>
              <w:jc w:val="center"/>
              <w:rPr>
                <w:rFonts w:ascii="Arial" w:hAnsi="Arial" w:cs="Arial"/>
                <w:sz w:val="22"/>
                <w:szCs w:val="22"/>
              </w:rPr>
            </w:pPr>
            <w:r>
              <w:rPr>
                <w:rFonts w:ascii="Arial" w:hAnsi="Arial"/>
                <w:b/>
                <w:bCs/>
                <w:sz w:val="22"/>
                <w:szCs w:val="22"/>
              </w:rPr>
              <w:t>Liste</w:t>
            </w: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7CCAF1A1"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Dossier n°</w:t>
            </w:r>
          </w:p>
        </w:tc>
      </w:tr>
      <w:tr w:rsidR="004322C1" w:rsidRPr="006265F0" w14:paraId="037722BE" w14:textId="77777777" w:rsidTr="00CB6AED">
        <w:tc>
          <w:tcPr>
            <w:tcW w:w="97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19EA2291" w14:textId="213AF13E" w:rsidR="004322C1" w:rsidRPr="006265F0" w:rsidRDefault="004322C1" w:rsidP="004322C1">
            <w:pPr>
              <w:pStyle w:val="NormalWeb"/>
              <w:jc w:val="center"/>
              <w:rPr>
                <w:rFonts w:ascii="Arial" w:hAnsi="Arial" w:cs="Arial"/>
                <w:sz w:val="22"/>
                <w:szCs w:val="22"/>
              </w:rPr>
            </w:pPr>
            <w:r>
              <w:rPr>
                <w:rFonts w:ascii="Arial" w:hAnsi="Arial"/>
                <w:sz w:val="22"/>
                <w:szCs w:val="22"/>
              </w:rPr>
              <w:t>14.COM 10.b.27</w:t>
            </w:r>
          </w:p>
        </w:tc>
        <w:tc>
          <w:tcPr>
            <w:tcW w:w="1085"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63CCD79" w14:textId="2392C6E7" w:rsidR="004322C1" w:rsidRPr="006265F0" w:rsidRDefault="004322C1" w:rsidP="004322C1">
            <w:pPr>
              <w:pStyle w:val="NormalWeb"/>
              <w:jc w:val="center"/>
              <w:rPr>
                <w:rFonts w:ascii="Arial" w:hAnsi="Arial" w:cs="Arial"/>
                <w:sz w:val="22"/>
                <w:szCs w:val="22"/>
              </w:rPr>
            </w:pPr>
            <w:r>
              <w:rPr>
                <w:rFonts w:ascii="Arial" w:hAnsi="Arial"/>
                <w:sz w:val="22"/>
                <w:szCs w:val="22"/>
              </w:rPr>
              <w:t>Nigéria</w:t>
            </w:r>
          </w:p>
        </w:tc>
        <w:tc>
          <w:tcPr>
            <w:tcW w:w="147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5A368A9" w14:textId="076D03F8" w:rsidR="004322C1" w:rsidRPr="006265F0" w:rsidRDefault="004322C1" w:rsidP="00CB673B">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kwagh-hir</w:t>
            </w:r>
            <w:proofErr w:type="spellEnd"/>
            <w:r>
              <w:rPr>
                <w:rFonts w:ascii="Arial" w:hAnsi="Arial"/>
                <w:sz w:val="22"/>
                <w:szCs w:val="22"/>
              </w:rPr>
              <w:t>, représentation théâtrale</w:t>
            </w:r>
          </w:p>
        </w:tc>
        <w:tc>
          <w:tcPr>
            <w:tcW w:w="92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8F2DCBC" w14:textId="6F245EFC" w:rsidR="004322C1" w:rsidRPr="006265F0" w:rsidRDefault="004322C1" w:rsidP="004322C1">
            <w:pPr>
              <w:pStyle w:val="NormalWeb"/>
              <w:jc w:val="center"/>
              <w:rPr>
                <w:rFonts w:ascii="Arial" w:hAnsi="Arial" w:cs="Arial"/>
                <w:sz w:val="22"/>
                <w:szCs w:val="22"/>
              </w:rPr>
            </w:pPr>
            <w:r>
              <w:rPr>
                <w:rFonts w:ascii="Arial" w:hAnsi="Arial"/>
                <w:sz w:val="22"/>
                <w:szCs w:val="22"/>
              </w:rPr>
              <w:t>Liste représentative</w:t>
            </w:r>
          </w:p>
        </w:tc>
        <w:tc>
          <w:tcPr>
            <w:tcW w:w="54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80ADAC2" w14:textId="0217835D" w:rsidR="004322C1" w:rsidRPr="006265F0" w:rsidRDefault="009377AA" w:rsidP="004322C1">
            <w:pPr>
              <w:pStyle w:val="NormalWeb"/>
              <w:jc w:val="center"/>
              <w:rPr>
                <w:rFonts w:ascii="Arial" w:hAnsi="Arial" w:cs="Arial"/>
                <w:sz w:val="22"/>
                <w:szCs w:val="22"/>
              </w:rPr>
            </w:pPr>
            <w:hyperlink r:id="rId26" w:anchor="10.b.27" w:history="1">
              <w:r w:rsidR="00E947ED" w:rsidRPr="00F14587">
                <w:rPr>
                  <w:rStyle w:val="Lienhypertexte"/>
                  <w:rFonts w:ascii="Arial" w:eastAsia="SimSun" w:hAnsi="Arial" w:cs="Arial"/>
                  <w:sz w:val="22"/>
                  <w:szCs w:val="22"/>
                  <w:lang w:val="en-GB"/>
                </w:rPr>
                <w:t>0</w:t>
              </w:r>
              <w:r w:rsidR="00E947ED">
                <w:rPr>
                  <w:rStyle w:val="Lienhypertexte"/>
                  <w:rFonts w:ascii="Arial" w:eastAsia="SimSun" w:hAnsi="Arial" w:cs="Arial"/>
                  <w:sz w:val="22"/>
                  <w:szCs w:val="22"/>
                  <w:lang w:val="en-GB"/>
                </w:rPr>
                <w:t>0683</w:t>
              </w:r>
            </w:hyperlink>
          </w:p>
        </w:tc>
      </w:tr>
      <w:tr w:rsidR="00FA457C" w14:paraId="74F42E45" w14:textId="77777777" w:rsidTr="00CB6AED">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0C7C7379" w14:textId="77777777" w:rsidR="00FA457C" w:rsidRPr="006265F0" w:rsidRDefault="00FA457C" w:rsidP="00F00401">
            <w:pPr>
              <w:pStyle w:val="NormalWeb"/>
              <w:jc w:val="center"/>
              <w:rPr>
                <w:rFonts w:ascii="Arial" w:hAnsi="Arial" w:cs="Arial"/>
                <w:sz w:val="22"/>
                <w:szCs w:val="22"/>
              </w:rPr>
            </w:pP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1D668F06" w14:textId="77777777" w:rsidR="00FA457C" w:rsidRPr="006265F0" w:rsidRDefault="00FA457C" w:rsidP="00F00401">
            <w:pPr>
              <w:pStyle w:val="NormalWeb"/>
              <w:jc w:val="center"/>
              <w:rPr>
                <w:rFonts w:ascii="Arial" w:hAnsi="Arial" w:cs="Arial"/>
                <w:sz w:val="22"/>
                <w:szCs w:val="22"/>
                <w:lang w:val="en-US"/>
              </w:rPr>
            </w:pP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2899726" w14:textId="77777777" w:rsidR="00FA457C" w:rsidRPr="006265F0" w:rsidRDefault="00FA457C" w:rsidP="00F00401">
            <w:pPr>
              <w:pStyle w:val="NormalWeb"/>
              <w:rPr>
                <w:rFonts w:ascii="Arial" w:hAnsi="Arial" w:cs="Arial"/>
                <w:sz w:val="22"/>
                <w:szCs w:val="22"/>
                <w:lang w:val="en-US"/>
              </w:rPr>
            </w:pP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73784898" w14:textId="77777777" w:rsidR="00FA457C" w:rsidRPr="006265F0" w:rsidRDefault="00FA457C" w:rsidP="00F00401">
            <w:pPr>
              <w:pStyle w:val="NormalWeb"/>
              <w:jc w:val="center"/>
              <w:rPr>
                <w:rFonts w:ascii="Arial" w:hAnsi="Arial" w:cs="Arial"/>
                <w:sz w:val="22"/>
                <w:szCs w:val="22"/>
              </w:rPr>
            </w:pP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6885ED79" w14:textId="77777777" w:rsidR="00FA457C" w:rsidRDefault="00FA457C" w:rsidP="00F00401">
            <w:pPr>
              <w:pStyle w:val="NormalWeb"/>
              <w:jc w:val="center"/>
            </w:pPr>
          </w:p>
        </w:tc>
      </w:tr>
      <w:tr w:rsidR="00CB6AED" w:rsidRPr="00817F6D" w14:paraId="75D5C864" w14:textId="77777777" w:rsidTr="00CB6AED">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3B2F044B" w14:textId="77777777" w:rsidR="00CB6AED" w:rsidRPr="008757B1" w:rsidRDefault="00CB6AED" w:rsidP="00F00401">
            <w:pPr>
              <w:pStyle w:val="compara0"/>
              <w:jc w:val="both"/>
              <w:rPr>
                <w:rFonts w:ascii="Arial" w:hAnsi="Arial" w:cs="Arial"/>
                <w:color w:val="000000"/>
                <w:sz w:val="22"/>
                <w:szCs w:val="22"/>
              </w:rPr>
            </w:pPr>
          </w:p>
          <w:p w14:paraId="68A39F07" w14:textId="09FEAF32" w:rsidR="00CB6AED" w:rsidRDefault="009377AA" w:rsidP="005E71C4">
            <w:pPr>
              <w:pStyle w:val="NormalWeb"/>
              <w:jc w:val="center"/>
              <w:rPr>
                <w:rFonts w:ascii="Arial" w:hAnsi="Arial" w:cs="Arial"/>
                <w:color w:val="000000"/>
                <w:sz w:val="22"/>
                <w:szCs w:val="22"/>
              </w:rPr>
            </w:pPr>
            <w:hyperlink r:id="rId27" w:history="1">
              <w:r w:rsidR="00CB6AED" w:rsidRPr="00A834B2">
                <w:rPr>
                  <w:rStyle w:val="Lienhypertexte"/>
                  <w:rFonts w:ascii="Arial" w:hAnsi="Arial"/>
                  <w:sz w:val="22"/>
                  <w:szCs w:val="22"/>
                </w:rPr>
                <w:t>Question</w:t>
              </w:r>
              <w:r w:rsidR="008E1444" w:rsidRPr="00A834B2">
                <w:rPr>
                  <w:rStyle w:val="Lienhypertexte"/>
                  <w:rFonts w:ascii="Arial" w:hAnsi="Arial"/>
                  <w:sz w:val="22"/>
                  <w:szCs w:val="22"/>
                </w:rPr>
                <w:t>s</w:t>
              </w:r>
              <w:r w:rsidR="00CB6AED" w:rsidRPr="00A834B2">
                <w:rPr>
                  <w:rStyle w:val="Lienhypertexte"/>
                  <w:rFonts w:ascii="Arial" w:hAnsi="Arial"/>
                  <w:sz w:val="22"/>
                  <w:szCs w:val="22"/>
                </w:rPr>
                <w:t xml:space="preserve"> </w:t>
              </w:r>
              <w:r w:rsidR="00CB6AED" w:rsidRPr="00A834B2">
                <w:rPr>
                  <w:rStyle w:val="Lienhypertexte"/>
                  <w:rFonts w:ascii="Arial" w:hAnsi="Arial" w:cs="Arial"/>
                  <w:sz w:val="22"/>
                  <w:szCs w:val="22"/>
                </w:rPr>
                <w:t xml:space="preserve">et </w:t>
              </w:r>
              <w:r w:rsidR="00CB6AED" w:rsidRPr="00A834B2">
                <w:rPr>
                  <w:rStyle w:val="Lienhypertexte"/>
                  <w:rFonts w:ascii="Arial" w:hAnsi="Arial"/>
                  <w:sz w:val="22"/>
                  <w:szCs w:val="22"/>
                </w:rPr>
                <w:t>Réponse</w:t>
              </w:r>
              <w:r w:rsidR="008E1444" w:rsidRPr="00A834B2">
                <w:rPr>
                  <w:rStyle w:val="Lienhypertexte"/>
                  <w:rFonts w:ascii="Arial" w:hAnsi="Arial"/>
                  <w:sz w:val="22"/>
                  <w:szCs w:val="22"/>
                </w:rPr>
                <w:t>s</w:t>
              </w:r>
            </w:hyperlink>
          </w:p>
          <w:p w14:paraId="43BAF1A9" w14:textId="379EF82D" w:rsidR="00CB6AED" w:rsidRPr="008757B1" w:rsidRDefault="00CB6AED" w:rsidP="005E71C4">
            <w:pPr>
              <w:pStyle w:val="NormalWeb"/>
              <w:jc w:val="center"/>
              <w:rPr>
                <w:rFonts w:ascii="Arial" w:hAnsi="Arial" w:cs="Arial"/>
                <w:color w:val="000000"/>
                <w:sz w:val="22"/>
                <w:szCs w:val="22"/>
              </w:rPr>
            </w:pPr>
          </w:p>
        </w:tc>
      </w:tr>
      <w:tr w:rsidR="00FA457C" w:rsidRPr="00231532" w14:paraId="4B21ACAA" w14:textId="77777777" w:rsidTr="00CB6AED">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2575A907" w14:textId="77777777" w:rsidR="00FA457C" w:rsidRPr="008757B1" w:rsidRDefault="00FA457C" w:rsidP="00F00401">
            <w:pPr>
              <w:pStyle w:val="compara0"/>
              <w:jc w:val="both"/>
              <w:rPr>
                <w:rFonts w:ascii="Arial" w:hAnsi="Arial" w:cs="Arial"/>
                <w:color w:val="000000"/>
                <w:sz w:val="22"/>
                <w:szCs w:val="22"/>
              </w:rPr>
            </w:pPr>
          </w:p>
          <w:p w14:paraId="2DE23F65" w14:textId="77777777" w:rsidR="00FA457C" w:rsidRPr="006F0C27" w:rsidRDefault="00FA457C" w:rsidP="00F00401">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5BA6D4F7" w14:textId="77777777" w:rsidR="00FA457C" w:rsidRPr="008757B1" w:rsidRDefault="00FA457C" w:rsidP="00F00401">
            <w:pPr>
              <w:pStyle w:val="compara0"/>
              <w:jc w:val="both"/>
              <w:rPr>
                <w:rFonts w:ascii="Arial" w:hAnsi="Arial" w:cs="Arial"/>
                <w:color w:val="000000"/>
                <w:sz w:val="22"/>
                <w:szCs w:val="22"/>
              </w:rPr>
            </w:pPr>
          </w:p>
          <w:p w14:paraId="2A44E851" w14:textId="6D9640C0" w:rsidR="00FA457C" w:rsidRPr="00E954D9" w:rsidRDefault="00FA457C" w:rsidP="00F00401">
            <w:pPr>
              <w:pStyle w:val="compara0"/>
              <w:jc w:val="both"/>
              <w:rPr>
                <w:rFonts w:ascii="Arial" w:hAnsi="Arial" w:cs="Arial"/>
                <w:b/>
                <w:i/>
                <w:color w:val="000000"/>
                <w:sz w:val="22"/>
                <w:szCs w:val="22"/>
              </w:rPr>
            </w:pPr>
            <w:r>
              <w:rPr>
                <w:rFonts w:ascii="Arial" w:hAnsi="Arial"/>
                <w:b/>
                <w:i/>
                <w:color w:val="000000"/>
                <w:sz w:val="22"/>
                <w:szCs w:val="22"/>
              </w:rPr>
              <w:t xml:space="preserve">Prenant note des informations fournies par l’État soumissionnaire, l’Organe d’évaluation </w:t>
            </w:r>
            <w:r w:rsidR="002743F8">
              <w:rPr>
                <w:rFonts w:ascii="Arial" w:hAnsi="Arial"/>
                <w:b/>
                <w:i/>
                <w:color w:val="000000"/>
                <w:sz w:val="22"/>
                <w:szCs w:val="22"/>
              </w:rPr>
              <w:t xml:space="preserve">est d’avis </w:t>
            </w:r>
            <w:r>
              <w:rPr>
                <w:rFonts w:ascii="Arial" w:hAnsi="Arial"/>
                <w:b/>
                <w:i/>
                <w:color w:val="000000"/>
                <w:sz w:val="22"/>
                <w:szCs w:val="22"/>
              </w:rPr>
              <w:t>que les critères concernés</w:t>
            </w:r>
            <w:r>
              <w:rPr>
                <w:rFonts w:ascii="Arial" w:hAnsi="Arial"/>
                <w:b/>
                <w:i/>
                <w:sz w:val="22"/>
                <w:szCs w:val="22"/>
              </w:rPr>
              <w:t xml:space="preserve"> </w:t>
            </w:r>
            <w:r w:rsidR="00CB6AED">
              <w:rPr>
                <w:rFonts w:ascii="Arial" w:hAnsi="Arial"/>
                <w:b/>
                <w:i/>
                <w:sz w:val="22"/>
                <w:szCs w:val="22"/>
              </w:rPr>
              <w:t xml:space="preserve">pourraient </w:t>
            </w:r>
            <w:r>
              <w:rPr>
                <w:rFonts w:ascii="Arial" w:hAnsi="Arial"/>
                <w:b/>
                <w:i/>
                <w:sz w:val="22"/>
                <w:szCs w:val="22"/>
              </w:rPr>
              <w:t>être considérés comme satisfaits.</w:t>
            </w:r>
          </w:p>
          <w:p w14:paraId="37C85DC3" w14:textId="77777777" w:rsidR="000820D2" w:rsidRPr="008757B1" w:rsidRDefault="000820D2" w:rsidP="000820D2">
            <w:pPr>
              <w:pStyle w:val="compara0"/>
              <w:jc w:val="both"/>
              <w:rPr>
                <w:rFonts w:ascii="Arial" w:hAnsi="Arial" w:cs="Arial"/>
                <w:color w:val="000000"/>
                <w:sz w:val="22"/>
                <w:szCs w:val="22"/>
              </w:rPr>
            </w:pPr>
          </w:p>
          <w:p w14:paraId="02E66B80" w14:textId="6AA785E4" w:rsidR="000820D2" w:rsidRPr="00EB0C6F" w:rsidRDefault="000820D2" w:rsidP="000820D2">
            <w:pPr>
              <w:pStyle w:val="compara0"/>
              <w:jc w:val="both"/>
              <w:rPr>
                <w:rFonts w:ascii="Arial" w:hAnsi="Arial" w:cs="Arial"/>
                <w:i/>
                <w:sz w:val="22"/>
                <w:szCs w:val="22"/>
              </w:rPr>
            </w:pPr>
            <w:r>
              <w:rPr>
                <w:rFonts w:ascii="Arial" w:hAnsi="Arial"/>
                <w:i/>
                <w:sz w:val="22"/>
                <w:szCs w:val="22"/>
              </w:rPr>
              <w:t>Commentaires :</w:t>
            </w:r>
          </w:p>
          <w:p w14:paraId="5A7F8205" w14:textId="56D75A7C" w:rsidR="00977DCB" w:rsidRPr="00EB0C6F" w:rsidRDefault="00977DCB" w:rsidP="00977DCB">
            <w:pPr>
              <w:jc w:val="both"/>
              <w:rPr>
                <w:rFonts w:ascii="Arial" w:hAnsi="Arial" w:cs="Arial"/>
                <w:i/>
              </w:rPr>
            </w:pPr>
            <w:r>
              <w:rPr>
                <w:rFonts w:ascii="Arial" w:hAnsi="Arial"/>
                <w:i/>
              </w:rPr>
              <w:t xml:space="preserve">R.3 </w:t>
            </w:r>
            <w:r w:rsidRPr="00CB6AED">
              <w:rPr>
                <w:rFonts w:ascii="Arial" w:hAnsi="Arial"/>
                <w:i/>
              </w:rPr>
              <w:t xml:space="preserve">L’État partie a </w:t>
            </w:r>
            <w:r w:rsidR="00B25A0A" w:rsidRPr="00CB6AED">
              <w:rPr>
                <w:rFonts w:ascii="Arial" w:hAnsi="Arial"/>
                <w:i/>
              </w:rPr>
              <w:t>souligné</w:t>
            </w:r>
            <w:r w:rsidRPr="00CB6AED">
              <w:rPr>
                <w:rFonts w:ascii="Arial" w:hAnsi="Arial"/>
                <w:i/>
              </w:rPr>
              <w:t xml:space="preserve"> que les représentations et les concours organisés au niveau local constituaient le moyen traditionnel de sauvegarde de l'élément. Si</w:t>
            </w:r>
            <w:r>
              <w:rPr>
                <w:rFonts w:ascii="Arial" w:hAnsi="Arial"/>
                <w:i/>
              </w:rPr>
              <w:t xml:space="preserve"> la priorité est donnée à ce niveau de sauvegarde, </w:t>
            </w:r>
            <w:r>
              <w:rPr>
                <w:rFonts w:ascii="Arial" w:hAnsi="Arial"/>
                <w:i/>
              </w:rPr>
              <w:lastRenderedPageBreak/>
              <w:t>l’ouverture de la tradition à un nouveau public, telle que décrite dans les mesures de sauvegarde proposées, ne devrait pas mettre</w:t>
            </w:r>
            <w:r w:rsidR="002E701F">
              <w:rPr>
                <w:rFonts w:ascii="Arial" w:hAnsi="Arial"/>
                <w:i/>
              </w:rPr>
              <w:t xml:space="preserve"> en péril</w:t>
            </w:r>
            <w:r w:rsidR="003D4E4B">
              <w:rPr>
                <w:rFonts w:ascii="Arial" w:hAnsi="Arial"/>
                <w:i/>
              </w:rPr>
              <w:t xml:space="preserve"> l’élément.</w:t>
            </w:r>
          </w:p>
          <w:p w14:paraId="68ABE63C" w14:textId="1286BAD5" w:rsidR="00977DCB" w:rsidRPr="00EB0C6F" w:rsidRDefault="00977DCB" w:rsidP="0012761B">
            <w:pPr>
              <w:jc w:val="both"/>
              <w:rPr>
                <w:rFonts w:ascii="Arial" w:hAnsi="Arial" w:cs="Arial"/>
                <w:i/>
              </w:rPr>
            </w:pPr>
            <w:r>
              <w:rPr>
                <w:rFonts w:ascii="Arial" w:hAnsi="Arial"/>
                <w:i/>
              </w:rPr>
              <w:t xml:space="preserve">R.4 L'État partie a démontré que la communauté </w:t>
            </w:r>
            <w:proofErr w:type="spellStart"/>
            <w:r w:rsidR="00651C38">
              <w:rPr>
                <w:rFonts w:ascii="Arial" w:hAnsi="Arial"/>
                <w:i/>
              </w:rPr>
              <w:t>g</w:t>
            </w:r>
            <w:r>
              <w:rPr>
                <w:rFonts w:ascii="Arial" w:hAnsi="Arial"/>
                <w:i/>
              </w:rPr>
              <w:t>boko</w:t>
            </w:r>
            <w:proofErr w:type="spellEnd"/>
            <w:r>
              <w:rPr>
                <w:rFonts w:ascii="Arial" w:hAnsi="Arial"/>
                <w:i/>
              </w:rPr>
              <w:t xml:space="preserve"> avait été sélectionnée par </w:t>
            </w:r>
            <w:r w:rsidR="00162A2F">
              <w:rPr>
                <w:rFonts w:ascii="Arial" w:hAnsi="Arial"/>
                <w:i/>
              </w:rPr>
              <w:t>toutes les</w:t>
            </w:r>
            <w:r>
              <w:rPr>
                <w:rFonts w:ascii="Arial" w:hAnsi="Arial"/>
                <w:i/>
              </w:rPr>
              <w:t xml:space="preserve"> communautés concernées pour être leur </w:t>
            </w:r>
            <w:r w:rsidRPr="00CB6AED">
              <w:rPr>
                <w:rFonts w:ascii="Arial" w:hAnsi="Arial"/>
                <w:i/>
              </w:rPr>
              <w:t>point focal</w:t>
            </w:r>
            <w:r>
              <w:rPr>
                <w:rFonts w:ascii="Arial" w:hAnsi="Arial"/>
                <w:i/>
              </w:rPr>
              <w:t xml:space="preserve"> dura</w:t>
            </w:r>
            <w:r w:rsidR="003D4E4B">
              <w:rPr>
                <w:rFonts w:ascii="Arial" w:hAnsi="Arial"/>
                <w:i/>
              </w:rPr>
              <w:t>nt le processus de candidature.</w:t>
            </w:r>
          </w:p>
          <w:p w14:paraId="30912413" w14:textId="77777777" w:rsidR="00FA457C" w:rsidRPr="008757B1" w:rsidRDefault="00FA457C" w:rsidP="00F00401">
            <w:pPr>
              <w:pStyle w:val="compara0"/>
              <w:jc w:val="both"/>
              <w:rPr>
                <w:rFonts w:ascii="Arial" w:hAnsi="Arial" w:cs="Arial"/>
                <w:color w:val="000000"/>
                <w:sz w:val="22"/>
                <w:szCs w:val="22"/>
              </w:rPr>
            </w:pPr>
          </w:p>
        </w:tc>
      </w:tr>
    </w:tbl>
    <w:p w14:paraId="0A1B80A5" w14:textId="26B78120" w:rsidR="00FA457C" w:rsidRDefault="00FA457C" w:rsidP="0012761B">
      <w:pPr>
        <w:pStyle w:val="compara0"/>
        <w:spacing w:after="200"/>
        <w:jc w:val="both"/>
        <w:rPr>
          <w:rFonts w:ascii="Calibri" w:hAnsi="Calibri"/>
          <w:color w:val="000000"/>
        </w:rPr>
      </w:pPr>
    </w:p>
    <w:tbl>
      <w:tblPr>
        <w:tblW w:w="4755" w:type="pct"/>
        <w:tblInd w:w="624" w:type="dxa"/>
        <w:tblLayout w:type="fixed"/>
        <w:tblCellMar>
          <w:left w:w="0" w:type="dxa"/>
          <w:right w:w="0" w:type="dxa"/>
        </w:tblCellMar>
        <w:tblLook w:val="04A0" w:firstRow="1" w:lastRow="0" w:firstColumn="1" w:lastColumn="0" w:noHBand="0" w:noVBand="1"/>
      </w:tblPr>
      <w:tblGrid>
        <w:gridCol w:w="1776"/>
        <w:gridCol w:w="1985"/>
        <w:gridCol w:w="2693"/>
        <w:gridCol w:w="1700"/>
        <w:gridCol w:w="993"/>
      </w:tblGrid>
      <w:tr w:rsidR="00FA457C" w:rsidRPr="006265F0" w14:paraId="036CFF0F" w14:textId="77777777" w:rsidTr="00651C38">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2A587939" w14:textId="77777777" w:rsidR="00FA457C" w:rsidRPr="006265F0" w:rsidRDefault="00FA457C" w:rsidP="00F00401">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1F2F5A5F" w14:textId="47B0478F" w:rsidR="00FA457C" w:rsidRPr="006265F0" w:rsidRDefault="00FA457C" w:rsidP="00F00401">
            <w:pPr>
              <w:pStyle w:val="NormalWeb"/>
              <w:jc w:val="center"/>
              <w:rPr>
                <w:rFonts w:ascii="Arial" w:hAnsi="Arial" w:cs="Arial"/>
                <w:sz w:val="22"/>
                <w:szCs w:val="22"/>
              </w:rPr>
            </w:pPr>
            <w:r>
              <w:rPr>
                <w:rFonts w:ascii="Arial" w:hAnsi="Arial"/>
                <w:b/>
                <w:bCs/>
                <w:sz w:val="22"/>
                <w:szCs w:val="22"/>
              </w:rPr>
              <w:t>État</w:t>
            </w:r>
            <w:r w:rsidR="008757B1">
              <w:rPr>
                <w:rFonts w:ascii="Arial" w:hAnsi="Arial"/>
                <w:b/>
                <w:bCs/>
                <w:sz w:val="22"/>
                <w:szCs w:val="22"/>
              </w:rPr>
              <w:t xml:space="preserve"> </w:t>
            </w:r>
            <w:r>
              <w:rPr>
                <w:rFonts w:ascii="Arial" w:hAnsi="Arial"/>
                <w:b/>
                <w:bCs/>
                <w:sz w:val="22"/>
                <w:szCs w:val="22"/>
              </w:rPr>
              <w:t>soumissionnaire</w:t>
            </w: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76AAC01B"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Candidature</w:t>
            </w: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F98C499" w14:textId="77777777" w:rsidR="00FA457C" w:rsidRPr="006265F0" w:rsidRDefault="00FA457C" w:rsidP="00651C38">
            <w:pPr>
              <w:pStyle w:val="NormalWeb"/>
              <w:jc w:val="center"/>
              <w:rPr>
                <w:rFonts w:ascii="Arial" w:hAnsi="Arial" w:cs="Arial"/>
                <w:sz w:val="22"/>
                <w:szCs w:val="22"/>
              </w:rPr>
            </w:pPr>
            <w:r>
              <w:rPr>
                <w:rFonts w:ascii="Arial" w:hAnsi="Arial"/>
                <w:b/>
                <w:bCs/>
                <w:sz w:val="22"/>
                <w:szCs w:val="22"/>
              </w:rPr>
              <w:t>Liste</w:t>
            </w: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72BACD90" w14:textId="77777777" w:rsidR="00FA457C" w:rsidRPr="006265F0" w:rsidRDefault="00FA457C" w:rsidP="00F00401">
            <w:pPr>
              <w:pStyle w:val="NormalWeb"/>
              <w:jc w:val="center"/>
              <w:rPr>
                <w:rFonts w:ascii="Arial" w:hAnsi="Arial" w:cs="Arial"/>
                <w:sz w:val="22"/>
                <w:szCs w:val="22"/>
              </w:rPr>
            </w:pPr>
            <w:r>
              <w:rPr>
                <w:rFonts w:ascii="Arial" w:hAnsi="Arial"/>
                <w:b/>
                <w:bCs/>
                <w:sz w:val="22"/>
                <w:szCs w:val="22"/>
              </w:rPr>
              <w:t>Dossier n°</w:t>
            </w:r>
          </w:p>
        </w:tc>
      </w:tr>
      <w:tr w:rsidR="00611CA6" w:rsidRPr="006265F0" w14:paraId="18304224" w14:textId="77777777" w:rsidTr="00651C38">
        <w:tc>
          <w:tcPr>
            <w:tcW w:w="97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7818BBD" w14:textId="5561C067" w:rsidR="00611CA6" w:rsidRPr="006265F0" w:rsidRDefault="00611CA6" w:rsidP="00611CA6">
            <w:pPr>
              <w:pStyle w:val="NormalWeb"/>
              <w:jc w:val="center"/>
              <w:rPr>
                <w:rFonts w:ascii="Arial" w:hAnsi="Arial" w:cs="Arial"/>
                <w:sz w:val="22"/>
                <w:szCs w:val="22"/>
              </w:rPr>
            </w:pPr>
            <w:r>
              <w:rPr>
                <w:rFonts w:ascii="Arial" w:hAnsi="Arial"/>
                <w:sz w:val="22"/>
                <w:szCs w:val="22"/>
              </w:rPr>
              <w:t>14.COM 10.b.31</w:t>
            </w:r>
          </w:p>
        </w:tc>
        <w:tc>
          <w:tcPr>
            <w:tcW w:w="1085"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0FDA885C" w14:textId="1FEBCA06" w:rsidR="00611CA6" w:rsidRPr="006265F0" w:rsidRDefault="00611CA6" w:rsidP="00611CA6">
            <w:pPr>
              <w:pStyle w:val="NormalWeb"/>
              <w:jc w:val="center"/>
              <w:rPr>
                <w:rFonts w:ascii="Arial" w:hAnsi="Arial" w:cs="Arial"/>
                <w:sz w:val="22"/>
                <w:szCs w:val="22"/>
              </w:rPr>
            </w:pPr>
            <w:r>
              <w:rPr>
                <w:rFonts w:ascii="Arial" w:hAnsi="Arial"/>
                <w:sz w:val="22"/>
                <w:szCs w:val="22"/>
              </w:rPr>
              <w:t>Samoa</w:t>
            </w:r>
          </w:p>
        </w:tc>
        <w:tc>
          <w:tcPr>
            <w:tcW w:w="147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DADFBD3" w14:textId="517FC621" w:rsidR="00611CA6" w:rsidRPr="006265F0" w:rsidRDefault="00611CA6" w:rsidP="00CB673B">
            <w:pPr>
              <w:pStyle w:val="NormalWeb"/>
              <w:rPr>
                <w:rFonts w:ascii="Arial" w:hAnsi="Arial" w:cs="Arial"/>
                <w:sz w:val="22"/>
                <w:szCs w:val="22"/>
              </w:rPr>
            </w:pPr>
            <w:r>
              <w:rPr>
                <w:rFonts w:ascii="Arial" w:hAnsi="Arial"/>
                <w:sz w:val="22"/>
                <w:szCs w:val="22"/>
              </w:rPr>
              <w:t>Le '</w:t>
            </w:r>
            <w:proofErr w:type="spellStart"/>
            <w:r>
              <w:rPr>
                <w:rFonts w:ascii="Arial" w:hAnsi="Arial"/>
                <w:sz w:val="22"/>
                <w:szCs w:val="22"/>
              </w:rPr>
              <w:t>ie</w:t>
            </w:r>
            <w:proofErr w:type="spellEnd"/>
            <w:r>
              <w:rPr>
                <w:rFonts w:ascii="Arial" w:hAnsi="Arial"/>
                <w:sz w:val="22"/>
                <w:szCs w:val="22"/>
              </w:rPr>
              <w:t xml:space="preserve"> Samoa, ou natte fine, et sa valeur culturelle</w:t>
            </w:r>
          </w:p>
        </w:tc>
        <w:tc>
          <w:tcPr>
            <w:tcW w:w="92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6A2B5A8" w14:textId="21F243EE" w:rsidR="00611CA6" w:rsidRPr="006265F0" w:rsidRDefault="00611CA6" w:rsidP="00611CA6">
            <w:pPr>
              <w:pStyle w:val="NormalWeb"/>
              <w:jc w:val="center"/>
              <w:rPr>
                <w:rFonts w:ascii="Arial" w:hAnsi="Arial" w:cs="Arial"/>
                <w:sz w:val="22"/>
                <w:szCs w:val="22"/>
              </w:rPr>
            </w:pPr>
            <w:r>
              <w:rPr>
                <w:rFonts w:ascii="Arial" w:hAnsi="Arial"/>
                <w:sz w:val="22"/>
                <w:szCs w:val="22"/>
              </w:rPr>
              <w:t>Liste représentative</w:t>
            </w:r>
          </w:p>
        </w:tc>
        <w:tc>
          <w:tcPr>
            <w:tcW w:w="54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B1FA601" w14:textId="79C64D43" w:rsidR="00611CA6" w:rsidRPr="006265F0" w:rsidRDefault="009377AA" w:rsidP="00611CA6">
            <w:pPr>
              <w:pStyle w:val="NormalWeb"/>
              <w:jc w:val="center"/>
              <w:rPr>
                <w:rFonts w:ascii="Arial" w:hAnsi="Arial" w:cs="Arial"/>
                <w:sz w:val="22"/>
                <w:szCs w:val="22"/>
              </w:rPr>
            </w:pPr>
            <w:hyperlink r:id="rId28" w:anchor="10.b.31" w:history="1">
              <w:r w:rsidR="00AB3C93" w:rsidRPr="00F14587">
                <w:rPr>
                  <w:rStyle w:val="Lienhypertexte"/>
                  <w:rFonts w:ascii="Arial" w:eastAsia="SimSun" w:hAnsi="Arial" w:cs="Arial"/>
                  <w:sz w:val="22"/>
                  <w:szCs w:val="22"/>
                  <w:lang w:val="en-GB"/>
                </w:rPr>
                <w:t>01</w:t>
              </w:r>
              <w:r w:rsidR="00AB3C93">
                <w:rPr>
                  <w:rStyle w:val="Lienhypertexte"/>
                  <w:rFonts w:ascii="Arial" w:eastAsia="SimSun" w:hAnsi="Arial" w:cs="Arial"/>
                  <w:sz w:val="22"/>
                  <w:szCs w:val="22"/>
                  <w:lang w:val="en-GB"/>
                </w:rPr>
                <w:t>499</w:t>
              </w:r>
            </w:hyperlink>
          </w:p>
        </w:tc>
      </w:tr>
      <w:tr w:rsidR="00FA457C" w14:paraId="731FDA87" w14:textId="77777777" w:rsidTr="00651C38">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0E662763" w14:textId="77777777" w:rsidR="00FA457C" w:rsidRPr="006265F0" w:rsidRDefault="00FA457C" w:rsidP="00F00401">
            <w:pPr>
              <w:pStyle w:val="NormalWeb"/>
              <w:jc w:val="center"/>
              <w:rPr>
                <w:rFonts w:ascii="Arial" w:hAnsi="Arial" w:cs="Arial"/>
                <w:sz w:val="22"/>
                <w:szCs w:val="22"/>
              </w:rPr>
            </w:pP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0001BF4F" w14:textId="77777777" w:rsidR="00FA457C" w:rsidRPr="006265F0" w:rsidRDefault="00FA457C" w:rsidP="00F00401">
            <w:pPr>
              <w:pStyle w:val="NormalWeb"/>
              <w:jc w:val="center"/>
              <w:rPr>
                <w:rFonts w:ascii="Arial" w:hAnsi="Arial" w:cs="Arial"/>
                <w:sz w:val="22"/>
                <w:szCs w:val="22"/>
                <w:lang w:val="en-US"/>
              </w:rPr>
            </w:pP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E14F1F8" w14:textId="77777777" w:rsidR="00FA457C" w:rsidRPr="006265F0" w:rsidRDefault="00FA457C" w:rsidP="00F00401">
            <w:pPr>
              <w:pStyle w:val="NormalWeb"/>
              <w:rPr>
                <w:rFonts w:ascii="Arial" w:hAnsi="Arial" w:cs="Arial"/>
                <w:sz w:val="22"/>
                <w:szCs w:val="22"/>
                <w:lang w:val="en-US"/>
              </w:rPr>
            </w:pP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6493A0BE" w14:textId="77777777" w:rsidR="00FA457C" w:rsidRPr="006265F0" w:rsidRDefault="00FA457C" w:rsidP="00F00401">
            <w:pPr>
              <w:pStyle w:val="NormalWeb"/>
              <w:jc w:val="center"/>
              <w:rPr>
                <w:rFonts w:ascii="Arial" w:hAnsi="Arial" w:cs="Arial"/>
                <w:sz w:val="22"/>
                <w:szCs w:val="22"/>
              </w:rPr>
            </w:pP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0E8A8513" w14:textId="77777777" w:rsidR="00FA457C" w:rsidRDefault="00FA457C" w:rsidP="00F00401">
            <w:pPr>
              <w:pStyle w:val="NormalWeb"/>
              <w:jc w:val="center"/>
            </w:pPr>
          </w:p>
        </w:tc>
      </w:tr>
      <w:tr w:rsidR="00CB6AED" w:rsidRPr="00817F6D" w14:paraId="399BFB8C" w14:textId="77777777" w:rsidTr="00CB6AED">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2F9993A9" w14:textId="77777777" w:rsidR="00CB6AED" w:rsidRPr="008757B1" w:rsidRDefault="00CB6AED" w:rsidP="00F00401">
            <w:pPr>
              <w:pStyle w:val="compara0"/>
              <w:jc w:val="both"/>
              <w:rPr>
                <w:rFonts w:ascii="Arial" w:hAnsi="Arial" w:cs="Arial"/>
                <w:color w:val="000000"/>
                <w:sz w:val="22"/>
                <w:szCs w:val="22"/>
              </w:rPr>
            </w:pPr>
          </w:p>
          <w:p w14:paraId="57C2DE4B" w14:textId="10003F2A" w:rsidR="00CB6AED" w:rsidRDefault="009377AA" w:rsidP="00C6652F">
            <w:pPr>
              <w:pStyle w:val="NormalWeb"/>
              <w:jc w:val="center"/>
              <w:rPr>
                <w:rFonts w:ascii="Arial" w:hAnsi="Arial" w:cs="Arial"/>
                <w:color w:val="000000"/>
                <w:sz w:val="22"/>
                <w:szCs w:val="22"/>
              </w:rPr>
            </w:pPr>
            <w:hyperlink r:id="rId29" w:history="1">
              <w:r w:rsidR="00CB6AED" w:rsidRPr="00A64BED">
                <w:rPr>
                  <w:rStyle w:val="Lienhypertexte"/>
                  <w:rFonts w:ascii="Arial" w:hAnsi="Arial"/>
                  <w:sz w:val="22"/>
                  <w:szCs w:val="22"/>
                </w:rPr>
                <w:t xml:space="preserve">Question </w:t>
              </w:r>
              <w:r w:rsidR="00CB6AED" w:rsidRPr="00A64BED">
                <w:rPr>
                  <w:rStyle w:val="Lienhypertexte"/>
                  <w:rFonts w:ascii="Arial" w:hAnsi="Arial" w:cs="Arial"/>
                  <w:sz w:val="22"/>
                  <w:szCs w:val="22"/>
                </w:rPr>
                <w:t xml:space="preserve">et </w:t>
              </w:r>
              <w:r w:rsidR="00CB6AED" w:rsidRPr="00A64BED">
                <w:rPr>
                  <w:rStyle w:val="Lienhypertexte"/>
                  <w:rFonts w:ascii="Arial" w:hAnsi="Arial"/>
                  <w:sz w:val="22"/>
                  <w:szCs w:val="22"/>
                </w:rPr>
                <w:t>Réponse</w:t>
              </w:r>
            </w:hyperlink>
          </w:p>
          <w:p w14:paraId="2C7257B8" w14:textId="272529D7" w:rsidR="00CB6AED" w:rsidRPr="008757B1" w:rsidRDefault="00CB6AED" w:rsidP="00C6652F">
            <w:pPr>
              <w:pStyle w:val="NormalWeb"/>
              <w:jc w:val="center"/>
              <w:rPr>
                <w:rFonts w:ascii="Arial" w:hAnsi="Arial" w:cs="Arial"/>
                <w:color w:val="000000"/>
                <w:sz w:val="22"/>
                <w:szCs w:val="22"/>
              </w:rPr>
            </w:pPr>
          </w:p>
        </w:tc>
      </w:tr>
      <w:tr w:rsidR="00FA457C" w:rsidRPr="00231532" w14:paraId="21175F51" w14:textId="77777777" w:rsidTr="00651C38">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300DEB33" w14:textId="77777777" w:rsidR="00FA457C" w:rsidRPr="008757B1" w:rsidRDefault="00FA457C" w:rsidP="00F00401">
            <w:pPr>
              <w:pStyle w:val="compara0"/>
              <w:jc w:val="both"/>
              <w:rPr>
                <w:rFonts w:ascii="Arial" w:hAnsi="Arial" w:cs="Arial"/>
                <w:color w:val="000000"/>
                <w:sz w:val="22"/>
                <w:szCs w:val="22"/>
              </w:rPr>
            </w:pPr>
          </w:p>
          <w:p w14:paraId="2104C5FE" w14:textId="77777777" w:rsidR="00FA457C" w:rsidRPr="006F0C27" w:rsidRDefault="00FA457C" w:rsidP="00F00401">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4F2C592B" w14:textId="77777777" w:rsidR="00FA457C" w:rsidRPr="008757B1" w:rsidRDefault="00FA457C" w:rsidP="00F00401">
            <w:pPr>
              <w:pStyle w:val="compara0"/>
              <w:jc w:val="both"/>
              <w:rPr>
                <w:rFonts w:ascii="Arial" w:hAnsi="Arial" w:cs="Arial"/>
                <w:color w:val="000000"/>
                <w:sz w:val="22"/>
                <w:szCs w:val="22"/>
              </w:rPr>
            </w:pPr>
          </w:p>
          <w:p w14:paraId="7365B3CA" w14:textId="773F4703" w:rsidR="00FA457C" w:rsidRPr="00E954D9" w:rsidRDefault="00FA457C" w:rsidP="00F00401">
            <w:pPr>
              <w:pStyle w:val="compara0"/>
              <w:jc w:val="both"/>
              <w:rPr>
                <w:rFonts w:ascii="Arial" w:hAnsi="Arial" w:cs="Arial"/>
                <w:b/>
                <w:i/>
                <w:color w:val="000000"/>
                <w:sz w:val="22"/>
                <w:szCs w:val="22"/>
              </w:rPr>
            </w:pPr>
            <w:r>
              <w:rPr>
                <w:rFonts w:ascii="Arial" w:hAnsi="Arial"/>
                <w:b/>
                <w:i/>
                <w:color w:val="000000"/>
                <w:sz w:val="22"/>
                <w:szCs w:val="22"/>
              </w:rPr>
              <w:t xml:space="preserve">Prenant note des informations fournies par l’État soumissionnaire, l’Organe d’évaluation </w:t>
            </w:r>
            <w:r w:rsidR="00F27125">
              <w:rPr>
                <w:rFonts w:ascii="Arial" w:hAnsi="Arial"/>
                <w:b/>
                <w:i/>
                <w:color w:val="000000"/>
                <w:sz w:val="22"/>
                <w:szCs w:val="22"/>
              </w:rPr>
              <w:t>est d’avis</w:t>
            </w:r>
            <w:r>
              <w:rPr>
                <w:rFonts w:ascii="Arial" w:hAnsi="Arial"/>
                <w:b/>
                <w:i/>
                <w:color w:val="000000"/>
                <w:sz w:val="22"/>
                <w:szCs w:val="22"/>
              </w:rPr>
              <w:t xml:space="preserve"> que le critère concerné</w:t>
            </w:r>
            <w:r>
              <w:rPr>
                <w:rFonts w:ascii="Arial" w:hAnsi="Arial"/>
                <w:b/>
                <w:i/>
                <w:sz w:val="22"/>
                <w:szCs w:val="22"/>
              </w:rPr>
              <w:t xml:space="preserve"> </w:t>
            </w:r>
            <w:r w:rsidR="00CB6AED">
              <w:rPr>
                <w:rFonts w:ascii="Arial" w:hAnsi="Arial"/>
                <w:b/>
                <w:i/>
                <w:sz w:val="22"/>
                <w:szCs w:val="22"/>
              </w:rPr>
              <w:t xml:space="preserve">pourrait </w:t>
            </w:r>
            <w:r>
              <w:rPr>
                <w:rFonts w:ascii="Arial" w:hAnsi="Arial"/>
                <w:b/>
                <w:i/>
                <w:sz w:val="22"/>
                <w:szCs w:val="22"/>
              </w:rPr>
              <w:t>être considéré comme satisfait.</w:t>
            </w:r>
          </w:p>
          <w:p w14:paraId="04080A83" w14:textId="77777777" w:rsidR="00952270" w:rsidRPr="008757B1" w:rsidRDefault="00952270" w:rsidP="00952270">
            <w:pPr>
              <w:pStyle w:val="compara0"/>
              <w:jc w:val="both"/>
              <w:rPr>
                <w:rFonts w:ascii="Arial" w:hAnsi="Arial" w:cs="Arial"/>
                <w:sz w:val="22"/>
                <w:szCs w:val="22"/>
              </w:rPr>
            </w:pPr>
          </w:p>
          <w:p w14:paraId="641F724C" w14:textId="669F302D" w:rsidR="00952270" w:rsidRPr="00EB0C6F" w:rsidRDefault="00952270" w:rsidP="00952270">
            <w:pPr>
              <w:pStyle w:val="compara0"/>
              <w:jc w:val="both"/>
              <w:rPr>
                <w:rFonts w:ascii="Arial" w:hAnsi="Arial" w:cs="Arial"/>
                <w:i/>
                <w:sz w:val="22"/>
                <w:szCs w:val="22"/>
              </w:rPr>
            </w:pPr>
            <w:r>
              <w:rPr>
                <w:rFonts w:ascii="Arial" w:hAnsi="Arial"/>
                <w:i/>
                <w:sz w:val="22"/>
                <w:szCs w:val="22"/>
              </w:rPr>
              <w:t>Commentaires :</w:t>
            </w:r>
          </w:p>
          <w:p w14:paraId="35C3194F" w14:textId="7D830CA8" w:rsidR="008534EC" w:rsidRPr="00EB0C6F" w:rsidRDefault="008534EC" w:rsidP="0012761B">
            <w:pPr>
              <w:jc w:val="both"/>
              <w:rPr>
                <w:rFonts w:ascii="Arial" w:hAnsi="Arial" w:cs="Arial"/>
                <w:i/>
              </w:rPr>
            </w:pPr>
            <w:r>
              <w:rPr>
                <w:rFonts w:ascii="Arial" w:hAnsi="Arial"/>
                <w:i/>
              </w:rPr>
              <w:t xml:space="preserve">L’État partie a expliqué que la communauté </w:t>
            </w:r>
            <w:r w:rsidRPr="00EE6938">
              <w:rPr>
                <w:rFonts w:ascii="Arial" w:hAnsi="Arial"/>
                <w:i/>
              </w:rPr>
              <w:t xml:space="preserve">avait pris part au processus </w:t>
            </w:r>
            <w:r w:rsidRPr="00D8307B">
              <w:rPr>
                <w:rFonts w:ascii="Arial" w:hAnsi="Arial"/>
                <w:i/>
              </w:rPr>
              <w:t>pour explorer</w:t>
            </w:r>
            <w:r w:rsidRPr="003C4564">
              <w:rPr>
                <w:rFonts w:ascii="Arial" w:hAnsi="Arial"/>
                <w:i/>
              </w:rPr>
              <w:t xml:space="preserve"> </w:t>
            </w:r>
            <w:r w:rsidRPr="00D8307B">
              <w:rPr>
                <w:rFonts w:ascii="Arial" w:hAnsi="Arial"/>
                <w:i/>
              </w:rPr>
              <w:t>de</w:t>
            </w:r>
            <w:r w:rsidR="00EA4AD2" w:rsidRPr="00D8307B">
              <w:rPr>
                <w:rFonts w:ascii="Arial" w:hAnsi="Arial"/>
                <w:i/>
              </w:rPr>
              <w:t>s</w:t>
            </w:r>
            <w:r w:rsidRPr="00EE6938">
              <w:rPr>
                <w:rFonts w:ascii="Arial" w:hAnsi="Arial"/>
                <w:i/>
              </w:rPr>
              <w:t xml:space="preserve"> </w:t>
            </w:r>
            <w:r w:rsidR="00EA4AD2">
              <w:rPr>
                <w:rFonts w:ascii="Arial" w:hAnsi="Arial"/>
                <w:i/>
              </w:rPr>
              <w:t xml:space="preserve">moyens </w:t>
            </w:r>
            <w:r w:rsidR="00C30801">
              <w:rPr>
                <w:rFonts w:ascii="Arial" w:hAnsi="Arial"/>
                <w:i/>
              </w:rPr>
              <w:t>novat</w:t>
            </w:r>
            <w:r w:rsidR="00EA4AD2">
              <w:rPr>
                <w:rFonts w:ascii="Arial" w:hAnsi="Arial"/>
                <w:i/>
              </w:rPr>
              <w:t>eu</w:t>
            </w:r>
            <w:r w:rsidR="00C30801">
              <w:rPr>
                <w:rFonts w:ascii="Arial" w:hAnsi="Arial"/>
                <w:i/>
              </w:rPr>
              <w:t xml:space="preserve">rs </w:t>
            </w:r>
            <w:r>
              <w:rPr>
                <w:rFonts w:ascii="Arial" w:hAnsi="Arial"/>
                <w:i/>
              </w:rPr>
              <w:t>de sauvegarder l’élément et qu’elle avait participé au développement des mesures de sauvegarde proposées.</w:t>
            </w:r>
          </w:p>
          <w:p w14:paraId="1FAF3F2D" w14:textId="77777777" w:rsidR="00FA457C" w:rsidRPr="008757B1" w:rsidRDefault="00FA457C" w:rsidP="00F00401">
            <w:pPr>
              <w:pStyle w:val="compara0"/>
              <w:jc w:val="both"/>
              <w:rPr>
                <w:rFonts w:ascii="Arial" w:hAnsi="Arial" w:cs="Arial"/>
                <w:color w:val="000000"/>
                <w:sz w:val="22"/>
                <w:szCs w:val="22"/>
              </w:rPr>
            </w:pPr>
          </w:p>
        </w:tc>
      </w:tr>
    </w:tbl>
    <w:p w14:paraId="3D55BD2E" w14:textId="08A2C827" w:rsidR="00FA457C" w:rsidRDefault="00FA457C" w:rsidP="0012761B">
      <w:pPr>
        <w:pStyle w:val="compara0"/>
        <w:spacing w:after="200"/>
        <w:jc w:val="both"/>
        <w:rPr>
          <w:rFonts w:ascii="Calibri" w:hAnsi="Calibri"/>
          <w:color w:val="000000"/>
        </w:rPr>
      </w:pPr>
    </w:p>
    <w:tbl>
      <w:tblPr>
        <w:tblW w:w="4755" w:type="pct"/>
        <w:tblInd w:w="624" w:type="dxa"/>
        <w:tblLayout w:type="fixed"/>
        <w:tblCellMar>
          <w:left w:w="0" w:type="dxa"/>
          <w:right w:w="0" w:type="dxa"/>
        </w:tblCellMar>
        <w:tblLook w:val="04A0" w:firstRow="1" w:lastRow="0" w:firstColumn="1" w:lastColumn="0" w:noHBand="0" w:noVBand="1"/>
      </w:tblPr>
      <w:tblGrid>
        <w:gridCol w:w="1776"/>
        <w:gridCol w:w="1985"/>
        <w:gridCol w:w="2693"/>
        <w:gridCol w:w="1700"/>
        <w:gridCol w:w="993"/>
      </w:tblGrid>
      <w:tr w:rsidR="006833B1" w:rsidRPr="006265F0" w14:paraId="53B10790" w14:textId="77777777" w:rsidTr="00651C38">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hideMark/>
          </w:tcPr>
          <w:p w14:paraId="5FCAE65B" w14:textId="77777777" w:rsidR="006833B1" w:rsidRPr="006265F0" w:rsidRDefault="006833B1" w:rsidP="00F00401">
            <w:pPr>
              <w:pStyle w:val="NormalWeb"/>
              <w:jc w:val="center"/>
              <w:rPr>
                <w:rFonts w:ascii="Arial" w:hAnsi="Arial" w:cs="Arial"/>
                <w:sz w:val="22"/>
                <w:szCs w:val="22"/>
              </w:rPr>
            </w:pPr>
            <w:r>
              <w:rPr>
                <w:rFonts w:ascii="Calibri" w:hAnsi="Calibri"/>
              </w:rPr>
              <w:t> </w:t>
            </w:r>
            <w:r>
              <w:rPr>
                <w:rFonts w:ascii="Arial" w:hAnsi="Arial"/>
                <w:b/>
                <w:bCs/>
                <w:sz w:val="22"/>
                <w:szCs w:val="22"/>
              </w:rPr>
              <w:t xml:space="preserve">Projet </w:t>
            </w:r>
            <w:r>
              <w:rPr>
                <w:rFonts w:ascii="Arial" w:hAnsi="Arial"/>
                <w:b/>
                <w:bCs/>
                <w:sz w:val="22"/>
                <w:szCs w:val="22"/>
              </w:rPr>
              <w:br/>
              <w:t>de décision</w:t>
            </w: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5F4244D" w14:textId="27E613D6" w:rsidR="006833B1" w:rsidRPr="006265F0" w:rsidRDefault="006833B1" w:rsidP="00F00401">
            <w:pPr>
              <w:pStyle w:val="NormalWeb"/>
              <w:jc w:val="center"/>
              <w:rPr>
                <w:rFonts w:ascii="Arial" w:hAnsi="Arial" w:cs="Arial"/>
                <w:sz w:val="22"/>
                <w:szCs w:val="22"/>
              </w:rPr>
            </w:pPr>
            <w:r>
              <w:rPr>
                <w:rFonts w:ascii="Arial" w:hAnsi="Arial"/>
                <w:b/>
                <w:bCs/>
                <w:sz w:val="22"/>
                <w:szCs w:val="22"/>
              </w:rPr>
              <w:t>État</w:t>
            </w:r>
            <w:r w:rsidR="00651C38">
              <w:rPr>
                <w:rFonts w:ascii="Arial" w:hAnsi="Arial"/>
                <w:b/>
                <w:bCs/>
                <w:sz w:val="22"/>
                <w:szCs w:val="22"/>
              </w:rPr>
              <w:t xml:space="preserve"> </w:t>
            </w:r>
            <w:r>
              <w:rPr>
                <w:rFonts w:ascii="Arial" w:hAnsi="Arial"/>
                <w:b/>
                <w:bCs/>
                <w:sz w:val="22"/>
                <w:szCs w:val="22"/>
              </w:rPr>
              <w:t>soumissionnaire</w:t>
            </w: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02215F64" w14:textId="77777777" w:rsidR="006833B1" w:rsidRPr="006265F0" w:rsidRDefault="006833B1" w:rsidP="00F00401">
            <w:pPr>
              <w:pStyle w:val="NormalWeb"/>
              <w:jc w:val="center"/>
              <w:rPr>
                <w:rFonts w:ascii="Arial" w:hAnsi="Arial" w:cs="Arial"/>
                <w:sz w:val="22"/>
                <w:szCs w:val="22"/>
              </w:rPr>
            </w:pPr>
            <w:r>
              <w:rPr>
                <w:rFonts w:ascii="Arial" w:hAnsi="Arial"/>
                <w:b/>
                <w:bCs/>
                <w:sz w:val="22"/>
                <w:szCs w:val="22"/>
              </w:rPr>
              <w:t>Candidature</w:t>
            </w: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hideMark/>
          </w:tcPr>
          <w:p w14:paraId="55552265" w14:textId="77777777" w:rsidR="006833B1" w:rsidRPr="006265F0" w:rsidRDefault="006833B1" w:rsidP="00651C38">
            <w:pPr>
              <w:pStyle w:val="NormalWeb"/>
              <w:jc w:val="center"/>
              <w:rPr>
                <w:rFonts w:ascii="Arial" w:hAnsi="Arial" w:cs="Arial"/>
                <w:sz w:val="22"/>
                <w:szCs w:val="22"/>
              </w:rPr>
            </w:pPr>
            <w:r>
              <w:rPr>
                <w:rFonts w:ascii="Arial" w:hAnsi="Arial"/>
                <w:b/>
                <w:bCs/>
                <w:sz w:val="22"/>
                <w:szCs w:val="22"/>
              </w:rPr>
              <w:t>Liste</w:t>
            </w: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hideMark/>
          </w:tcPr>
          <w:p w14:paraId="3E1556D5" w14:textId="77777777" w:rsidR="006833B1" w:rsidRPr="006265F0" w:rsidRDefault="006833B1" w:rsidP="00F00401">
            <w:pPr>
              <w:pStyle w:val="NormalWeb"/>
              <w:jc w:val="center"/>
              <w:rPr>
                <w:rFonts w:ascii="Arial" w:hAnsi="Arial" w:cs="Arial"/>
                <w:sz w:val="22"/>
                <w:szCs w:val="22"/>
              </w:rPr>
            </w:pPr>
            <w:r>
              <w:rPr>
                <w:rFonts w:ascii="Arial" w:hAnsi="Arial"/>
                <w:b/>
                <w:bCs/>
                <w:sz w:val="22"/>
                <w:szCs w:val="22"/>
              </w:rPr>
              <w:t>Dossier n°</w:t>
            </w:r>
          </w:p>
        </w:tc>
      </w:tr>
      <w:tr w:rsidR="004520BA" w:rsidRPr="006265F0" w14:paraId="598561AC" w14:textId="77777777" w:rsidTr="00651C38">
        <w:tc>
          <w:tcPr>
            <w:tcW w:w="971"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97C0584" w14:textId="28133C43" w:rsidR="004520BA" w:rsidRPr="006265F0" w:rsidRDefault="004520BA" w:rsidP="004520BA">
            <w:pPr>
              <w:pStyle w:val="NormalWeb"/>
              <w:jc w:val="center"/>
              <w:rPr>
                <w:rFonts w:ascii="Arial" w:hAnsi="Arial" w:cs="Arial"/>
                <w:sz w:val="22"/>
                <w:szCs w:val="22"/>
              </w:rPr>
            </w:pPr>
            <w:r>
              <w:rPr>
                <w:rFonts w:ascii="Arial" w:hAnsi="Arial"/>
                <w:sz w:val="22"/>
                <w:szCs w:val="22"/>
              </w:rPr>
              <w:t>14.COM 10.b.37</w:t>
            </w:r>
          </w:p>
        </w:tc>
        <w:tc>
          <w:tcPr>
            <w:tcW w:w="1085"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35EC6981" w14:textId="44863EB2" w:rsidR="004520BA" w:rsidRPr="006265F0" w:rsidRDefault="004520BA" w:rsidP="004520BA">
            <w:pPr>
              <w:pStyle w:val="NormalWeb"/>
              <w:jc w:val="center"/>
              <w:rPr>
                <w:rFonts w:ascii="Arial" w:hAnsi="Arial" w:cs="Arial"/>
                <w:sz w:val="22"/>
                <w:szCs w:val="22"/>
              </w:rPr>
            </w:pPr>
            <w:r>
              <w:rPr>
                <w:rFonts w:ascii="Arial" w:hAnsi="Arial"/>
                <w:sz w:val="22"/>
                <w:szCs w:val="22"/>
              </w:rPr>
              <w:t>Thaïlande</w:t>
            </w:r>
          </w:p>
        </w:tc>
        <w:tc>
          <w:tcPr>
            <w:tcW w:w="147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9983774" w14:textId="029AB662" w:rsidR="004520BA" w:rsidRPr="006265F0" w:rsidRDefault="004520BA" w:rsidP="00CB673B">
            <w:pPr>
              <w:pStyle w:val="NormalWeb"/>
              <w:rPr>
                <w:rFonts w:ascii="Arial" w:hAnsi="Arial" w:cs="Arial"/>
                <w:sz w:val="22"/>
                <w:szCs w:val="22"/>
              </w:rPr>
            </w:pPr>
            <w:r>
              <w:rPr>
                <w:rFonts w:ascii="Arial" w:hAnsi="Arial"/>
                <w:sz w:val="22"/>
                <w:szCs w:val="22"/>
              </w:rPr>
              <w:t xml:space="preserve">Le </w:t>
            </w:r>
            <w:proofErr w:type="spellStart"/>
            <w:r>
              <w:rPr>
                <w:rFonts w:ascii="Arial" w:hAnsi="Arial"/>
                <w:sz w:val="22"/>
                <w:szCs w:val="22"/>
              </w:rPr>
              <w:t>nuad</w:t>
            </w:r>
            <w:proofErr w:type="spellEnd"/>
            <w:r>
              <w:rPr>
                <w:rFonts w:ascii="Arial" w:hAnsi="Arial"/>
                <w:sz w:val="22"/>
                <w:szCs w:val="22"/>
              </w:rPr>
              <w:t xml:space="preserve"> </w:t>
            </w:r>
            <w:proofErr w:type="spellStart"/>
            <w:r>
              <w:rPr>
                <w:rFonts w:ascii="Arial" w:hAnsi="Arial"/>
                <w:sz w:val="22"/>
                <w:szCs w:val="22"/>
              </w:rPr>
              <w:t>thai</w:t>
            </w:r>
            <w:proofErr w:type="spellEnd"/>
            <w:r>
              <w:rPr>
                <w:rFonts w:ascii="Arial" w:hAnsi="Arial"/>
                <w:sz w:val="22"/>
                <w:szCs w:val="22"/>
              </w:rPr>
              <w:t>, massage thaïlandais traditionnel</w:t>
            </w:r>
          </w:p>
        </w:tc>
        <w:tc>
          <w:tcPr>
            <w:tcW w:w="92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6F9442D1" w14:textId="11EAB52F" w:rsidR="004520BA" w:rsidRPr="006265F0" w:rsidRDefault="004520BA" w:rsidP="004520BA">
            <w:pPr>
              <w:pStyle w:val="NormalWeb"/>
              <w:jc w:val="center"/>
              <w:rPr>
                <w:rFonts w:ascii="Arial" w:hAnsi="Arial" w:cs="Arial"/>
                <w:sz w:val="22"/>
                <w:szCs w:val="22"/>
              </w:rPr>
            </w:pPr>
            <w:r>
              <w:rPr>
                <w:rFonts w:ascii="Arial" w:hAnsi="Arial"/>
                <w:sz w:val="22"/>
                <w:szCs w:val="22"/>
              </w:rPr>
              <w:t>Liste représentative</w:t>
            </w:r>
          </w:p>
        </w:tc>
        <w:tc>
          <w:tcPr>
            <w:tcW w:w="54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25D4386D" w14:textId="246BCBC9" w:rsidR="004520BA" w:rsidRPr="006265F0" w:rsidRDefault="009377AA" w:rsidP="004520BA">
            <w:pPr>
              <w:pStyle w:val="NormalWeb"/>
              <w:jc w:val="center"/>
              <w:rPr>
                <w:rFonts w:ascii="Arial" w:hAnsi="Arial" w:cs="Arial"/>
                <w:sz w:val="22"/>
                <w:szCs w:val="22"/>
              </w:rPr>
            </w:pPr>
            <w:hyperlink r:id="rId30" w:anchor="10.b.37" w:history="1">
              <w:r w:rsidR="00945DC8" w:rsidRPr="00F14587">
                <w:rPr>
                  <w:rStyle w:val="Lienhypertexte"/>
                  <w:rFonts w:ascii="Arial" w:eastAsia="SimSun" w:hAnsi="Arial" w:cs="Arial"/>
                  <w:sz w:val="22"/>
                  <w:szCs w:val="22"/>
                  <w:lang w:val="en-GB"/>
                </w:rPr>
                <w:t>01</w:t>
              </w:r>
              <w:r w:rsidR="00945DC8">
                <w:rPr>
                  <w:rStyle w:val="Lienhypertexte"/>
                  <w:rFonts w:ascii="Arial" w:eastAsia="SimSun" w:hAnsi="Arial" w:cs="Arial"/>
                  <w:sz w:val="22"/>
                  <w:szCs w:val="22"/>
                  <w:lang w:val="en-GB"/>
                </w:rPr>
                <w:t>384</w:t>
              </w:r>
            </w:hyperlink>
          </w:p>
        </w:tc>
      </w:tr>
      <w:tr w:rsidR="006833B1" w14:paraId="378A448A" w14:textId="77777777" w:rsidTr="00651C38">
        <w:tc>
          <w:tcPr>
            <w:tcW w:w="971" w:type="pct"/>
            <w:tcBorders>
              <w:top w:val="single" w:sz="8" w:space="0" w:color="auto"/>
              <w:left w:val="single" w:sz="8" w:space="0" w:color="auto"/>
              <w:bottom w:val="single" w:sz="8" w:space="0" w:color="auto"/>
              <w:right w:val="nil"/>
            </w:tcBorders>
            <w:shd w:val="clear" w:color="auto" w:fill="BFBFBF"/>
            <w:tcMar>
              <w:top w:w="0" w:type="dxa"/>
              <w:left w:w="57" w:type="dxa"/>
              <w:bottom w:w="0" w:type="dxa"/>
              <w:right w:w="57" w:type="dxa"/>
            </w:tcMar>
            <w:vAlign w:val="center"/>
          </w:tcPr>
          <w:p w14:paraId="6D00E68A" w14:textId="77777777" w:rsidR="006833B1" w:rsidRPr="006265F0" w:rsidRDefault="006833B1" w:rsidP="00F00401">
            <w:pPr>
              <w:pStyle w:val="NormalWeb"/>
              <w:jc w:val="center"/>
              <w:rPr>
                <w:rFonts w:ascii="Arial" w:hAnsi="Arial" w:cs="Arial"/>
                <w:sz w:val="22"/>
                <w:szCs w:val="22"/>
              </w:rPr>
            </w:pPr>
          </w:p>
        </w:tc>
        <w:tc>
          <w:tcPr>
            <w:tcW w:w="1085"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56991AEB" w14:textId="77777777" w:rsidR="006833B1" w:rsidRPr="006265F0" w:rsidRDefault="006833B1" w:rsidP="00F00401">
            <w:pPr>
              <w:pStyle w:val="NormalWeb"/>
              <w:jc w:val="center"/>
              <w:rPr>
                <w:rFonts w:ascii="Arial" w:hAnsi="Arial" w:cs="Arial"/>
                <w:sz w:val="22"/>
                <w:szCs w:val="22"/>
                <w:lang w:val="en-US"/>
              </w:rPr>
            </w:pPr>
          </w:p>
        </w:tc>
        <w:tc>
          <w:tcPr>
            <w:tcW w:w="1472" w:type="pct"/>
            <w:tcBorders>
              <w:top w:val="single" w:sz="8" w:space="0" w:color="auto"/>
              <w:left w:val="nil"/>
              <w:bottom w:val="single" w:sz="8" w:space="0" w:color="auto"/>
              <w:right w:val="nil"/>
            </w:tcBorders>
            <w:shd w:val="clear" w:color="auto" w:fill="BFBFBF"/>
            <w:tcMar>
              <w:top w:w="0" w:type="dxa"/>
              <w:left w:w="57" w:type="dxa"/>
              <w:bottom w:w="0" w:type="dxa"/>
              <w:right w:w="57" w:type="dxa"/>
            </w:tcMar>
            <w:vAlign w:val="center"/>
          </w:tcPr>
          <w:p w14:paraId="4AAA7AAB" w14:textId="77777777" w:rsidR="006833B1" w:rsidRPr="006265F0" w:rsidRDefault="006833B1" w:rsidP="00F00401">
            <w:pPr>
              <w:pStyle w:val="NormalWeb"/>
              <w:rPr>
                <w:rFonts w:ascii="Arial" w:hAnsi="Arial" w:cs="Arial"/>
                <w:sz w:val="22"/>
                <w:szCs w:val="22"/>
                <w:lang w:val="en-US"/>
              </w:rPr>
            </w:pPr>
          </w:p>
        </w:tc>
        <w:tc>
          <w:tcPr>
            <w:tcW w:w="929" w:type="pct"/>
            <w:tcBorders>
              <w:top w:val="single" w:sz="8" w:space="0" w:color="auto"/>
              <w:left w:val="nil"/>
              <w:bottom w:val="single" w:sz="8" w:space="0" w:color="auto"/>
              <w:right w:val="nil"/>
            </w:tcBorders>
            <w:shd w:val="clear" w:color="auto" w:fill="BFBFBF"/>
            <w:tcMar>
              <w:top w:w="0" w:type="dxa"/>
              <w:left w:w="57" w:type="dxa"/>
              <w:bottom w:w="0" w:type="dxa"/>
              <w:right w:w="57" w:type="dxa"/>
            </w:tcMar>
          </w:tcPr>
          <w:p w14:paraId="0930CF09" w14:textId="77777777" w:rsidR="006833B1" w:rsidRPr="006265F0" w:rsidRDefault="006833B1" w:rsidP="00F00401">
            <w:pPr>
              <w:pStyle w:val="NormalWeb"/>
              <w:jc w:val="center"/>
              <w:rPr>
                <w:rFonts w:ascii="Arial" w:hAnsi="Arial" w:cs="Arial"/>
                <w:sz w:val="22"/>
                <w:szCs w:val="22"/>
              </w:rPr>
            </w:pPr>
          </w:p>
        </w:tc>
        <w:tc>
          <w:tcPr>
            <w:tcW w:w="543" w:type="pct"/>
            <w:tcBorders>
              <w:top w:val="single" w:sz="8" w:space="0" w:color="auto"/>
              <w:left w:val="nil"/>
              <w:bottom w:val="single" w:sz="8" w:space="0" w:color="auto"/>
              <w:right w:val="single" w:sz="8" w:space="0" w:color="auto"/>
            </w:tcBorders>
            <w:shd w:val="clear" w:color="auto" w:fill="BFBFBF"/>
            <w:tcMar>
              <w:top w:w="0" w:type="dxa"/>
              <w:left w:w="57" w:type="dxa"/>
              <w:bottom w:w="0" w:type="dxa"/>
              <w:right w:w="57" w:type="dxa"/>
            </w:tcMar>
          </w:tcPr>
          <w:p w14:paraId="308348BD" w14:textId="77777777" w:rsidR="006833B1" w:rsidRDefault="006833B1" w:rsidP="00F00401">
            <w:pPr>
              <w:pStyle w:val="NormalWeb"/>
              <w:jc w:val="center"/>
            </w:pPr>
          </w:p>
        </w:tc>
      </w:tr>
      <w:tr w:rsidR="00CB6AED" w:rsidRPr="00817F6D" w14:paraId="077D3C67" w14:textId="77777777" w:rsidTr="00CB6AED">
        <w:trPr>
          <w:trHeight w:val="552"/>
        </w:trPr>
        <w:tc>
          <w:tcPr>
            <w:tcW w:w="5000" w:type="pct"/>
            <w:gridSpan w:val="5"/>
            <w:tcBorders>
              <w:top w:val="single" w:sz="8" w:space="0" w:color="auto"/>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60EA9F1E" w14:textId="77777777" w:rsidR="00CB6AED" w:rsidRPr="008757B1" w:rsidRDefault="00CB6AED" w:rsidP="00F00401">
            <w:pPr>
              <w:pStyle w:val="compara0"/>
              <w:jc w:val="both"/>
              <w:rPr>
                <w:rFonts w:ascii="Arial" w:hAnsi="Arial" w:cs="Arial"/>
                <w:color w:val="000000"/>
                <w:sz w:val="22"/>
                <w:szCs w:val="22"/>
              </w:rPr>
            </w:pPr>
          </w:p>
          <w:p w14:paraId="39DE7069" w14:textId="659EF36F" w:rsidR="00CB6AED" w:rsidRPr="002A446C" w:rsidRDefault="002A446C" w:rsidP="00C6652F">
            <w:pPr>
              <w:pStyle w:val="NormalWeb"/>
              <w:jc w:val="center"/>
              <w:rPr>
                <w:rStyle w:val="Lienhypertexte"/>
                <w:rFonts w:ascii="Arial" w:hAnsi="Arial" w:cs="Arial"/>
                <w:sz w:val="22"/>
                <w:szCs w:val="22"/>
              </w:rPr>
            </w:pPr>
            <w:r>
              <w:rPr>
                <w:rFonts w:ascii="Arial" w:hAnsi="Arial"/>
                <w:color w:val="000000"/>
                <w:sz w:val="22"/>
                <w:szCs w:val="22"/>
              </w:rPr>
              <w:fldChar w:fldCharType="begin"/>
            </w:r>
            <w:r>
              <w:rPr>
                <w:rFonts w:ascii="Arial" w:hAnsi="Arial"/>
                <w:color w:val="000000"/>
                <w:sz w:val="22"/>
                <w:szCs w:val="22"/>
              </w:rPr>
              <w:instrText xml:space="preserve"> HYPERLINK "https://ich.unesco.org/doc/download.php?versionID=55270" </w:instrText>
            </w:r>
            <w:r>
              <w:rPr>
                <w:rFonts w:ascii="Arial" w:hAnsi="Arial"/>
                <w:color w:val="000000"/>
                <w:sz w:val="22"/>
                <w:szCs w:val="22"/>
              </w:rPr>
              <w:fldChar w:fldCharType="separate"/>
            </w:r>
            <w:r w:rsidR="00CB6AED" w:rsidRPr="002A446C">
              <w:rPr>
                <w:rStyle w:val="Lienhypertexte"/>
                <w:rFonts w:ascii="Arial" w:hAnsi="Arial"/>
                <w:sz w:val="22"/>
                <w:szCs w:val="22"/>
              </w:rPr>
              <w:t xml:space="preserve">Question </w:t>
            </w:r>
            <w:r w:rsidR="00CB6AED" w:rsidRPr="002A446C">
              <w:rPr>
                <w:rStyle w:val="Lienhypertexte"/>
                <w:rFonts w:ascii="Arial" w:hAnsi="Arial" w:cs="Arial"/>
                <w:sz w:val="22"/>
                <w:szCs w:val="22"/>
              </w:rPr>
              <w:t xml:space="preserve">et </w:t>
            </w:r>
            <w:r w:rsidR="00CB6AED" w:rsidRPr="002A446C">
              <w:rPr>
                <w:rStyle w:val="Lienhypertexte"/>
                <w:rFonts w:ascii="Arial" w:hAnsi="Arial"/>
                <w:sz w:val="22"/>
                <w:szCs w:val="22"/>
              </w:rPr>
              <w:t>Réponse</w:t>
            </w:r>
          </w:p>
          <w:p w14:paraId="1DC0C61E" w14:textId="534F16EA" w:rsidR="00CB6AED" w:rsidRPr="008757B1" w:rsidRDefault="002A446C" w:rsidP="00C6652F">
            <w:pPr>
              <w:pStyle w:val="NormalWeb"/>
              <w:jc w:val="center"/>
              <w:rPr>
                <w:rFonts w:ascii="Arial" w:hAnsi="Arial" w:cs="Arial"/>
                <w:color w:val="000000"/>
                <w:sz w:val="22"/>
                <w:szCs w:val="22"/>
              </w:rPr>
            </w:pPr>
            <w:r>
              <w:rPr>
                <w:rFonts w:ascii="Arial" w:hAnsi="Arial"/>
                <w:color w:val="000000"/>
                <w:sz w:val="22"/>
                <w:szCs w:val="22"/>
              </w:rPr>
              <w:fldChar w:fldCharType="end"/>
            </w:r>
          </w:p>
        </w:tc>
      </w:tr>
      <w:tr w:rsidR="006833B1" w:rsidRPr="00231532" w14:paraId="3389EB64" w14:textId="77777777" w:rsidTr="00651C38">
        <w:trPr>
          <w:trHeight w:val="885"/>
        </w:trPr>
        <w:tc>
          <w:tcPr>
            <w:tcW w:w="2056" w:type="pct"/>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57" w:type="dxa"/>
              <w:bottom w:w="0" w:type="dxa"/>
              <w:right w:w="57" w:type="dxa"/>
            </w:tcMar>
          </w:tcPr>
          <w:p w14:paraId="6A82E42D" w14:textId="77777777" w:rsidR="006833B1" w:rsidRPr="008757B1" w:rsidRDefault="006833B1" w:rsidP="00F00401">
            <w:pPr>
              <w:pStyle w:val="compara0"/>
              <w:jc w:val="both"/>
              <w:rPr>
                <w:rFonts w:ascii="Arial" w:hAnsi="Arial" w:cs="Arial"/>
                <w:color w:val="000000"/>
                <w:sz w:val="22"/>
                <w:szCs w:val="22"/>
              </w:rPr>
            </w:pPr>
          </w:p>
          <w:p w14:paraId="3A788B5C" w14:textId="77777777" w:rsidR="006833B1" w:rsidRPr="006F0C27" w:rsidRDefault="006833B1" w:rsidP="00F00401">
            <w:pPr>
              <w:pStyle w:val="compara0"/>
              <w:jc w:val="center"/>
              <w:rPr>
                <w:rFonts w:ascii="Arial" w:hAnsi="Arial" w:cs="Arial"/>
                <w:b/>
                <w:color w:val="000000"/>
                <w:sz w:val="22"/>
                <w:szCs w:val="22"/>
              </w:rPr>
            </w:pPr>
            <w:r>
              <w:rPr>
                <w:rFonts w:ascii="Arial" w:hAnsi="Arial"/>
                <w:b/>
                <w:color w:val="000000"/>
                <w:sz w:val="22"/>
                <w:szCs w:val="22"/>
              </w:rPr>
              <w:t>Avis de l’Organe d'évaluation</w:t>
            </w:r>
          </w:p>
        </w:tc>
        <w:tc>
          <w:tcPr>
            <w:tcW w:w="2944" w:type="pct"/>
            <w:gridSpan w:val="3"/>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tcPr>
          <w:p w14:paraId="3D87094F" w14:textId="77777777" w:rsidR="006833B1" w:rsidRPr="008757B1" w:rsidRDefault="006833B1" w:rsidP="00F00401">
            <w:pPr>
              <w:pStyle w:val="compara0"/>
              <w:jc w:val="both"/>
              <w:rPr>
                <w:rFonts w:ascii="Arial" w:hAnsi="Arial" w:cs="Arial"/>
                <w:color w:val="000000"/>
                <w:sz w:val="22"/>
                <w:szCs w:val="22"/>
              </w:rPr>
            </w:pPr>
          </w:p>
          <w:p w14:paraId="007D0115" w14:textId="1CBB9AAD" w:rsidR="006833B1" w:rsidRPr="00E954D9" w:rsidRDefault="006833B1" w:rsidP="00F00401">
            <w:pPr>
              <w:pStyle w:val="compara0"/>
              <w:jc w:val="both"/>
              <w:rPr>
                <w:rFonts w:ascii="Arial" w:hAnsi="Arial" w:cs="Arial"/>
                <w:b/>
                <w:i/>
                <w:color w:val="000000"/>
                <w:sz w:val="22"/>
                <w:szCs w:val="22"/>
              </w:rPr>
            </w:pPr>
            <w:r>
              <w:rPr>
                <w:rFonts w:ascii="Arial" w:hAnsi="Arial"/>
                <w:b/>
                <w:i/>
                <w:color w:val="000000"/>
                <w:sz w:val="22"/>
                <w:szCs w:val="22"/>
              </w:rPr>
              <w:t xml:space="preserve">Prenant note des informations fournies par l’État soumissionnaire, l’Organe d’évaluation </w:t>
            </w:r>
            <w:r w:rsidR="00145F29">
              <w:rPr>
                <w:rFonts w:ascii="Arial" w:hAnsi="Arial"/>
                <w:b/>
                <w:i/>
                <w:color w:val="000000"/>
                <w:sz w:val="22"/>
                <w:szCs w:val="22"/>
              </w:rPr>
              <w:t xml:space="preserve">est d’avis </w:t>
            </w:r>
            <w:r>
              <w:rPr>
                <w:rFonts w:ascii="Arial" w:hAnsi="Arial"/>
                <w:b/>
                <w:i/>
                <w:color w:val="000000"/>
                <w:sz w:val="22"/>
                <w:szCs w:val="22"/>
              </w:rPr>
              <w:t>que le critère concerné</w:t>
            </w:r>
            <w:r>
              <w:rPr>
                <w:rFonts w:ascii="Arial" w:hAnsi="Arial"/>
                <w:b/>
                <w:i/>
                <w:sz w:val="22"/>
                <w:szCs w:val="22"/>
              </w:rPr>
              <w:t xml:space="preserve"> </w:t>
            </w:r>
            <w:r w:rsidR="00CB6AED">
              <w:rPr>
                <w:rFonts w:ascii="Arial" w:hAnsi="Arial"/>
                <w:b/>
                <w:i/>
                <w:sz w:val="22"/>
                <w:szCs w:val="22"/>
              </w:rPr>
              <w:t xml:space="preserve">pourrait </w:t>
            </w:r>
            <w:r>
              <w:rPr>
                <w:rFonts w:ascii="Arial" w:hAnsi="Arial"/>
                <w:b/>
                <w:i/>
                <w:sz w:val="22"/>
                <w:szCs w:val="22"/>
              </w:rPr>
              <w:t>être considéré comme satisfait.</w:t>
            </w:r>
          </w:p>
          <w:p w14:paraId="5AD0143A" w14:textId="77777777" w:rsidR="00804D10" w:rsidRPr="008757B1" w:rsidRDefault="00804D10" w:rsidP="00804D10">
            <w:pPr>
              <w:pStyle w:val="compara0"/>
              <w:jc w:val="both"/>
              <w:rPr>
                <w:rFonts w:ascii="Arial" w:hAnsi="Arial" w:cs="Arial"/>
                <w:sz w:val="22"/>
                <w:szCs w:val="22"/>
              </w:rPr>
            </w:pPr>
          </w:p>
          <w:p w14:paraId="7BA4D666" w14:textId="77777777" w:rsidR="00804D10" w:rsidRPr="00EB0C6F" w:rsidRDefault="00804D10" w:rsidP="00804D10">
            <w:pPr>
              <w:pStyle w:val="compara0"/>
              <w:jc w:val="both"/>
              <w:rPr>
                <w:rFonts w:ascii="Arial" w:hAnsi="Arial" w:cs="Arial"/>
                <w:i/>
                <w:sz w:val="22"/>
                <w:szCs w:val="22"/>
              </w:rPr>
            </w:pPr>
            <w:r>
              <w:rPr>
                <w:rFonts w:ascii="Arial" w:hAnsi="Arial"/>
                <w:i/>
                <w:sz w:val="22"/>
                <w:szCs w:val="22"/>
              </w:rPr>
              <w:t>Commentaires :</w:t>
            </w:r>
          </w:p>
          <w:p w14:paraId="569F2CE3" w14:textId="58D6E514" w:rsidR="006833B1" w:rsidRPr="008757B1" w:rsidRDefault="00BD2267" w:rsidP="0012761B">
            <w:pPr>
              <w:jc w:val="both"/>
              <w:rPr>
                <w:rFonts w:ascii="Arial" w:hAnsi="Arial" w:cs="Arial"/>
                <w:color w:val="000000"/>
                <w:szCs w:val="22"/>
              </w:rPr>
            </w:pPr>
            <w:r>
              <w:rPr>
                <w:rFonts w:ascii="Arial" w:hAnsi="Arial"/>
                <w:i/>
              </w:rPr>
              <w:t xml:space="preserve">L'État partie a démontré que les mesures de sauvegarde proposées garantiront la transmission de l’élément aux niveaux institutionnel et non institutionnel et encourageront la communauté locale à sauvegarder </w:t>
            </w:r>
            <w:r w:rsidRPr="00A340D4">
              <w:rPr>
                <w:rFonts w:ascii="Arial" w:hAnsi="Arial"/>
                <w:i/>
              </w:rPr>
              <w:t>les savoirs associés.</w:t>
            </w:r>
          </w:p>
        </w:tc>
      </w:tr>
    </w:tbl>
    <w:p w14:paraId="3283CE24" w14:textId="77777777" w:rsidR="008706F6" w:rsidRPr="00737453" w:rsidRDefault="008706F6" w:rsidP="008706F6">
      <w:pPr>
        <w:spacing w:after="40"/>
        <w:jc w:val="right"/>
        <w:rPr>
          <w:rFonts w:ascii="Arial Black" w:hAnsi="Arial Black"/>
          <w:b/>
          <w:u w:val="single"/>
        </w:rPr>
      </w:pPr>
      <w:r w:rsidRPr="00737453">
        <w:rPr>
          <w:rFonts w:ascii="Arial Black" w:hAnsi="Arial Black"/>
          <w:b/>
          <w:u w:val="single"/>
        </w:rPr>
        <w:lastRenderedPageBreak/>
        <w:t>ANNEX</w:t>
      </w:r>
      <w:r>
        <w:rPr>
          <w:rFonts w:ascii="Arial Black" w:hAnsi="Arial Black"/>
          <w:b/>
          <w:u w:val="single"/>
        </w:rPr>
        <w:t>E</w:t>
      </w:r>
    </w:p>
    <w:p w14:paraId="0588143F" w14:textId="70EB1740" w:rsidR="008706F6" w:rsidRPr="00C320E3" w:rsidRDefault="008706F6" w:rsidP="008706F6">
      <w:pPr>
        <w:spacing w:after="40"/>
        <w:jc w:val="right"/>
        <w:rPr>
          <w:rFonts w:ascii="Arial Black" w:hAnsi="Arial Black"/>
          <w:b/>
        </w:rPr>
      </w:pPr>
      <w:r w:rsidRPr="00C320E3">
        <w:rPr>
          <w:rFonts w:ascii="Arial Black" w:hAnsi="Arial Black"/>
          <w:b/>
        </w:rPr>
        <w:t>Dialogue en amont</w:t>
      </w:r>
      <w:r w:rsidRPr="00C320E3">
        <w:t xml:space="preserve"> </w:t>
      </w:r>
      <w:r w:rsidR="00E575F0" w:rsidRPr="00C320E3">
        <w:rPr>
          <w:rFonts w:ascii="Arial Black" w:hAnsi="Arial Black"/>
          <w:b/>
        </w:rPr>
        <w:t>provisoire</w:t>
      </w:r>
      <w:r w:rsidRPr="00C320E3">
        <w:br/>
      </w:r>
      <w:r>
        <w:rPr>
          <w:rFonts w:ascii="Arial Black" w:hAnsi="Arial Black"/>
          <w:b/>
        </w:rPr>
        <w:t>concernant les candidatures qui seront examinées en 2019</w:t>
      </w:r>
    </w:p>
    <w:p w14:paraId="507D6E35" w14:textId="77777777" w:rsidR="008706F6" w:rsidRDefault="008706F6" w:rsidP="008706F6">
      <w:pPr>
        <w:spacing w:after="40"/>
        <w:jc w:val="right"/>
        <w:rPr>
          <w:rFonts w:ascii="Arial" w:hAnsi="Arial" w:cs="Arial"/>
          <w:b/>
          <w:spacing w:val="-2"/>
          <w:sz w:val="20"/>
          <w:szCs w:val="20"/>
        </w:rPr>
      </w:pPr>
      <w:r w:rsidRPr="00CA775B">
        <w:rPr>
          <w:rFonts w:ascii="Arial" w:hAnsi="Arial" w:cs="Arial"/>
          <w:b/>
          <w:spacing w:val="-2"/>
          <w:sz w:val="20"/>
          <w:szCs w:val="20"/>
        </w:rPr>
        <w:t>Session d</w:t>
      </w:r>
      <w:r>
        <w:rPr>
          <w:rFonts w:ascii="Arial" w:hAnsi="Arial" w:cs="Arial"/>
          <w:b/>
          <w:spacing w:val="-2"/>
          <w:sz w:val="20"/>
          <w:szCs w:val="20"/>
        </w:rPr>
        <w:t>’</w:t>
      </w:r>
      <w:r w:rsidRPr="00CA775B">
        <w:rPr>
          <w:rFonts w:ascii="Arial" w:hAnsi="Arial" w:cs="Arial"/>
          <w:b/>
          <w:spacing w:val="-2"/>
          <w:sz w:val="20"/>
          <w:szCs w:val="20"/>
        </w:rPr>
        <w:t>information et d</w:t>
      </w:r>
      <w:r>
        <w:rPr>
          <w:rFonts w:ascii="Arial" w:hAnsi="Arial" w:cs="Arial"/>
          <w:b/>
          <w:spacing w:val="-2"/>
          <w:sz w:val="20"/>
          <w:szCs w:val="20"/>
        </w:rPr>
        <w:t>’</w:t>
      </w:r>
      <w:r w:rsidRPr="00CA775B">
        <w:rPr>
          <w:rFonts w:ascii="Arial" w:hAnsi="Arial" w:cs="Arial"/>
          <w:b/>
          <w:spacing w:val="-2"/>
          <w:sz w:val="20"/>
          <w:szCs w:val="20"/>
        </w:rPr>
        <w:t>échange</w:t>
      </w:r>
    </w:p>
    <w:p w14:paraId="76F9BF5E" w14:textId="6429995D" w:rsidR="008706F6" w:rsidRDefault="008706F6" w:rsidP="008706F6">
      <w:pPr>
        <w:spacing w:after="40"/>
        <w:jc w:val="right"/>
        <w:rPr>
          <w:rFonts w:ascii="Arial" w:hAnsi="Arial" w:cs="Arial"/>
          <w:b/>
          <w:color w:val="000000"/>
          <w:sz w:val="20"/>
          <w:szCs w:val="20"/>
        </w:rPr>
      </w:pPr>
      <w:r w:rsidRPr="00C320E3">
        <w:rPr>
          <w:rFonts w:ascii="Arial" w:hAnsi="Arial" w:cs="Arial"/>
          <w:b/>
          <w:color w:val="000000"/>
          <w:sz w:val="20"/>
          <w:szCs w:val="20"/>
        </w:rPr>
        <w:t>Siège de l</w:t>
      </w:r>
      <w:r>
        <w:rPr>
          <w:rFonts w:ascii="Arial" w:hAnsi="Arial" w:cs="Arial"/>
          <w:b/>
          <w:color w:val="000000"/>
          <w:sz w:val="20"/>
          <w:szCs w:val="20"/>
        </w:rPr>
        <w:t>’</w:t>
      </w:r>
      <w:r w:rsidRPr="00C320E3">
        <w:rPr>
          <w:rFonts w:ascii="Arial" w:hAnsi="Arial" w:cs="Arial"/>
          <w:b/>
          <w:color w:val="000000"/>
          <w:sz w:val="20"/>
          <w:szCs w:val="20"/>
        </w:rPr>
        <w:t xml:space="preserve">UNESCO, </w:t>
      </w:r>
      <w:r w:rsidR="00901827">
        <w:rPr>
          <w:rFonts w:ascii="Arial" w:hAnsi="Arial" w:cs="Arial"/>
          <w:b/>
          <w:color w:val="000000"/>
          <w:sz w:val="20"/>
          <w:szCs w:val="20"/>
        </w:rPr>
        <w:t xml:space="preserve">Paris, </w:t>
      </w:r>
      <w:r w:rsidRPr="00C320E3">
        <w:rPr>
          <w:rFonts w:ascii="Arial" w:hAnsi="Arial" w:cs="Arial"/>
          <w:b/>
          <w:color w:val="000000"/>
          <w:sz w:val="20"/>
          <w:szCs w:val="20"/>
        </w:rPr>
        <w:t>1</w:t>
      </w:r>
      <w:r w:rsidR="00901827" w:rsidRPr="00CA1B86">
        <w:rPr>
          <w:rFonts w:ascii="Arial" w:hAnsi="Arial" w:cs="Arial"/>
          <w:b/>
          <w:color w:val="000000"/>
          <w:sz w:val="20"/>
          <w:szCs w:val="20"/>
          <w:vertAlign w:val="superscript"/>
        </w:rPr>
        <w:t>er</w:t>
      </w:r>
      <w:r w:rsidR="00901827">
        <w:rPr>
          <w:rFonts w:ascii="Arial" w:hAnsi="Arial" w:cs="Arial"/>
          <w:b/>
          <w:color w:val="000000"/>
          <w:sz w:val="20"/>
          <w:szCs w:val="20"/>
        </w:rPr>
        <w:t xml:space="preserve"> </w:t>
      </w:r>
      <w:r>
        <w:rPr>
          <w:rFonts w:ascii="Arial" w:hAnsi="Arial" w:cs="Arial"/>
          <w:b/>
          <w:color w:val="000000"/>
          <w:sz w:val="20"/>
          <w:szCs w:val="20"/>
        </w:rPr>
        <w:t>mars</w:t>
      </w:r>
      <w:r w:rsidRPr="00C320E3">
        <w:rPr>
          <w:rFonts w:ascii="Arial" w:hAnsi="Arial" w:cs="Arial"/>
          <w:b/>
          <w:color w:val="000000"/>
          <w:sz w:val="20"/>
          <w:szCs w:val="20"/>
        </w:rPr>
        <w:t xml:space="preserve"> 2019</w:t>
      </w:r>
    </w:p>
    <w:p w14:paraId="12443FB5" w14:textId="77777777" w:rsidR="008706F6" w:rsidRPr="00C320E3" w:rsidRDefault="008706F6" w:rsidP="008706F6">
      <w:pPr>
        <w:spacing w:after="40"/>
        <w:rPr>
          <w:rFonts w:ascii="Arial" w:hAnsi="Arial" w:cs="Arial"/>
          <w:b/>
          <w:color w:val="000000"/>
          <w:sz w:val="20"/>
          <w:szCs w:val="20"/>
        </w:rPr>
      </w:pPr>
    </w:p>
    <w:p w14:paraId="479C442C"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2F5496"/>
        <w:spacing w:after="160"/>
        <w:rPr>
          <w:rFonts w:ascii="Arial" w:hAnsi="Arial" w:cs="Arial"/>
          <w:b/>
          <w:caps/>
          <w:color w:val="FFFFFF"/>
          <w:sz w:val="18"/>
          <w:szCs w:val="18"/>
        </w:rPr>
      </w:pPr>
      <w:r w:rsidRPr="008706F6">
        <w:rPr>
          <w:rFonts w:ascii="Arial" w:hAnsi="Arial" w:cs="Arial"/>
          <w:b/>
          <w:caps/>
          <w:color w:val="FFFFFF"/>
          <w:sz w:val="18"/>
          <w:szCs w:val="18"/>
        </w:rPr>
        <w:t>CONTEXTE</w:t>
      </w:r>
    </w:p>
    <w:p w14:paraId="50F02898"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z w:val="18"/>
          <w:szCs w:val="18"/>
        </w:rPr>
      </w:pPr>
      <w:r w:rsidRPr="008706F6">
        <w:rPr>
          <w:rFonts w:ascii="Arial" w:hAnsi="Arial" w:cs="Arial"/>
          <w:b/>
          <w:sz w:val="18"/>
          <w:szCs w:val="18"/>
          <w:u w:val="single"/>
        </w:rPr>
        <w:t>Décision 11.COM 10</w:t>
      </w:r>
      <w:r w:rsidRPr="008706F6">
        <w:rPr>
          <w:rFonts w:ascii="Arial" w:hAnsi="Arial" w:cs="Arial"/>
          <w:bCs/>
          <w:sz w:val="18"/>
          <w:szCs w:val="18"/>
        </w:rPr>
        <w:t> :</w:t>
      </w:r>
      <w:r w:rsidRPr="008706F6">
        <w:rPr>
          <w:rFonts w:ascii="Arial" w:hAnsi="Arial" w:cs="Arial"/>
          <w:sz w:val="18"/>
          <w:szCs w:val="18"/>
        </w:rPr>
        <w:t xml:space="preserve"> le Comité a établi un groupe de travail informel ad hoc à composition non limitée pour examiner, entre autres, les questions relatives à la consultation et au dialogue entre l’Organe d’évaluation et les États soumissionnaires.</w:t>
      </w:r>
    </w:p>
    <w:p w14:paraId="28523C8A" w14:textId="744798C3"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napToGrid w:val="0"/>
          <w:sz w:val="18"/>
          <w:szCs w:val="18"/>
          <w:lang w:eastAsia="en-US"/>
        </w:rPr>
      </w:pPr>
      <w:r w:rsidRPr="008706F6">
        <w:rPr>
          <w:rFonts w:ascii="Arial" w:hAnsi="Arial" w:cs="Arial"/>
          <w:b/>
          <w:snapToGrid w:val="0"/>
          <w:sz w:val="18"/>
          <w:szCs w:val="18"/>
          <w:u w:val="single"/>
          <w:lang w:eastAsia="en-US"/>
        </w:rPr>
        <w:t>Résolution 7.GA 6</w:t>
      </w:r>
      <w:r w:rsidRPr="008706F6">
        <w:rPr>
          <w:rFonts w:ascii="Arial" w:hAnsi="Arial" w:cs="Arial"/>
          <w:bCs/>
          <w:snapToGrid w:val="0"/>
          <w:sz w:val="18"/>
          <w:szCs w:val="18"/>
          <w:lang w:eastAsia="en-US"/>
        </w:rPr>
        <w:t> </w:t>
      </w:r>
      <w:r w:rsidRPr="008706F6">
        <w:rPr>
          <w:rFonts w:ascii="Arial" w:hAnsi="Arial" w:cs="Arial"/>
          <w:snapToGrid w:val="0"/>
          <w:sz w:val="18"/>
          <w:szCs w:val="18"/>
          <w:lang w:eastAsia="en-US"/>
        </w:rPr>
        <w:t xml:space="preserve">: </w:t>
      </w:r>
      <w:r w:rsidRPr="00E20F2B">
        <w:rPr>
          <w:rFonts w:ascii="Arial" w:hAnsi="Arial" w:cs="Arial"/>
          <w:snapToGrid w:val="0"/>
          <w:sz w:val="18"/>
          <w:szCs w:val="18"/>
          <w:lang w:eastAsia="en-US"/>
        </w:rPr>
        <w:t>l’Assemblée générale a reconnu l’importance du dialogue pour améliorer le processus d’évaluation et la nécessité de développer</w:t>
      </w:r>
      <w:r w:rsidR="00264A89" w:rsidRPr="00E20F2B">
        <w:rPr>
          <w:rFonts w:ascii="Arial" w:hAnsi="Arial" w:cs="Arial"/>
          <w:snapToGrid w:val="0"/>
          <w:sz w:val="18"/>
          <w:szCs w:val="18"/>
          <w:lang w:eastAsia="en-US"/>
        </w:rPr>
        <w:t>,</w:t>
      </w:r>
      <w:r w:rsidRPr="00E20F2B">
        <w:rPr>
          <w:rFonts w:ascii="Arial" w:hAnsi="Arial" w:cs="Arial"/>
          <w:snapToGrid w:val="0"/>
          <w:sz w:val="18"/>
          <w:szCs w:val="18"/>
          <w:lang w:eastAsia="en-US"/>
        </w:rPr>
        <w:t xml:space="preserve"> </w:t>
      </w:r>
      <w:r w:rsidR="00264A89" w:rsidRPr="00E20F2B">
        <w:rPr>
          <w:rFonts w:ascii="Arial" w:hAnsi="Arial" w:cs="Arial"/>
          <w:snapToGrid w:val="0"/>
          <w:sz w:val="18"/>
          <w:szCs w:val="18"/>
          <w:lang w:eastAsia="en-US"/>
        </w:rPr>
        <w:t xml:space="preserve">en consultation avec l’Organe d’évaluation, </w:t>
      </w:r>
      <w:r w:rsidRPr="00E20F2B">
        <w:rPr>
          <w:rFonts w:ascii="Arial" w:hAnsi="Arial" w:cs="Arial"/>
          <w:snapToGrid w:val="0"/>
          <w:sz w:val="18"/>
          <w:szCs w:val="18"/>
          <w:lang w:eastAsia="en-US"/>
        </w:rPr>
        <w:t>un mécanisme approprié pour renforcer la transparence et la crédibilité.</w:t>
      </w:r>
    </w:p>
    <w:p w14:paraId="75E9547E" w14:textId="77777777" w:rsidR="008706F6" w:rsidRPr="008706F6" w:rsidRDefault="009377AA" w:rsidP="008706F6">
      <w:pPr>
        <w:pBdr>
          <w:top w:val="single" w:sz="4" w:space="1" w:color="auto"/>
          <w:left w:val="single" w:sz="4" w:space="4" w:color="auto"/>
          <w:bottom w:val="single" w:sz="4" w:space="1" w:color="auto"/>
          <w:right w:val="single" w:sz="4" w:space="4" w:color="auto"/>
        </w:pBdr>
        <w:shd w:val="clear" w:color="auto" w:fill="D9E2F3"/>
        <w:spacing w:before="120"/>
        <w:jc w:val="both"/>
        <w:rPr>
          <w:rFonts w:ascii="Arial" w:hAnsi="Arial" w:cs="Arial"/>
          <w:sz w:val="18"/>
          <w:szCs w:val="18"/>
        </w:rPr>
      </w:pPr>
      <w:hyperlink r:id="rId31" w:history="1">
        <w:r w:rsidR="008706F6" w:rsidRPr="008706F6">
          <w:rPr>
            <w:rFonts w:ascii="Arial" w:hAnsi="Arial" w:cs="Arial"/>
            <w:b/>
            <w:sz w:val="18"/>
            <w:szCs w:val="18"/>
            <w:u w:val="single"/>
          </w:rPr>
          <w:t>Décision 12.COM 13</w:t>
        </w:r>
      </w:hyperlink>
      <w:r w:rsidR="008706F6" w:rsidRPr="008706F6">
        <w:rPr>
          <w:rFonts w:ascii="Arial" w:hAnsi="Arial" w:cs="Arial"/>
          <w:bCs/>
          <w:sz w:val="18"/>
          <w:szCs w:val="18"/>
        </w:rPr>
        <w:t> </w:t>
      </w:r>
      <w:r w:rsidR="008706F6" w:rsidRPr="008706F6">
        <w:rPr>
          <w:rFonts w:ascii="Arial" w:hAnsi="Arial" w:cs="Arial"/>
          <w:sz w:val="18"/>
          <w:szCs w:val="18"/>
        </w:rPr>
        <w:t>: le Comité a pris note de l’avis de l’Organe d’évaluation préconisant de donner du temps, au moins jusqu’à la fin du cycle 2019, pour que certains ajustements introduits dans le processus d’évaluation prennent effet, avant d’envisager l’établissement d’un processus formel de « dialogue » et a décidé de reprendre ce débat à sa quatorzième session.</w:t>
      </w:r>
    </w:p>
    <w:p w14:paraId="135B683A" w14:textId="3C49B0DE"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sz w:val="18"/>
          <w:szCs w:val="18"/>
        </w:rPr>
      </w:pPr>
      <w:r w:rsidRPr="008706F6">
        <w:rPr>
          <w:rFonts w:ascii="Arial" w:hAnsi="Arial" w:cs="Arial"/>
          <w:b/>
          <w:sz w:val="18"/>
          <w:szCs w:val="18"/>
          <w:u w:val="single"/>
        </w:rPr>
        <w:t>13.COM</w:t>
      </w:r>
      <w:r w:rsidRPr="008706F6">
        <w:rPr>
          <w:rFonts w:ascii="Arial" w:hAnsi="Arial" w:cs="Arial"/>
          <w:bCs/>
          <w:sz w:val="18"/>
          <w:szCs w:val="18"/>
        </w:rPr>
        <w:t> :</w:t>
      </w:r>
      <w:r w:rsidRPr="008706F6">
        <w:rPr>
          <w:rFonts w:ascii="Arial" w:eastAsia="Calibri" w:hAnsi="Arial" w:cs="Arial"/>
          <w:bCs/>
          <w:color w:val="1F3864"/>
          <w:sz w:val="18"/>
          <w:szCs w:val="18"/>
          <w:lang w:eastAsia="en-US"/>
        </w:rPr>
        <w:t xml:space="preserve"> </w:t>
      </w:r>
      <w:r w:rsidRPr="008706F6">
        <w:rPr>
          <w:rFonts w:ascii="Arial" w:hAnsi="Arial" w:cs="Arial"/>
          <w:sz w:val="18"/>
          <w:szCs w:val="18"/>
        </w:rPr>
        <w:t xml:space="preserve">le Comité a accepté l’offre du gouvernement du Japon visant à soutenir la réflexion globale sur les mécanismes </w:t>
      </w:r>
      <w:r w:rsidR="00303CB2">
        <w:rPr>
          <w:rFonts w:ascii="Arial" w:hAnsi="Arial" w:cs="Arial"/>
          <w:sz w:val="18"/>
          <w:szCs w:val="18"/>
        </w:rPr>
        <w:t>d</w:t>
      </w:r>
      <w:r w:rsidRPr="008706F6">
        <w:rPr>
          <w:rFonts w:ascii="Arial" w:hAnsi="Arial" w:cs="Arial"/>
          <w:sz w:val="18"/>
          <w:szCs w:val="18"/>
        </w:rPr>
        <w:t xml:space="preserve">’inscription de la Convention de 2003. L’objectif </w:t>
      </w:r>
      <w:r w:rsidR="002B44F4">
        <w:rPr>
          <w:rFonts w:ascii="Arial" w:hAnsi="Arial" w:cs="Arial"/>
          <w:sz w:val="18"/>
          <w:szCs w:val="18"/>
        </w:rPr>
        <w:t>est</w:t>
      </w:r>
      <w:r w:rsidR="002B44F4" w:rsidRPr="008706F6">
        <w:rPr>
          <w:rFonts w:ascii="Arial" w:hAnsi="Arial" w:cs="Arial"/>
          <w:sz w:val="18"/>
          <w:szCs w:val="18"/>
        </w:rPr>
        <w:t xml:space="preserve"> </w:t>
      </w:r>
      <w:r w:rsidRPr="008706F6">
        <w:rPr>
          <w:rFonts w:ascii="Arial" w:hAnsi="Arial" w:cs="Arial"/>
          <w:sz w:val="18"/>
          <w:szCs w:val="18"/>
        </w:rPr>
        <w:t>d’organiser une réunion d’experts en septembre 2019 et de soutenir l’organisation d’une réunion du groupe de travail intergouvernemental à composition non limitée en 2021. Compte tenu du calendrier à long terme, le Comité a demandé en parallèle au Secrétariat de proposer des moyens d’améliorer le processus d’inscription des candidatures en tant que « récolte précoce »</w:t>
      </w:r>
      <w:r w:rsidR="002B44F4">
        <w:rPr>
          <w:rFonts w:ascii="Arial" w:hAnsi="Arial" w:cs="Arial"/>
          <w:sz w:val="18"/>
          <w:szCs w:val="18"/>
        </w:rPr>
        <w:t xml:space="preserve">. Ceci doit inclure </w:t>
      </w:r>
      <w:r w:rsidRPr="008706F6">
        <w:rPr>
          <w:rFonts w:ascii="Arial" w:hAnsi="Arial" w:cs="Arial"/>
          <w:sz w:val="18"/>
          <w:szCs w:val="18"/>
        </w:rPr>
        <w:t>un mécanisme de dialogue en amont entre l’Organe d’évaluation et les États soumissionnaires, qui pourrait se traduire par des amendements aux Directives opérationnelles pour adoption par l’Assemblée générale à sa huitième session en 2020. Le Comité a demandé que le processus global de réflexion soit achevé à temps pour la neuvième session de l’Assemblée générale en 2022.</w:t>
      </w:r>
    </w:p>
    <w:p w14:paraId="34BA35B0"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sz w:val="18"/>
          <w:szCs w:val="18"/>
        </w:rPr>
      </w:pPr>
      <w:r w:rsidRPr="008706F6">
        <w:rPr>
          <w:rFonts w:ascii="Arial" w:hAnsi="Arial" w:cs="Arial"/>
          <w:sz w:val="18"/>
          <w:szCs w:val="18"/>
        </w:rPr>
        <w:t>Les extraits suivants des décisions 13.COM 10 et 13.COM 14 concernent le processus global de réflexion et ont une incidence sur le travail de l’Organe d’évaluation pour le cycle 2019.</w:t>
      </w:r>
    </w:p>
    <w:p w14:paraId="66AA78C0"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after="60" w:line="259" w:lineRule="auto"/>
        <w:rPr>
          <w:rFonts w:ascii="Arial" w:eastAsia="Calibri" w:hAnsi="Arial" w:cs="Arial"/>
          <w:b/>
          <w:i/>
          <w:color w:val="1F3864"/>
          <w:sz w:val="18"/>
          <w:szCs w:val="18"/>
          <w:lang w:eastAsia="en-US"/>
        </w:rPr>
      </w:pPr>
      <w:r w:rsidRPr="008706F6">
        <w:rPr>
          <w:rFonts w:ascii="Arial" w:eastAsia="Calibri" w:hAnsi="Arial" w:cs="Arial"/>
          <w:b/>
          <w:i/>
          <w:color w:val="1F3864"/>
          <w:sz w:val="18"/>
          <w:szCs w:val="18"/>
          <w:lang w:eastAsia="en-US"/>
        </w:rPr>
        <w:t>Décision 13.COM 10 (Paragraphes 14, 15 and 16)</w:t>
      </w:r>
    </w:p>
    <w:p w14:paraId="34E75975" w14:textId="77777777" w:rsidR="008706F6" w:rsidRPr="008706F6" w:rsidRDefault="008706F6" w:rsidP="008706F6">
      <w:pPr>
        <w:numPr>
          <w:ilvl w:val="0"/>
          <w:numId w:val="28"/>
        </w:numPr>
        <w:pBdr>
          <w:top w:val="single" w:sz="4" w:space="1" w:color="auto"/>
          <w:left w:val="single" w:sz="4" w:space="4" w:color="auto"/>
          <w:bottom w:val="single" w:sz="4" w:space="1" w:color="auto"/>
          <w:right w:val="single" w:sz="4" w:space="4" w:color="auto"/>
        </w:pBdr>
        <w:shd w:val="clear" w:color="auto" w:fill="D9E2F3"/>
        <w:spacing w:after="0" w:line="259" w:lineRule="auto"/>
        <w:jc w:val="both"/>
        <w:rPr>
          <w:rFonts w:ascii="Arial" w:hAnsi="Arial" w:cs="Arial"/>
          <w:i/>
          <w:color w:val="000000"/>
          <w:sz w:val="18"/>
          <w:szCs w:val="18"/>
        </w:rPr>
      </w:pPr>
      <w:r w:rsidRPr="008706F6">
        <w:rPr>
          <w:rFonts w:ascii="Arial" w:hAnsi="Arial" w:cs="Arial"/>
          <w:i/>
          <w:color w:val="000000"/>
          <w:sz w:val="18"/>
          <w:szCs w:val="18"/>
          <w:u w:val="single"/>
        </w:rPr>
        <w:t>Réaffirme</w:t>
      </w:r>
      <w:r w:rsidRPr="008706F6">
        <w:rPr>
          <w:rFonts w:ascii="Arial" w:hAnsi="Arial" w:cs="Arial"/>
          <w:i/>
          <w:color w:val="000000"/>
          <w:sz w:val="18"/>
          <w:szCs w:val="18"/>
        </w:rPr>
        <w:t> la résolution 7.GA 6 et </w:t>
      </w:r>
      <w:r w:rsidRPr="008706F6">
        <w:rPr>
          <w:rFonts w:ascii="Arial" w:hAnsi="Arial" w:cs="Arial"/>
          <w:i/>
          <w:color w:val="000000"/>
          <w:sz w:val="18"/>
          <w:szCs w:val="18"/>
          <w:u w:val="single"/>
        </w:rPr>
        <w:t>décide</w:t>
      </w:r>
      <w:r w:rsidRPr="008706F6">
        <w:rPr>
          <w:rFonts w:ascii="Arial" w:hAnsi="Arial" w:cs="Arial"/>
          <w:i/>
          <w:color w:val="000000"/>
          <w:sz w:val="18"/>
          <w:szCs w:val="18"/>
        </w:rPr>
        <w:t> de demander au Secrétariat de transmettre toute question de l’Organe d’évaluation sur les dossiers soumis pour le cycle 2019 aux États parties concernés après la deuxième réunion de l’Organe d’évaluation en 2019 ;</w:t>
      </w:r>
    </w:p>
    <w:p w14:paraId="2A5FB313" w14:textId="1D7C3B9B" w:rsidR="008706F6" w:rsidRPr="008706F6" w:rsidRDefault="008706F6" w:rsidP="008706F6">
      <w:pPr>
        <w:numPr>
          <w:ilvl w:val="0"/>
          <w:numId w:val="28"/>
        </w:numPr>
        <w:pBdr>
          <w:top w:val="single" w:sz="4" w:space="1" w:color="auto"/>
          <w:left w:val="single" w:sz="4" w:space="4" w:color="auto"/>
          <w:bottom w:val="single" w:sz="4" w:space="1" w:color="auto"/>
          <w:right w:val="single" w:sz="4" w:space="4" w:color="auto"/>
        </w:pBdr>
        <w:shd w:val="clear" w:color="auto" w:fill="D9E2F3"/>
        <w:spacing w:after="0" w:line="259" w:lineRule="auto"/>
        <w:jc w:val="both"/>
        <w:rPr>
          <w:rFonts w:ascii="Arial" w:hAnsi="Arial" w:cs="Arial"/>
          <w:i/>
          <w:color w:val="000000"/>
          <w:sz w:val="18"/>
          <w:szCs w:val="18"/>
          <w:u w:val="single"/>
        </w:rPr>
      </w:pPr>
      <w:r w:rsidRPr="008706F6">
        <w:rPr>
          <w:rFonts w:ascii="Arial" w:hAnsi="Arial" w:cs="Arial"/>
          <w:i/>
          <w:color w:val="000000"/>
          <w:sz w:val="18"/>
          <w:szCs w:val="18"/>
          <w:u w:val="single"/>
        </w:rPr>
        <w:t>Invite</w:t>
      </w:r>
      <w:r w:rsidRPr="008706F6">
        <w:rPr>
          <w:rFonts w:ascii="Arial" w:hAnsi="Arial" w:cs="Arial"/>
          <w:i/>
          <w:color w:val="000000"/>
          <w:sz w:val="18"/>
          <w:szCs w:val="18"/>
        </w:rPr>
        <w:t xml:space="preserve"> les États soumissionnaires recevant de telles questions à soumettre des éclaircissements à l’Organe d’évaluation avant la troisième réunion de l’Organe d’évaluation en 2019, en anglais et en français, dans un formulaire qui sera fourni par le Secrétariat ;</w:t>
      </w:r>
    </w:p>
    <w:p w14:paraId="3465A403" w14:textId="77777777" w:rsidR="008706F6" w:rsidRPr="008706F6" w:rsidRDefault="008706F6" w:rsidP="008706F6">
      <w:pPr>
        <w:numPr>
          <w:ilvl w:val="0"/>
          <w:numId w:val="28"/>
        </w:numPr>
        <w:pBdr>
          <w:top w:val="single" w:sz="4" w:space="1" w:color="auto"/>
          <w:left w:val="single" w:sz="4" w:space="4" w:color="auto"/>
          <w:bottom w:val="single" w:sz="4" w:space="1" w:color="auto"/>
          <w:right w:val="single" w:sz="4" w:space="4" w:color="auto"/>
        </w:pBdr>
        <w:shd w:val="clear" w:color="auto" w:fill="D9E2F3"/>
        <w:spacing w:after="60" w:line="259" w:lineRule="auto"/>
        <w:jc w:val="both"/>
        <w:rPr>
          <w:rFonts w:ascii="Arial" w:hAnsi="Arial" w:cs="Arial"/>
          <w:i/>
          <w:color w:val="000000"/>
          <w:sz w:val="18"/>
          <w:szCs w:val="18"/>
        </w:rPr>
      </w:pPr>
      <w:r w:rsidRPr="008706F6">
        <w:rPr>
          <w:rFonts w:ascii="Arial" w:hAnsi="Arial" w:cs="Arial"/>
          <w:i/>
          <w:color w:val="000000"/>
          <w:sz w:val="18"/>
          <w:szCs w:val="18"/>
          <w:u w:val="single"/>
        </w:rPr>
        <w:t>Décide également</w:t>
      </w:r>
      <w:r w:rsidRPr="008706F6">
        <w:rPr>
          <w:rFonts w:ascii="Arial" w:hAnsi="Arial" w:cs="Arial"/>
          <w:i/>
          <w:color w:val="000000"/>
          <w:sz w:val="18"/>
          <w:szCs w:val="18"/>
        </w:rPr>
        <w:t xml:space="preserve"> de faire le point sur ce mécanisme de dialogue provisoire à sa quatorzième session en vue de présenter d’éventuels amendements aux Directives opérationnelles à la huitième session de l’Assemblée générale des États parties en 2020 ;</w:t>
      </w:r>
    </w:p>
    <w:p w14:paraId="3A51E533"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after="0"/>
        <w:jc w:val="both"/>
        <w:rPr>
          <w:rFonts w:ascii="Arial" w:eastAsia="Calibri" w:hAnsi="Arial" w:cs="Arial"/>
          <w:i/>
          <w:color w:val="414042"/>
          <w:sz w:val="18"/>
          <w:szCs w:val="18"/>
          <w:shd w:val="clear" w:color="auto" w:fill="FFFFFF"/>
          <w:lang w:eastAsia="en-US"/>
        </w:rPr>
      </w:pPr>
      <w:r w:rsidRPr="008706F6">
        <w:rPr>
          <w:rFonts w:ascii="Arial" w:eastAsia="Calibri" w:hAnsi="Arial" w:cs="Arial"/>
          <w:b/>
          <w:i/>
          <w:color w:val="1F3864"/>
          <w:sz w:val="18"/>
          <w:szCs w:val="18"/>
          <w:lang w:eastAsia="en-US"/>
        </w:rPr>
        <w:t>Décision 13.COM 14 (Annexe paragraphe 6)</w:t>
      </w:r>
    </w:p>
    <w:p w14:paraId="72D2B4C2" w14:textId="77777777" w:rsidR="008706F6" w:rsidRPr="008706F6" w:rsidRDefault="008706F6" w:rsidP="00F10EE7">
      <w:pPr>
        <w:numPr>
          <w:ilvl w:val="0"/>
          <w:numId w:val="32"/>
        </w:numPr>
        <w:pBdr>
          <w:top w:val="single" w:sz="4" w:space="1" w:color="auto"/>
          <w:left w:val="single" w:sz="4" w:space="4" w:color="auto"/>
          <w:bottom w:val="single" w:sz="4" w:space="1" w:color="auto"/>
          <w:right w:val="single" w:sz="4" w:space="4" w:color="auto"/>
        </w:pBdr>
        <w:shd w:val="clear" w:color="auto" w:fill="D9E2F3"/>
        <w:spacing w:before="60" w:after="60" w:line="259" w:lineRule="auto"/>
        <w:jc w:val="both"/>
        <w:rPr>
          <w:rFonts w:ascii="Arial" w:hAnsi="Arial" w:cs="Arial"/>
          <w:i/>
          <w:color w:val="000000"/>
          <w:sz w:val="18"/>
          <w:szCs w:val="18"/>
        </w:rPr>
      </w:pPr>
      <w:r w:rsidRPr="008706F6">
        <w:rPr>
          <w:rFonts w:ascii="Arial" w:hAnsi="Arial" w:cs="Arial"/>
          <w:i/>
          <w:color w:val="000000"/>
          <w:sz w:val="18"/>
          <w:szCs w:val="18"/>
        </w:rPr>
        <w:t>[L’Organe d’évaluation] mène, sur une base expérimentale, un dialogue provisoire avec les États parties soumissionnaires pendant le processus d’évaluation conformément à la décision 13.COM 10 et à la résolution 7.GA 6 ;</w:t>
      </w:r>
    </w:p>
    <w:p w14:paraId="186D7183" w14:textId="77777777" w:rsidR="008706F6" w:rsidRPr="008706F6" w:rsidRDefault="008706F6" w:rsidP="008706F6">
      <w:pPr>
        <w:spacing w:before="60" w:after="60"/>
        <w:jc w:val="both"/>
        <w:rPr>
          <w:rFonts w:ascii="Arial" w:hAnsi="Arial" w:cs="Arial"/>
          <w:i/>
          <w:color w:val="000000"/>
          <w:sz w:val="18"/>
          <w:szCs w:val="18"/>
        </w:rPr>
      </w:pPr>
    </w:p>
    <w:p w14:paraId="39A86BF5"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833C0B"/>
        <w:jc w:val="both"/>
        <w:rPr>
          <w:rFonts w:ascii="Arial" w:hAnsi="Arial" w:cs="Arial"/>
          <w:b/>
          <w:caps/>
          <w:color w:val="FFFFFF"/>
          <w:sz w:val="18"/>
          <w:szCs w:val="18"/>
        </w:rPr>
      </w:pPr>
      <w:r w:rsidRPr="008706F6">
        <w:rPr>
          <w:rFonts w:ascii="Arial" w:hAnsi="Arial" w:cs="Arial"/>
          <w:b/>
          <w:caps/>
          <w:color w:val="FFFFFF"/>
          <w:sz w:val="18"/>
          <w:szCs w:val="18"/>
        </w:rPr>
        <w:t>CONFORMITÉ AVEC LES DIRECTIVES OPÉRATIONNELLES</w:t>
      </w:r>
    </w:p>
    <w:p w14:paraId="0D4266C8"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FBE4D5"/>
        <w:spacing w:before="60" w:after="0"/>
        <w:jc w:val="both"/>
        <w:rPr>
          <w:rFonts w:ascii="Arial" w:hAnsi="Arial" w:cs="Arial"/>
          <w:snapToGrid w:val="0"/>
          <w:sz w:val="18"/>
          <w:szCs w:val="18"/>
          <w:lang w:eastAsia="en-US"/>
        </w:rPr>
      </w:pPr>
      <w:r w:rsidRPr="008706F6">
        <w:rPr>
          <w:rFonts w:ascii="Arial" w:hAnsi="Arial" w:cs="Arial"/>
          <w:b/>
          <w:snapToGrid w:val="0"/>
          <w:sz w:val="18"/>
          <w:szCs w:val="18"/>
          <w:lang w:eastAsia="en-US"/>
        </w:rPr>
        <w:t>Le paragraphe 55</w:t>
      </w:r>
      <w:r w:rsidRPr="008706F6">
        <w:rPr>
          <w:rFonts w:ascii="Arial" w:hAnsi="Arial" w:cs="Arial"/>
          <w:snapToGrid w:val="0"/>
          <w:sz w:val="18"/>
          <w:szCs w:val="18"/>
          <w:lang w:eastAsia="en-US"/>
        </w:rPr>
        <w:t xml:space="preserve"> des Directives opérationnelles stipule que l’Organe d’évaluation doit achever son évaluation </w:t>
      </w:r>
      <w:r w:rsidRPr="008706F6">
        <w:rPr>
          <w:rFonts w:ascii="Arial" w:hAnsi="Arial" w:cs="Arial"/>
          <w:b/>
          <w:bCs/>
          <w:snapToGrid w:val="0"/>
          <w:sz w:val="18"/>
          <w:szCs w:val="18"/>
          <w:lang w:eastAsia="en-US"/>
        </w:rPr>
        <w:t>finale</w:t>
      </w:r>
      <w:r w:rsidRPr="008706F6">
        <w:rPr>
          <w:rFonts w:ascii="Arial" w:hAnsi="Arial" w:cs="Arial"/>
          <w:snapToGrid w:val="0"/>
          <w:sz w:val="18"/>
          <w:szCs w:val="18"/>
          <w:lang w:eastAsia="en-US"/>
        </w:rPr>
        <w:t xml:space="preserve"> lors d’une réunion qui se tient entre avril et juin. Jusqu’à présent, les conclusions tirées collectivement lors de la deuxième réunion sur les dossiers individuels étaient définitives. La troisième réunion qui se tient normalement en septembre, était consacrée à la finalisation du rapport de l’Organe. Compte tenu du caractère provisoire du dialogue en amont, tel que stipulé dans la décision 13.COM 10, et afin de s’assurer de la conformité avec les Directives opérationnelles et en particulier avec le paragraphe 55, le Secrétariat a proposé une méthodologie à l’Office des normes internationales et des affaires juridiques de l’UNESCO qui l’a approuvée et a donné l’avis</w:t>
      </w:r>
      <w:r w:rsidRPr="008706F6">
        <w:rPr>
          <w:rFonts w:ascii="Arial" w:hAnsi="Arial" w:cs="Arial"/>
          <w:snapToGrid w:val="0"/>
          <w:sz w:val="18"/>
          <w:szCs w:val="18"/>
          <w:vertAlign w:val="superscript"/>
          <w:lang w:eastAsia="en-US"/>
        </w:rPr>
        <w:footnoteReference w:id="1"/>
      </w:r>
      <w:r w:rsidRPr="008706F6">
        <w:rPr>
          <w:rFonts w:ascii="Arial" w:hAnsi="Arial" w:cs="Arial"/>
          <w:snapToGrid w:val="0"/>
          <w:sz w:val="18"/>
          <w:szCs w:val="18"/>
          <w:lang w:eastAsia="en-US"/>
        </w:rPr>
        <w:t xml:space="preserve"> suivant :</w:t>
      </w:r>
    </w:p>
    <w:p w14:paraId="476DB2CA" w14:textId="77777777" w:rsidR="008706F6" w:rsidRP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contextualSpacing/>
        <w:jc w:val="both"/>
        <w:rPr>
          <w:rFonts w:ascii="Arial" w:hAnsi="Arial" w:cs="Arial"/>
          <w:snapToGrid w:val="0"/>
          <w:sz w:val="18"/>
          <w:szCs w:val="18"/>
          <w:lang w:eastAsia="en-US"/>
        </w:rPr>
      </w:pPr>
      <w:r w:rsidRPr="008706F6">
        <w:rPr>
          <w:rFonts w:ascii="Arial" w:hAnsi="Arial" w:cs="Arial"/>
          <w:snapToGrid w:val="0"/>
          <w:sz w:val="18"/>
          <w:szCs w:val="18"/>
          <w:lang w:eastAsia="en-US"/>
        </w:rPr>
        <w:t xml:space="preserve">Selon l’art. 8.3 de la Convention, « Le Comité peut créer temporairement les organes consultatifs </w:t>
      </w:r>
      <w:r w:rsidRPr="008706F6">
        <w:rPr>
          <w:rFonts w:ascii="Arial" w:hAnsi="Arial" w:cs="Arial"/>
          <w:i/>
          <w:iCs/>
          <w:snapToGrid w:val="0"/>
          <w:sz w:val="18"/>
          <w:szCs w:val="18"/>
          <w:lang w:eastAsia="en-US"/>
        </w:rPr>
        <w:t>ad hoc</w:t>
      </w:r>
      <w:r w:rsidRPr="008706F6">
        <w:rPr>
          <w:rFonts w:ascii="Arial" w:hAnsi="Arial" w:cs="Arial"/>
          <w:snapToGrid w:val="0"/>
          <w:sz w:val="18"/>
          <w:szCs w:val="18"/>
          <w:lang w:eastAsia="en-US"/>
        </w:rPr>
        <w:t xml:space="preserve"> qu’il estime nécessaires à l’exécution de sa tâche ». En outre, conformément à l’article 20.2 du Règlement intérieur du Comité, [le comité] « définit la composition et les termes de référence (notamment le mandat et la durée des fonctions) de chaque organe consultatif </w:t>
      </w:r>
      <w:r w:rsidRPr="008706F6">
        <w:rPr>
          <w:rFonts w:ascii="Arial" w:hAnsi="Arial" w:cs="Arial"/>
          <w:i/>
          <w:iCs/>
          <w:snapToGrid w:val="0"/>
          <w:sz w:val="18"/>
          <w:szCs w:val="18"/>
          <w:lang w:eastAsia="en-US"/>
        </w:rPr>
        <w:t>ad hoc</w:t>
      </w:r>
      <w:r w:rsidRPr="008706F6">
        <w:rPr>
          <w:rFonts w:ascii="Arial" w:hAnsi="Arial" w:cs="Arial"/>
          <w:snapToGrid w:val="0"/>
          <w:sz w:val="18"/>
          <w:szCs w:val="18"/>
          <w:lang w:eastAsia="en-US"/>
        </w:rPr>
        <w:t xml:space="preserve"> au moment où celui-ci est constitué ».</w:t>
      </w:r>
    </w:p>
    <w:p w14:paraId="5670C8B2" w14:textId="77777777" w:rsidR="008706F6" w:rsidRP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contextualSpacing/>
        <w:jc w:val="both"/>
        <w:rPr>
          <w:rFonts w:ascii="Arial" w:hAnsi="Arial" w:cs="Arial"/>
          <w:snapToGrid w:val="0"/>
          <w:sz w:val="18"/>
          <w:szCs w:val="18"/>
          <w:lang w:eastAsia="en-US"/>
        </w:rPr>
      </w:pPr>
      <w:r w:rsidRPr="008706F6">
        <w:rPr>
          <w:rFonts w:ascii="Arial" w:hAnsi="Arial" w:cs="Arial"/>
          <w:snapToGrid w:val="0"/>
          <w:sz w:val="18"/>
          <w:szCs w:val="18"/>
          <w:lang w:eastAsia="en-US"/>
        </w:rPr>
        <w:t xml:space="preserve">Conformément au paragraphe 27 des Directives opérationnelles (DO), l’Organe d’évaluation est un organe consultatif </w:t>
      </w:r>
      <w:r w:rsidRPr="008706F6">
        <w:rPr>
          <w:rFonts w:ascii="Arial" w:hAnsi="Arial" w:cs="Arial"/>
          <w:i/>
          <w:iCs/>
          <w:snapToGrid w:val="0"/>
          <w:sz w:val="18"/>
          <w:szCs w:val="18"/>
          <w:lang w:eastAsia="en-US"/>
        </w:rPr>
        <w:t>ad hoc</w:t>
      </w:r>
      <w:r w:rsidRPr="008706F6">
        <w:rPr>
          <w:rFonts w:ascii="Arial" w:hAnsi="Arial" w:cs="Arial"/>
          <w:snapToGrid w:val="0"/>
          <w:sz w:val="18"/>
          <w:szCs w:val="18"/>
          <w:lang w:eastAsia="en-US"/>
        </w:rPr>
        <w:t xml:space="preserve"> du Comité au sens de l’art. 8.3 de la Convention et son rôle est donc de nature consultative.</w:t>
      </w:r>
    </w:p>
    <w:p w14:paraId="3FD04249"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FBE4D5"/>
        <w:spacing w:before="60" w:after="0"/>
        <w:rPr>
          <w:rFonts w:ascii="Arial" w:hAnsi="Arial" w:cs="Arial"/>
          <w:snapToGrid w:val="0"/>
          <w:sz w:val="18"/>
          <w:szCs w:val="18"/>
          <w:lang w:eastAsia="en-US"/>
        </w:rPr>
      </w:pPr>
      <w:r w:rsidRPr="008706F6">
        <w:rPr>
          <w:rFonts w:ascii="Arial" w:hAnsi="Arial" w:cs="Arial"/>
          <w:snapToGrid w:val="0"/>
          <w:sz w:val="18"/>
          <w:szCs w:val="18"/>
          <w:lang w:eastAsia="en-US"/>
        </w:rPr>
        <w:lastRenderedPageBreak/>
        <w:t>Par conséquent :</w:t>
      </w:r>
    </w:p>
    <w:p w14:paraId="338BBA65" w14:textId="77777777" w:rsidR="008706F6" w:rsidRP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8706F6">
        <w:rPr>
          <w:rFonts w:ascii="Arial" w:hAnsi="Arial" w:cs="Arial"/>
          <w:snapToGrid w:val="0"/>
          <w:sz w:val="18"/>
          <w:szCs w:val="18"/>
          <w:lang w:eastAsia="en-US"/>
        </w:rPr>
        <w:t>L’Organe d’évaluation devrait toujours procéder à son évaluation finale dans les délais fixés dans les Directives opérationnelles.</w:t>
      </w:r>
    </w:p>
    <w:p w14:paraId="127A804C" w14:textId="77777777" w:rsidR="008706F6" w:rsidRP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8706F6">
        <w:rPr>
          <w:rFonts w:ascii="Arial" w:hAnsi="Arial" w:cs="Arial"/>
          <w:snapToGrid w:val="0"/>
          <w:sz w:val="18"/>
          <w:szCs w:val="18"/>
          <w:lang w:eastAsia="en-US"/>
        </w:rPr>
        <w:t>La substance du processus d’évaluation mené par l’Organe d’évaluation et le calendrier ne changent pas. La finalité de l’évaluation de l’Organe d’évaluation ne change pas non plus.</w:t>
      </w:r>
    </w:p>
    <w:p w14:paraId="0098A1A7" w14:textId="77777777" w:rsidR="008706F6" w:rsidRP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8706F6">
        <w:rPr>
          <w:rFonts w:ascii="Arial" w:hAnsi="Arial" w:cs="Arial"/>
          <w:snapToGrid w:val="0"/>
          <w:sz w:val="18"/>
          <w:szCs w:val="18"/>
          <w:lang w:eastAsia="en-US"/>
        </w:rPr>
        <w:t xml:space="preserve">L’Organe devrait se limiter à signaler les questions nécessitant une réponse simple. Toutefois, il ne modifiera pas son rapport et ses recommandations au Comité concernant une candidature donnée après sa deuxième réunion. </w:t>
      </w:r>
    </w:p>
    <w:p w14:paraId="7A7E466D" w14:textId="257F3ED8" w:rsidR="008706F6" w:rsidRDefault="008706F6" w:rsidP="008706F6">
      <w:pPr>
        <w:numPr>
          <w:ilvl w:val="0"/>
          <w:numId w:val="29"/>
        </w:numPr>
        <w:pBdr>
          <w:top w:val="single" w:sz="4" w:space="1" w:color="auto"/>
          <w:left w:val="single" w:sz="4" w:space="4" w:color="auto"/>
          <w:bottom w:val="single" w:sz="4" w:space="1" w:color="auto"/>
          <w:right w:val="single" w:sz="4" w:space="4" w:color="auto"/>
        </w:pBdr>
        <w:shd w:val="clear" w:color="auto" w:fill="FBE4D5"/>
        <w:spacing w:before="60" w:after="0" w:line="259" w:lineRule="auto"/>
        <w:ind w:left="357" w:hanging="357"/>
        <w:jc w:val="both"/>
        <w:rPr>
          <w:rFonts w:ascii="Arial" w:hAnsi="Arial" w:cs="Arial"/>
          <w:snapToGrid w:val="0"/>
          <w:sz w:val="18"/>
          <w:szCs w:val="18"/>
          <w:lang w:eastAsia="en-US"/>
        </w:rPr>
      </w:pPr>
      <w:r w:rsidRPr="008706F6">
        <w:rPr>
          <w:rFonts w:ascii="Arial" w:hAnsi="Arial" w:cs="Arial"/>
          <w:snapToGrid w:val="0"/>
          <w:sz w:val="18"/>
          <w:szCs w:val="18"/>
          <w:lang w:eastAsia="en-US"/>
        </w:rPr>
        <w:t>Le Comité est habilité à consulter l’Organe d’évaluation également après que celui-ci ait achevé son évaluation en avril-juin 2019.</w:t>
      </w:r>
    </w:p>
    <w:p w14:paraId="1D9ABD1D" w14:textId="77777777" w:rsidR="008706F6" w:rsidRPr="008706F6" w:rsidRDefault="008706F6" w:rsidP="008706F6">
      <w:pPr>
        <w:spacing w:before="60" w:after="60"/>
        <w:jc w:val="both"/>
        <w:rPr>
          <w:rFonts w:ascii="Arial" w:hAnsi="Arial" w:cs="Arial"/>
          <w:snapToGrid w:val="0"/>
          <w:sz w:val="18"/>
          <w:szCs w:val="18"/>
          <w:lang w:eastAsia="en-US"/>
        </w:rPr>
      </w:pPr>
    </w:p>
    <w:p w14:paraId="5960BDBB" w14:textId="762C14FF" w:rsidR="008706F6" w:rsidRPr="008706F6" w:rsidRDefault="008706F6" w:rsidP="008706F6">
      <w:pPr>
        <w:keepNext/>
        <w:pBdr>
          <w:top w:val="single" w:sz="4" w:space="1" w:color="auto"/>
          <w:left w:val="single" w:sz="4" w:space="4" w:color="auto"/>
          <w:bottom w:val="single" w:sz="4" w:space="1" w:color="auto"/>
          <w:right w:val="single" w:sz="4" w:space="4" w:color="auto"/>
        </w:pBdr>
        <w:shd w:val="clear" w:color="auto" w:fill="833C0B"/>
        <w:spacing w:before="120"/>
        <w:jc w:val="both"/>
        <w:rPr>
          <w:rFonts w:ascii="Arial" w:hAnsi="Arial" w:cs="Arial"/>
          <w:b/>
          <w:caps/>
          <w:color w:val="FFFFFF"/>
          <w:sz w:val="18"/>
          <w:szCs w:val="18"/>
        </w:rPr>
      </w:pPr>
      <w:r w:rsidRPr="00D8307B">
        <w:rPr>
          <w:rFonts w:ascii="Arial" w:hAnsi="Arial" w:cs="Arial"/>
          <w:b/>
          <w:caps/>
          <w:color w:val="FFFFFF"/>
          <w:sz w:val="18"/>
          <w:szCs w:val="18"/>
        </w:rPr>
        <w:t>QUELS</w:t>
      </w:r>
      <w:r w:rsidRPr="00D8307B">
        <w:rPr>
          <w:rFonts w:ascii="Arial" w:hAnsi="Arial" w:cs="Arial"/>
          <w:b/>
          <w:caps/>
          <w:color w:val="FFFFFF"/>
          <w:sz w:val="18"/>
          <w:szCs w:val="18"/>
          <w:shd w:val="clear" w:color="auto" w:fill="833C0B"/>
        </w:rPr>
        <w:t xml:space="preserve"> DOSSIERS DU CYCLE</w:t>
      </w:r>
      <w:r w:rsidRPr="00D8307B">
        <w:rPr>
          <w:rFonts w:ascii="Arial" w:hAnsi="Arial" w:cs="Arial"/>
          <w:b/>
          <w:caps/>
          <w:color w:val="FFFFFF"/>
          <w:sz w:val="18"/>
          <w:szCs w:val="18"/>
        </w:rPr>
        <w:t xml:space="preserve"> 2019 POURRAIENT BÉNÉFICIER DU PROCESSUS DE DIALOGUE</w:t>
      </w:r>
      <w:r w:rsidR="00D8307B" w:rsidRPr="00D8307B">
        <w:rPr>
          <w:rFonts w:ascii="Arial" w:hAnsi="Arial" w:cs="Arial"/>
          <w:b/>
          <w:caps/>
          <w:color w:val="FFFFFF"/>
          <w:sz w:val="18"/>
          <w:szCs w:val="18"/>
        </w:rPr>
        <w:t> ?</w:t>
      </w:r>
    </w:p>
    <w:p w14:paraId="6F5B9728" w14:textId="142E755F" w:rsidR="008706F6" w:rsidRPr="002E6D29" w:rsidRDefault="008706F6" w:rsidP="008706F6">
      <w:pPr>
        <w:pBdr>
          <w:top w:val="single" w:sz="4" w:space="1" w:color="auto"/>
          <w:left w:val="single" w:sz="4" w:space="4" w:color="auto"/>
          <w:bottom w:val="single" w:sz="4" w:space="1" w:color="auto"/>
          <w:right w:val="single" w:sz="4" w:space="4" w:color="auto"/>
        </w:pBdr>
        <w:shd w:val="clear" w:color="auto" w:fill="FBE4D5"/>
        <w:spacing w:before="240" w:after="0"/>
        <w:rPr>
          <w:rFonts w:ascii="Arial" w:hAnsi="Arial" w:cs="Arial"/>
          <w:sz w:val="18"/>
          <w:szCs w:val="18"/>
        </w:rPr>
      </w:pPr>
      <w:r w:rsidRPr="008706F6">
        <w:rPr>
          <w:rFonts w:ascii="Arial" w:hAnsi="Arial" w:cs="Arial"/>
          <w:sz w:val="18"/>
          <w:szCs w:val="18"/>
        </w:rPr>
        <w:t xml:space="preserve">La procédure est engagée quand l’Organe estime que, bien que les informations contenues dans un dossier ne soient pas suffisantes pour déterminer si </w:t>
      </w:r>
      <w:r w:rsidR="00101CA1">
        <w:rPr>
          <w:rFonts w:ascii="Arial" w:hAnsi="Arial" w:cs="Arial"/>
          <w:sz w:val="18"/>
          <w:szCs w:val="18"/>
        </w:rPr>
        <w:t>un</w:t>
      </w:r>
      <w:r w:rsidR="00101CA1" w:rsidRPr="008706F6">
        <w:rPr>
          <w:rFonts w:ascii="Arial" w:hAnsi="Arial" w:cs="Arial"/>
          <w:sz w:val="18"/>
          <w:szCs w:val="18"/>
        </w:rPr>
        <w:t xml:space="preserve"> </w:t>
      </w:r>
      <w:r w:rsidRPr="008706F6">
        <w:rPr>
          <w:rFonts w:ascii="Arial" w:hAnsi="Arial" w:cs="Arial"/>
          <w:sz w:val="18"/>
          <w:szCs w:val="18"/>
        </w:rPr>
        <w:t xml:space="preserve">critère est satisfait (renvoi), </w:t>
      </w:r>
      <w:r w:rsidRPr="00CA1B86">
        <w:rPr>
          <w:rFonts w:ascii="Arial" w:hAnsi="Arial" w:cs="Arial"/>
          <w:sz w:val="18"/>
          <w:szCs w:val="18"/>
        </w:rPr>
        <w:t>un bref processus de questions-réponses avec l’État ou les États soumissionnaires (le dialogue)</w:t>
      </w:r>
      <w:r w:rsidRPr="002E6D29">
        <w:rPr>
          <w:rFonts w:ascii="Arial" w:hAnsi="Arial" w:cs="Arial"/>
          <w:sz w:val="18"/>
          <w:szCs w:val="18"/>
        </w:rPr>
        <w:t xml:space="preserve"> pourrait influencer le résultat de son évaluation.</w:t>
      </w:r>
    </w:p>
    <w:p w14:paraId="27C2CCC6" w14:textId="77777777" w:rsidR="008706F6" w:rsidRPr="008706F6" w:rsidRDefault="008706F6" w:rsidP="008706F6">
      <w:pPr>
        <w:spacing w:before="60" w:after="60"/>
        <w:jc w:val="both"/>
        <w:rPr>
          <w:rFonts w:ascii="Arial" w:hAnsi="Arial" w:cs="Arial"/>
          <w:i/>
          <w:color w:val="000000"/>
          <w:sz w:val="18"/>
          <w:szCs w:val="18"/>
        </w:rPr>
      </w:pPr>
    </w:p>
    <w:p w14:paraId="7736897D"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1F4E79"/>
        <w:spacing w:after="160"/>
        <w:rPr>
          <w:rFonts w:ascii="Arial" w:hAnsi="Arial" w:cs="Arial"/>
          <w:b/>
          <w:caps/>
          <w:color w:val="FFFFFF"/>
          <w:sz w:val="18"/>
          <w:szCs w:val="18"/>
        </w:rPr>
      </w:pPr>
      <w:r w:rsidRPr="008706F6">
        <w:rPr>
          <w:rFonts w:ascii="Arial" w:hAnsi="Arial" w:cs="Arial"/>
          <w:b/>
          <w:caps/>
          <w:color w:val="FFFFFF"/>
          <w:sz w:val="18"/>
          <w:szCs w:val="18"/>
        </w:rPr>
        <w:t>ProcÉdure et calendrier</w:t>
      </w:r>
    </w:p>
    <w:p w14:paraId="02457E25" w14:textId="5559855E"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b/>
          <w:sz w:val="18"/>
          <w:szCs w:val="18"/>
          <w:u w:val="single"/>
        </w:rPr>
        <w:t>Évaluations individuelles (1</w:t>
      </w:r>
      <w:r w:rsidR="00090C21" w:rsidRPr="00CA1B86">
        <w:rPr>
          <w:rFonts w:ascii="Arial" w:hAnsi="Arial" w:cs="Arial"/>
          <w:b/>
          <w:sz w:val="18"/>
          <w:szCs w:val="18"/>
          <w:u w:val="single"/>
          <w:vertAlign w:val="superscript"/>
        </w:rPr>
        <w:t>er</w:t>
      </w:r>
      <w:r w:rsidR="00090C21">
        <w:rPr>
          <w:rFonts w:ascii="Arial" w:hAnsi="Arial" w:cs="Arial"/>
          <w:b/>
          <w:sz w:val="18"/>
          <w:szCs w:val="18"/>
          <w:u w:val="single"/>
        </w:rPr>
        <w:t xml:space="preserve"> </w:t>
      </w:r>
      <w:r w:rsidRPr="008706F6">
        <w:rPr>
          <w:rFonts w:ascii="Arial" w:hAnsi="Arial" w:cs="Arial"/>
          <w:b/>
          <w:sz w:val="18"/>
          <w:szCs w:val="18"/>
          <w:u w:val="single"/>
        </w:rPr>
        <w:t>mars au 21 mai 2019)</w:t>
      </w:r>
      <w:r w:rsidRPr="008706F6">
        <w:rPr>
          <w:rFonts w:ascii="Arial" w:hAnsi="Arial" w:cs="Arial"/>
          <w:b/>
          <w:sz w:val="18"/>
          <w:szCs w:val="18"/>
        </w:rPr>
        <w:t> </w:t>
      </w:r>
      <w:r w:rsidRPr="008706F6">
        <w:rPr>
          <w:rFonts w:ascii="Arial" w:hAnsi="Arial" w:cs="Arial"/>
          <w:bCs/>
          <w:sz w:val="18"/>
          <w:szCs w:val="18"/>
        </w:rPr>
        <w:t>:</w:t>
      </w:r>
      <w:r w:rsidRPr="008706F6">
        <w:rPr>
          <w:rFonts w:ascii="Arial" w:hAnsi="Arial" w:cs="Arial"/>
          <w:color w:val="002060"/>
          <w:sz w:val="18"/>
          <w:szCs w:val="18"/>
        </w:rPr>
        <w:t xml:space="preserve"> </w:t>
      </w:r>
      <w:r w:rsidRPr="008706F6">
        <w:rPr>
          <w:rFonts w:ascii="Arial" w:hAnsi="Arial" w:cs="Arial"/>
          <w:sz w:val="18"/>
          <w:szCs w:val="18"/>
        </w:rPr>
        <w:t>chaque membre indique, dans son évaluation en ligne, quels dossiers et critères, parmi ceux qu’il estime devant être renvoyés, devraient bénéficier du processus de dialogue.</w:t>
      </w:r>
    </w:p>
    <w:p w14:paraId="3F04FD20" w14:textId="665E486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b/>
          <w:sz w:val="18"/>
          <w:szCs w:val="18"/>
          <w:u w:val="single"/>
        </w:rPr>
        <w:t xml:space="preserve">Évaluation </w:t>
      </w:r>
      <w:r w:rsidR="00090C21">
        <w:rPr>
          <w:rFonts w:ascii="Arial" w:hAnsi="Arial" w:cs="Arial"/>
          <w:b/>
          <w:sz w:val="18"/>
          <w:szCs w:val="18"/>
          <w:u w:val="single"/>
        </w:rPr>
        <w:t>c</w:t>
      </w:r>
      <w:r w:rsidRPr="008706F6">
        <w:rPr>
          <w:rFonts w:ascii="Arial" w:hAnsi="Arial" w:cs="Arial"/>
          <w:b/>
          <w:sz w:val="18"/>
          <w:szCs w:val="18"/>
          <w:u w:val="single"/>
        </w:rPr>
        <w:t>ollective (3 au 7 juin 2019)</w:t>
      </w:r>
      <w:r w:rsidRPr="008706F6">
        <w:rPr>
          <w:rFonts w:ascii="Arial" w:hAnsi="Arial" w:cs="Arial"/>
          <w:bCs/>
          <w:sz w:val="18"/>
          <w:szCs w:val="18"/>
        </w:rPr>
        <w:t> :</w:t>
      </w:r>
      <w:r w:rsidRPr="008706F6">
        <w:rPr>
          <w:rFonts w:ascii="Arial" w:hAnsi="Arial" w:cs="Arial"/>
          <w:sz w:val="18"/>
          <w:szCs w:val="18"/>
        </w:rPr>
        <w:t xml:space="preserve"> lors de sa deuxième réunion en juin, l’Organe décide collectivement quels dossiers et critères, parmi ceux qu’il estime devant être renvoyés, devraient bénéficier du processus de dialogue.</w:t>
      </w:r>
    </w:p>
    <w:p w14:paraId="3D6F8A7F"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b/>
          <w:sz w:val="18"/>
          <w:szCs w:val="18"/>
          <w:u w:val="single"/>
        </w:rPr>
        <w:t>Questions (10 au 14 juin 2019)</w:t>
      </w:r>
      <w:r w:rsidRPr="008706F6">
        <w:rPr>
          <w:rFonts w:ascii="Arial" w:hAnsi="Arial" w:cs="Arial"/>
          <w:bCs/>
          <w:sz w:val="18"/>
          <w:szCs w:val="18"/>
        </w:rPr>
        <w:t> :</w:t>
      </w:r>
      <w:r w:rsidRPr="008706F6">
        <w:rPr>
          <w:rFonts w:ascii="Arial" w:hAnsi="Arial" w:cs="Arial"/>
          <w:bCs/>
          <w:color w:val="002060"/>
          <w:sz w:val="18"/>
          <w:szCs w:val="18"/>
        </w:rPr>
        <w:t xml:space="preserve"> </w:t>
      </w:r>
      <w:r w:rsidRPr="008706F6">
        <w:rPr>
          <w:rFonts w:ascii="Arial" w:hAnsi="Arial" w:cs="Arial"/>
          <w:sz w:val="18"/>
          <w:szCs w:val="18"/>
        </w:rPr>
        <w:t>Sur la base des débats de l’Organe, le Président, le Vice-Président et le Rapporteur formulent des questions spécifiques en anglais ou en français qui seront adressées par l’intermédiaire du Secrétariat aux États soumissionnaires concernés, immédiatement après la réunion de juin.</w:t>
      </w:r>
    </w:p>
    <w:p w14:paraId="7B20FAC2" w14:textId="5ECE4FB1"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b/>
          <w:sz w:val="18"/>
          <w:szCs w:val="18"/>
          <w:u w:val="single"/>
        </w:rPr>
        <w:t>Réponses (8 au 12 juillet 2019)</w:t>
      </w:r>
      <w:r w:rsidRPr="008706F6">
        <w:rPr>
          <w:rFonts w:ascii="Arial" w:hAnsi="Arial" w:cs="Arial"/>
          <w:bCs/>
          <w:sz w:val="18"/>
          <w:szCs w:val="18"/>
        </w:rPr>
        <w:t xml:space="preserve"> :</w:t>
      </w:r>
      <w:r w:rsidRPr="008706F6">
        <w:rPr>
          <w:rFonts w:ascii="Arial" w:hAnsi="Arial" w:cs="Arial"/>
          <w:bCs/>
          <w:color w:val="002060"/>
          <w:sz w:val="18"/>
          <w:szCs w:val="18"/>
        </w:rPr>
        <w:t xml:space="preserve"> </w:t>
      </w:r>
      <w:r w:rsidRPr="008706F6">
        <w:rPr>
          <w:rFonts w:ascii="Arial" w:hAnsi="Arial" w:cs="Arial"/>
          <w:sz w:val="18"/>
          <w:szCs w:val="18"/>
        </w:rPr>
        <w:t xml:space="preserve">Les États parties qui reçoivent de telles questions sont invités à répondre par écrit à l’Organe d’évaluation par l’intermédiaire du Secrétariat, en anglais </w:t>
      </w:r>
      <w:r w:rsidR="00DD1BE7">
        <w:rPr>
          <w:rFonts w:ascii="Arial" w:hAnsi="Arial" w:cs="Arial"/>
          <w:sz w:val="18"/>
          <w:szCs w:val="18"/>
        </w:rPr>
        <w:t>et</w:t>
      </w:r>
      <w:r w:rsidR="00DD1BE7" w:rsidRPr="008706F6">
        <w:rPr>
          <w:rFonts w:ascii="Arial" w:hAnsi="Arial" w:cs="Arial"/>
          <w:sz w:val="18"/>
          <w:szCs w:val="18"/>
        </w:rPr>
        <w:t xml:space="preserve"> </w:t>
      </w:r>
      <w:r w:rsidRPr="008706F6">
        <w:rPr>
          <w:rFonts w:ascii="Arial" w:hAnsi="Arial" w:cs="Arial"/>
          <w:sz w:val="18"/>
          <w:szCs w:val="18"/>
        </w:rPr>
        <w:t>en français, dans un formulaire qui sera fourni par le Secrétariat, au plus tard quatre semaines après réception des questions. Les réponses fournies par les États soumissionnaires seront mises à la disposition de chaque membre de l’Organe d’évaluation à travers l’interface en ligne de leurs travaux.</w:t>
      </w:r>
    </w:p>
    <w:p w14:paraId="3B40CF66"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b/>
          <w:color w:val="002060"/>
          <w:sz w:val="18"/>
          <w:szCs w:val="18"/>
          <w:u w:val="single"/>
        </w:rPr>
      </w:pPr>
      <w:r w:rsidRPr="008706F6">
        <w:rPr>
          <w:rFonts w:ascii="Arial" w:hAnsi="Arial" w:cs="Arial"/>
          <w:b/>
          <w:sz w:val="18"/>
          <w:szCs w:val="18"/>
          <w:u w:val="single"/>
        </w:rPr>
        <w:t>Opinions individuelles (au plus tard le 28 août 2019)</w:t>
      </w:r>
      <w:r w:rsidRPr="008706F6">
        <w:rPr>
          <w:rFonts w:ascii="Arial" w:hAnsi="Arial" w:cs="Arial"/>
          <w:bCs/>
          <w:sz w:val="18"/>
          <w:szCs w:val="18"/>
        </w:rPr>
        <w:t> :</w:t>
      </w:r>
      <w:r w:rsidRPr="008706F6">
        <w:rPr>
          <w:rFonts w:ascii="Arial" w:hAnsi="Arial" w:cs="Arial"/>
          <w:color w:val="002060"/>
          <w:sz w:val="18"/>
          <w:szCs w:val="18"/>
        </w:rPr>
        <w:t xml:space="preserve"> </w:t>
      </w:r>
      <w:r w:rsidRPr="008706F6">
        <w:rPr>
          <w:rFonts w:ascii="Arial" w:hAnsi="Arial" w:cs="Arial"/>
          <w:sz w:val="18"/>
          <w:szCs w:val="18"/>
        </w:rPr>
        <w:t>Chaque membre est invité à exprimer son opinion sur les réponses fournies par les États parties, à travers l’outil en ligne.</w:t>
      </w:r>
    </w:p>
    <w:p w14:paraId="40615DB0" w14:textId="77777777" w:rsidR="008706F6" w:rsidRPr="008706F6" w:rsidRDefault="008706F6" w:rsidP="008706F6">
      <w:pPr>
        <w:spacing w:before="60" w:after="60"/>
        <w:jc w:val="both"/>
        <w:rPr>
          <w:rFonts w:ascii="Arial" w:hAnsi="Arial" w:cs="Arial"/>
          <w:i/>
          <w:color w:val="000000"/>
          <w:sz w:val="18"/>
          <w:szCs w:val="18"/>
        </w:rPr>
      </w:pPr>
    </w:p>
    <w:p w14:paraId="7253F669" w14:textId="3322FCD2"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833C0B"/>
        <w:spacing w:after="160"/>
        <w:rPr>
          <w:rFonts w:ascii="Arial" w:hAnsi="Arial" w:cs="Arial"/>
          <w:b/>
          <w:caps/>
          <w:color w:val="FFFFFF"/>
          <w:sz w:val="18"/>
          <w:szCs w:val="18"/>
        </w:rPr>
      </w:pPr>
      <w:r w:rsidRPr="008706F6">
        <w:rPr>
          <w:rFonts w:ascii="Arial" w:hAnsi="Arial" w:cs="Arial"/>
          <w:b/>
          <w:caps/>
          <w:color w:val="FFFFFF"/>
          <w:sz w:val="18"/>
          <w:szCs w:val="18"/>
        </w:rPr>
        <w:t>AVIS DE L’ORGANE D’ÉVALUATION</w:t>
      </w:r>
      <w:r w:rsidR="00D2677B">
        <w:rPr>
          <w:rFonts w:ascii="Arial" w:hAnsi="Arial" w:cs="Arial"/>
          <w:b/>
          <w:caps/>
          <w:color w:val="FFFFFF"/>
          <w:sz w:val="18"/>
          <w:szCs w:val="18"/>
        </w:rPr>
        <w:t> </w:t>
      </w:r>
    </w:p>
    <w:p w14:paraId="1A21134E"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sz w:val="18"/>
          <w:szCs w:val="18"/>
        </w:rPr>
      </w:pPr>
      <w:r w:rsidRPr="008706F6">
        <w:rPr>
          <w:rFonts w:ascii="Arial" w:hAnsi="Arial" w:cs="Arial"/>
          <w:b/>
          <w:sz w:val="18"/>
          <w:szCs w:val="18"/>
          <w:u w:val="single"/>
        </w:rPr>
        <w:t>Avis collectif (18 au 20 septembre 2019)</w:t>
      </w:r>
      <w:r w:rsidRPr="008706F6">
        <w:rPr>
          <w:rFonts w:ascii="Arial" w:hAnsi="Arial" w:cs="Arial"/>
          <w:bCs/>
          <w:sz w:val="18"/>
          <w:szCs w:val="18"/>
        </w:rPr>
        <w:t> :</w:t>
      </w:r>
      <w:r w:rsidRPr="008706F6">
        <w:rPr>
          <w:rFonts w:ascii="Arial" w:hAnsi="Arial" w:cs="Arial"/>
          <w:color w:val="44546A"/>
          <w:sz w:val="18"/>
          <w:szCs w:val="18"/>
        </w:rPr>
        <w:t xml:space="preserve"> </w:t>
      </w:r>
      <w:r w:rsidRPr="008706F6">
        <w:rPr>
          <w:rFonts w:ascii="Arial" w:hAnsi="Arial" w:cs="Arial"/>
          <w:sz w:val="18"/>
          <w:szCs w:val="18"/>
        </w:rPr>
        <w:t>Lors de sa troisième réunion, l’Organe décide collectivement si, sur la base des informations contenues dans les dossiers et des réponses fournies par les États soumissionnaires, les critères concernés peuvent être considérés comme satisfaits. Le Président, le Vice-Président et le Rapporteur de l’Organe d’évaluation rendent l’avis de l’Organe sur chacun des dossiers et critères concernés par le processus de dialogue.</w:t>
      </w:r>
    </w:p>
    <w:p w14:paraId="01EE663D"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sz w:val="18"/>
          <w:szCs w:val="18"/>
          <w:u w:val="single"/>
        </w:rPr>
      </w:pPr>
      <w:r w:rsidRPr="008706F6">
        <w:rPr>
          <w:rFonts w:ascii="Arial" w:hAnsi="Arial" w:cs="Arial"/>
          <w:sz w:val="18"/>
          <w:szCs w:val="18"/>
        </w:rPr>
        <w:t xml:space="preserve">Conformément aux Directives opérationnelles, l’Organe d’évaluation entreprendra son évaluation finale en juin. Pour cette raison, </w:t>
      </w:r>
      <w:r w:rsidRPr="008706F6">
        <w:rPr>
          <w:rFonts w:ascii="Arial" w:hAnsi="Arial" w:cs="Arial"/>
          <w:b/>
          <w:sz w:val="18"/>
          <w:szCs w:val="18"/>
          <w:u w:val="single"/>
        </w:rPr>
        <w:t>le rapport de l’Organe d’évaluation indiquera clairement quels dossiers ont été inclus dans le processus de dialogue; l’avis de l’Organe à la suite de ce processus ne fera toutefois pas partie du rapport.</w:t>
      </w:r>
    </w:p>
    <w:p w14:paraId="31D4EFE7"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FBE4D5"/>
        <w:spacing w:before="120" w:after="0"/>
        <w:jc w:val="both"/>
        <w:rPr>
          <w:rFonts w:ascii="Arial" w:hAnsi="Arial" w:cs="Arial"/>
          <w:b/>
          <w:bCs/>
          <w:sz w:val="18"/>
          <w:szCs w:val="18"/>
          <w:u w:val="single"/>
        </w:rPr>
      </w:pPr>
      <w:r w:rsidRPr="008706F6">
        <w:rPr>
          <w:rFonts w:ascii="Arial" w:hAnsi="Arial" w:cs="Arial"/>
          <w:b/>
          <w:bCs/>
          <w:sz w:val="18"/>
          <w:szCs w:val="18"/>
          <w:u w:val="single"/>
        </w:rPr>
        <w:t>La ou les questions de l’Organe d’évaluation, la réponse de l’État soumissionnaire et l’avis de l’Organe d’évaluation seront communiqués séparément sur la page web de la Convention avec le dossier de candidature.</w:t>
      </w:r>
    </w:p>
    <w:p w14:paraId="51043E2C" w14:textId="77777777" w:rsidR="008706F6" w:rsidRPr="008706F6" w:rsidRDefault="008706F6" w:rsidP="008706F6">
      <w:pPr>
        <w:spacing w:before="60" w:after="60"/>
        <w:jc w:val="both"/>
        <w:rPr>
          <w:rFonts w:ascii="Arial" w:hAnsi="Arial" w:cs="Arial"/>
          <w:i/>
          <w:color w:val="000000"/>
          <w:sz w:val="18"/>
          <w:szCs w:val="18"/>
        </w:rPr>
      </w:pPr>
    </w:p>
    <w:p w14:paraId="2AD1F2E1"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1F4E79"/>
        <w:spacing w:after="160"/>
        <w:rPr>
          <w:rFonts w:ascii="Arial" w:hAnsi="Arial" w:cs="Arial"/>
          <w:b/>
          <w:caps/>
          <w:color w:val="FFFFFF"/>
          <w:sz w:val="18"/>
          <w:szCs w:val="18"/>
        </w:rPr>
      </w:pPr>
      <w:r w:rsidRPr="008706F6">
        <w:rPr>
          <w:rFonts w:ascii="Arial" w:hAnsi="Arial" w:cs="Arial"/>
          <w:b/>
          <w:caps/>
          <w:color w:val="FFFFFF"/>
          <w:sz w:val="18"/>
          <w:szCs w:val="18"/>
        </w:rPr>
        <w:t>DÉcision du comitÉ</w:t>
      </w:r>
    </w:p>
    <w:p w14:paraId="535F73DC"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b/>
          <w:sz w:val="18"/>
          <w:szCs w:val="18"/>
          <w:u w:val="single"/>
        </w:rPr>
        <w:t>Décision (9 au 14 décembre 2019)</w:t>
      </w:r>
      <w:r w:rsidRPr="008706F6">
        <w:rPr>
          <w:rFonts w:ascii="Arial" w:hAnsi="Arial" w:cs="Arial"/>
          <w:bCs/>
          <w:sz w:val="18"/>
          <w:szCs w:val="18"/>
        </w:rPr>
        <w:t> :</w:t>
      </w:r>
      <w:r w:rsidRPr="008706F6">
        <w:rPr>
          <w:rFonts w:ascii="Arial" w:hAnsi="Arial" w:cs="Arial"/>
          <w:color w:val="44546A"/>
          <w:sz w:val="18"/>
          <w:szCs w:val="18"/>
        </w:rPr>
        <w:t xml:space="preserve"> </w:t>
      </w:r>
      <w:r w:rsidRPr="008706F6">
        <w:rPr>
          <w:rFonts w:ascii="Arial" w:hAnsi="Arial" w:cs="Arial"/>
          <w:sz w:val="18"/>
          <w:szCs w:val="18"/>
        </w:rPr>
        <w:t>Lors de la session du Comité, pour les dossiers concernés par le processus de dialogue, le Président de l’Organe d’évaluation présentera à la fois la recommandation de l’Organe d’évaluation basée sur l’examen du dossier et l’avis de l’Organe suite au processus de dialogue.</w:t>
      </w:r>
    </w:p>
    <w:p w14:paraId="0FEC9BC3" w14:textId="77777777" w:rsidR="008706F6" w:rsidRPr="008706F6" w:rsidRDefault="008706F6" w:rsidP="008706F6">
      <w:pPr>
        <w:pBdr>
          <w:top w:val="single" w:sz="4" w:space="1" w:color="auto"/>
          <w:left w:val="single" w:sz="4" w:space="4" w:color="auto"/>
          <w:bottom w:val="single" w:sz="4" w:space="1" w:color="auto"/>
          <w:right w:val="single" w:sz="4" w:space="4" w:color="auto"/>
        </w:pBdr>
        <w:shd w:val="clear" w:color="auto" w:fill="D9E2F3"/>
        <w:spacing w:before="120" w:after="0"/>
        <w:jc w:val="both"/>
        <w:rPr>
          <w:rFonts w:ascii="Arial" w:hAnsi="Arial" w:cs="Arial"/>
          <w:sz w:val="18"/>
          <w:szCs w:val="18"/>
        </w:rPr>
      </w:pPr>
      <w:r w:rsidRPr="008706F6">
        <w:rPr>
          <w:rFonts w:ascii="Arial" w:hAnsi="Arial" w:cs="Arial"/>
          <w:sz w:val="18"/>
          <w:szCs w:val="18"/>
        </w:rPr>
        <w:t>Le Comité pourra alors décider de baser sa décision sur le rapport de l’Organe d’évaluation et sur l’avis de l’Organe suite aux réponses des États soumissionnaires concernés.</w:t>
      </w:r>
    </w:p>
    <w:p w14:paraId="4CF38D12" w14:textId="77777777" w:rsidR="00FA457C" w:rsidRPr="008757B1" w:rsidRDefault="00FA457C" w:rsidP="00552D38">
      <w:pPr>
        <w:pStyle w:val="compara0"/>
        <w:jc w:val="both"/>
        <w:rPr>
          <w:rFonts w:ascii="Calibri" w:hAnsi="Calibri"/>
          <w:color w:val="000000"/>
        </w:rPr>
      </w:pPr>
    </w:p>
    <w:sectPr w:rsidR="00FA457C" w:rsidRPr="008757B1" w:rsidSect="002938F2">
      <w:headerReference w:type="even" r:id="rId32"/>
      <w:headerReference w:type="default" r:id="rId33"/>
      <w:headerReference w:type="first" r:id="rId3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13808" w14:textId="77777777" w:rsidR="00032FB9" w:rsidRDefault="00032FB9" w:rsidP="002938F2">
      <w:r>
        <w:separator/>
      </w:r>
    </w:p>
    <w:p w14:paraId="4BEF5DDA" w14:textId="77777777" w:rsidR="00032FB9" w:rsidRDefault="00032FB9"/>
  </w:endnote>
  <w:endnote w:type="continuationSeparator" w:id="0">
    <w:p w14:paraId="765E9BE5" w14:textId="77777777" w:rsidR="00032FB9" w:rsidRDefault="00032FB9" w:rsidP="002938F2">
      <w:r>
        <w:continuationSeparator/>
      </w:r>
    </w:p>
    <w:p w14:paraId="268F98AE" w14:textId="77777777" w:rsidR="00032FB9" w:rsidRDefault="00032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F372" w14:textId="77777777" w:rsidR="00032FB9" w:rsidRDefault="00032FB9" w:rsidP="002938F2">
      <w:r>
        <w:separator/>
      </w:r>
    </w:p>
  </w:footnote>
  <w:footnote w:type="continuationSeparator" w:id="0">
    <w:p w14:paraId="2D5FB0FD" w14:textId="77777777" w:rsidR="00032FB9" w:rsidRDefault="00032FB9" w:rsidP="002938F2">
      <w:r>
        <w:continuationSeparator/>
      </w:r>
    </w:p>
    <w:p w14:paraId="4B159601" w14:textId="77777777" w:rsidR="00032FB9" w:rsidRDefault="00032FB9"/>
  </w:footnote>
  <w:footnote w:id="1">
    <w:p w14:paraId="03203D58" w14:textId="3A3C4C69" w:rsidR="008706F6" w:rsidRPr="001B5D01" w:rsidRDefault="008706F6" w:rsidP="008706F6">
      <w:pPr>
        <w:pStyle w:val="Notedebasdepage"/>
        <w:ind w:left="567" w:hanging="567"/>
        <w:rPr>
          <w:rFonts w:ascii="Arial" w:hAnsi="Arial"/>
        </w:rPr>
      </w:pPr>
      <w:r w:rsidRPr="0012761B">
        <w:rPr>
          <w:rStyle w:val="Appelnotedebasdep"/>
          <w:rFonts w:ascii="Arial" w:hAnsi="Arial"/>
        </w:rPr>
        <w:footnoteRef/>
      </w:r>
      <w:r w:rsidRPr="0012761B">
        <w:rPr>
          <w:rFonts w:ascii="Arial" w:hAnsi="Arial"/>
          <w:vertAlign w:val="superscript"/>
        </w:rPr>
        <w:t>.</w:t>
      </w:r>
      <w:r w:rsidRPr="001B5D01">
        <w:rPr>
          <w:rFonts w:ascii="Arial" w:hAnsi="Arial"/>
        </w:rPr>
        <w:t xml:space="preserve"> </w:t>
      </w:r>
      <w:r>
        <w:rPr>
          <w:rFonts w:ascii="Arial" w:hAnsi="Arial"/>
        </w:rPr>
        <w:tab/>
      </w:r>
      <w:r w:rsidR="00C92F8E" w:rsidRPr="00C92F8E">
        <w:rPr>
          <w:rFonts w:ascii="Arial" w:hAnsi="Arial"/>
          <w:sz w:val="18"/>
          <w:szCs w:val="18"/>
        </w:rPr>
        <w:t>L’a</w:t>
      </w:r>
      <w:r w:rsidRPr="00C92F8E">
        <w:rPr>
          <w:rFonts w:ascii="Arial" w:hAnsi="Arial"/>
          <w:sz w:val="18"/>
          <w:szCs w:val="18"/>
        </w:rPr>
        <w:t xml:space="preserve">vis </w:t>
      </w:r>
      <w:r w:rsidR="00C92F8E" w:rsidRPr="00C92F8E">
        <w:rPr>
          <w:rFonts w:ascii="Arial" w:hAnsi="Arial"/>
          <w:snapToGrid w:val="0"/>
          <w:sz w:val="18"/>
          <w:szCs w:val="18"/>
        </w:rPr>
        <w:t xml:space="preserve">a été donné </w:t>
      </w:r>
      <w:r w:rsidRPr="00C92F8E">
        <w:rPr>
          <w:rFonts w:ascii="Arial" w:hAnsi="Arial"/>
          <w:sz w:val="18"/>
          <w:szCs w:val="18"/>
        </w:rPr>
        <w:t>en 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8737" w14:textId="2FDE2C25" w:rsidR="00B6167A" w:rsidRPr="007E4E37" w:rsidRDefault="001943EE" w:rsidP="009B55AC">
    <w:pPr>
      <w:pStyle w:val="En-tte"/>
      <w:rPr>
        <w:rFonts w:ascii="Arial" w:hAnsi="Arial" w:cs="Arial"/>
      </w:rPr>
    </w:pPr>
    <w:r>
      <w:rPr>
        <w:rFonts w:ascii="Arial" w:hAnsi="Arial"/>
        <w:sz w:val="20"/>
        <w:szCs w:val="20"/>
      </w:rPr>
      <w:t xml:space="preserve">LHE/19/14.COM/INF.10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9377AA">
      <w:rPr>
        <w:rStyle w:val="Numrodepage"/>
        <w:rFonts w:ascii="Arial" w:hAnsi="Arial" w:cs="Arial"/>
        <w:noProof/>
        <w:sz w:val="20"/>
        <w:szCs w:val="20"/>
      </w:rPr>
      <w:t>6</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9251" w14:textId="1B211F4C" w:rsidR="00B6167A" w:rsidRPr="007E4E37" w:rsidRDefault="001943EE" w:rsidP="007D13D9">
    <w:pPr>
      <w:pStyle w:val="En-tte"/>
      <w:ind w:left="2544" w:firstLine="3828"/>
      <w:jc w:val="right"/>
      <w:rPr>
        <w:rFonts w:ascii="Arial" w:hAnsi="Arial" w:cs="Arial"/>
      </w:rPr>
    </w:pPr>
    <w:r>
      <w:rPr>
        <w:rFonts w:ascii="Arial" w:hAnsi="Arial"/>
        <w:sz w:val="20"/>
        <w:szCs w:val="20"/>
      </w:rPr>
      <w:t>LHE/19/14.COM/INF.</w:t>
    </w:r>
    <w:r w:rsidRPr="00875138">
      <w:rPr>
        <w:rFonts w:ascii="Arial" w:hAnsi="Arial"/>
        <w:sz w:val="20"/>
        <w:szCs w:val="20"/>
      </w:rPr>
      <w:t>10</w:t>
    </w:r>
    <w:r>
      <w:rPr>
        <w:rFonts w:ascii="Arial" w:hAnsi="Arial"/>
        <w:sz w:val="20"/>
        <w:szCs w:val="20"/>
      </w:rPr>
      <w:t xml:space="preserve"> –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rPr>
      <w:instrText xml:space="preserve"> </w:instrText>
    </w:r>
    <w:r w:rsidR="001E4EEB">
      <w:rPr>
        <w:rStyle w:val="Numrodepage"/>
        <w:rFonts w:ascii="Arial" w:hAnsi="Arial" w:cs="Arial"/>
        <w:sz w:val="20"/>
        <w:szCs w:val="20"/>
      </w:rPr>
      <w:instrText>PAGE</w:instrText>
    </w:r>
    <w:r w:rsidR="001E4EEB" w:rsidRPr="00EF563B">
      <w:rPr>
        <w:rStyle w:val="Numrodepage"/>
        <w:rFonts w:ascii="Arial" w:hAnsi="Arial" w:cs="Arial"/>
        <w:sz w:val="20"/>
        <w:szCs w:val="20"/>
      </w:rPr>
      <w:instrText xml:space="preserve"> </w:instrText>
    </w:r>
    <w:r w:rsidR="001E4EEB" w:rsidRPr="00EF563B">
      <w:rPr>
        <w:rStyle w:val="Numrodepage"/>
        <w:rFonts w:ascii="Arial" w:hAnsi="Arial" w:cs="Arial"/>
        <w:sz w:val="20"/>
        <w:szCs w:val="20"/>
      </w:rPr>
      <w:fldChar w:fldCharType="separate"/>
    </w:r>
    <w:r w:rsidR="009377AA">
      <w:rPr>
        <w:rStyle w:val="Numrodepage"/>
        <w:rFonts w:ascii="Arial" w:hAnsi="Arial" w:cs="Arial"/>
        <w:noProof/>
        <w:sz w:val="20"/>
        <w:szCs w:val="20"/>
      </w:rPr>
      <w:t>7</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3331" w14:textId="1C393302" w:rsidR="00B6167A" w:rsidRPr="008724E5" w:rsidRDefault="009B3AFE">
    <w:pPr>
      <w:pStyle w:val="En-tte"/>
    </w:pPr>
    <w:r>
      <w:rPr>
        <w:noProof/>
        <w:lang w:eastAsia="ja-JP"/>
      </w:rPr>
      <w:drawing>
        <wp:anchor distT="0" distB="0" distL="114300" distR="114300" simplePos="0" relativeHeight="251659264" behindDoc="0" locked="0" layoutInCell="1" allowOverlap="1" wp14:anchorId="500EEE4C" wp14:editId="4B985FDF">
          <wp:simplePos x="0" y="0"/>
          <wp:positionH relativeFrom="page">
            <wp:posOffset>329565</wp:posOffset>
          </wp:positionH>
          <wp:positionV relativeFrom="page">
            <wp:posOffset>278870</wp:posOffset>
          </wp:positionV>
          <wp:extent cx="2037600" cy="1530000"/>
          <wp:effectExtent l="0" t="0" r="1270" b="0"/>
          <wp:wrapNone/>
          <wp:docPr id="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DD82F" w14:textId="126DE00E" w:rsidR="00B6167A" w:rsidRPr="00D81948" w:rsidRDefault="00E3509F" w:rsidP="001943EE">
    <w:pPr>
      <w:pStyle w:val="En-tte"/>
      <w:spacing w:after="520"/>
      <w:jc w:val="right"/>
      <w:rPr>
        <w:rFonts w:ascii="Arial" w:hAnsi="Arial" w:cs="Arial"/>
        <w:b/>
        <w:sz w:val="44"/>
        <w:szCs w:val="44"/>
      </w:rPr>
    </w:pPr>
    <w:r>
      <w:rPr>
        <w:rFonts w:ascii="Arial" w:hAnsi="Arial"/>
        <w:b/>
        <w:sz w:val="44"/>
        <w:szCs w:val="44"/>
      </w:rPr>
      <w:t>14 COM</w:t>
    </w:r>
  </w:p>
  <w:p w14:paraId="007B66CF" w14:textId="2D70AF6A" w:rsidR="00B6167A" w:rsidRPr="00D81948" w:rsidRDefault="001943EE" w:rsidP="009B55AC">
    <w:pPr>
      <w:spacing w:after="0"/>
      <w:jc w:val="right"/>
      <w:rPr>
        <w:rFonts w:ascii="Arial" w:hAnsi="Arial" w:cs="Arial"/>
        <w:b/>
        <w:szCs w:val="22"/>
      </w:rPr>
    </w:pPr>
    <w:r>
      <w:rPr>
        <w:rFonts w:ascii="Arial" w:hAnsi="Arial"/>
        <w:b/>
        <w:szCs w:val="22"/>
      </w:rPr>
      <w:t>LHE/19/14.COM/INF.10</w:t>
    </w:r>
  </w:p>
  <w:p w14:paraId="1923BD9D" w14:textId="6F6B3D50" w:rsidR="00B6167A" w:rsidRPr="00E3509F" w:rsidRDefault="00B6167A" w:rsidP="002D396D">
    <w:pPr>
      <w:spacing w:after="0"/>
      <w:jc w:val="right"/>
      <w:rPr>
        <w:rFonts w:ascii="Arial" w:eastAsiaTheme="minorEastAsia" w:hAnsi="Arial" w:cs="Arial"/>
        <w:b/>
        <w:szCs w:val="22"/>
      </w:rPr>
    </w:pPr>
    <w:r>
      <w:rPr>
        <w:rFonts w:ascii="Arial" w:hAnsi="Arial"/>
        <w:b/>
        <w:szCs w:val="22"/>
      </w:rPr>
      <w:t xml:space="preserve">Paris, </w:t>
    </w:r>
    <w:r w:rsidR="003C7C5D">
      <w:rPr>
        <w:rFonts w:ascii="Arial" w:hAnsi="Arial"/>
        <w:b/>
        <w:szCs w:val="22"/>
      </w:rPr>
      <w:t>le 7</w:t>
    </w:r>
    <w:r w:rsidR="00CA1B86" w:rsidRPr="00800CF4">
      <w:rPr>
        <w:rFonts w:ascii="Arial" w:hAnsi="Arial"/>
        <w:b/>
        <w:szCs w:val="22"/>
      </w:rPr>
      <w:t xml:space="preserve"> novembre</w:t>
    </w:r>
    <w:r w:rsidR="00F96CD4" w:rsidRPr="00800CF4">
      <w:rPr>
        <w:rFonts w:ascii="Arial" w:hAnsi="Arial"/>
        <w:b/>
        <w:szCs w:val="22"/>
      </w:rPr>
      <w:t xml:space="preserve"> </w:t>
    </w:r>
    <w:r w:rsidRPr="00800CF4">
      <w:rPr>
        <w:rFonts w:ascii="Arial" w:hAnsi="Arial"/>
        <w:b/>
        <w:szCs w:val="22"/>
      </w:rPr>
      <w:t>2019</w:t>
    </w:r>
  </w:p>
  <w:p w14:paraId="0B2DDC2C" w14:textId="6257AA38" w:rsidR="00B6167A" w:rsidRPr="00D81948" w:rsidRDefault="00B6167A" w:rsidP="002D396D">
    <w:pPr>
      <w:spacing w:after="0"/>
      <w:jc w:val="right"/>
      <w:rPr>
        <w:rFonts w:ascii="Arial" w:hAnsi="Arial" w:cs="Arial"/>
        <w:b/>
        <w:szCs w:val="22"/>
      </w:rPr>
    </w:pPr>
    <w:r>
      <w:rPr>
        <w:rFonts w:ascii="Arial" w:hAnsi="Arial"/>
        <w:b/>
        <w:szCs w:val="22"/>
      </w:rPr>
      <w:t>Original : anglais</w:t>
    </w:r>
  </w:p>
  <w:p w14:paraId="7964426F" w14:textId="77777777" w:rsidR="00B6167A" w:rsidRPr="00D81948"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25B585A"/>
    <w:multiLevelType w:val="hybridMultilevel"/>
    <w:tmpl w:val="7D7A2B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7117AC"/>
    <w:multiLevelType w:val="multilevel"/>
    <w:tmpl w:val="E70EBFFC"/>
    <w:numStyleLink w:val="Headingsubdecision"/>
  </w:abstractNum>
  <w:abstractNum w:abstractNumId="7" w15:restartNumberingAfterBreak="0">
    <w:nsid w:val="574D5E8B"/>
    <w:multiLevelType w:val="multilevel"/>
    <w:tmpl w:val="82CEAA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A1097"/>
    <w:multiLevelType w:val="hybridMultilevel"/>
    <w:tmpl w:val="62DE3456"/>
    <w:lvl w:ilvl="0" w:tplc="3768228A">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045991"/>
    <w:multiLevelType w:val="hybridMultilevel"/>
    <w:tmpl w:val="468017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685218"/>
    <w:multiLevelType w:val="multilevel"/>
    <w:tmpl w:val="D3C26450"/>
    <w:lvl w:ilvl="0">
      <w:start w:val="6"/>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8D4906"/>
    <w:multiLevelType w:val="hybridMultilevel"/>
    <w:tmpl w:val="9390A3A0"/>
    <w:lvl w:ilvl="0" w:tplc="763E8CC2">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16"/>
  </w:num>
  <w:num w:numId="5">
    <w:abstractNumId w:val="13"/>
  </w:num>
  <w:num w:numId="6">
    <w:abstractNumId w:val="0"/>
  </w:num>
  <w:num w:numId="7">
    <w:abstractNumId w:val="2"/>
  </w:num>
  <w:num w:numId="8">
    <w:abstractNumId w:val="3"/>
  </w:num>
  <w:num w:numId="9">
    <w:abstractNumId w:val="14"/>
  </w:num>
  <w:num w:numId="10">
    <w:abstractNumId w:val="8"/>
  </w:num>
  <w:num w:numId="11">
    <w:abstractNumId w:val="5"/>
  </w:num>
  <w:num w:numId="12">
    <w:abstractNumId w:val="12"/>
  </w:num>
  <w:num w:numId="13">
    <w:abstractNumId w:val="6"/>
  </w:num>
  <w:num w:numId="14">
    <w:abstractNumId w:val="3"/>
  </w:num>
  <w:num w:numId="15">
    <w:abstractNumId w:val="3"/>
  </w:num>
  <w:num w:numId="16">
    <w:abstractNumId w:val="3"/>
  </w:num>
  <w:num w:numId="17">
    <w:abstractNumId w:val="3"/>
  </w:num>
  <w:num w:numId="18">
    <w:abstractNumId w:val="3"/>
    <w:lvlOverride w:ilvl="0">
      <w:startOverride w:val="1"/>
    </w:lvlOverride>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5"/>
  </w:num>
  <w:num w:numId="28">
    <w:abstractNumId w:val="7"/>
    <w:lvlOverride w:ilvl="0">
      <w:lvl w:ilvl="0">
        <w:numFmt w:val="decimal"/>
        <w:lvlText w:val="%1."/>
        <w:lvlJc w:val="left"/>
      </w:lvl>
    </w:lvlOverride>
  </w:num>
  <w:num w:numId="29">
    <w:abstractNumId w:val="9"/>
  </w:num>
  <w:num w:numId="30">
    <w:abstractNumId w:val="3"/>
  </w:num>
  <w:num w:numId="31">
    <w:abstractNumId w:val="3"/>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F1F136-85A7-40E4-AE21-551EB8032CFA}"/>
    <w:docVar w:name="dgnword-eventsink" w:val="469650752"/>
  </w:docVars>
  <w:rsids>
    <w:rsidRoot w:val="005414A1"/>
    <w:rsid w:val="000016A4"/>
    <w:rsid w:val="000019DB"/>
    <w:rsid w:val="00004153"/>
    <w:rsid w:val="000047CC"/>
    <w:rsid w:val="000120FD"/>
    <w:rsid w:val="000126BD"/>
    <w:rsid w:val="00021831"/>
    <w:rsid w:val="00022014"/>
    <w:rsid w:val="000253E3"/>
    <w:rsid w:val="0003276C"/>
    <w:rsid w:val="00032C22"/>
    <w:rsid w:val="00032FB9"/>
    <w:rsid w:val="000340A6"/>
    <w:rsid w:val="00034CCB"/>
    <w:rsid w:val="00047E58"/>
    <w:rsid w:val="000559EF"/>
    <w:rsid w:val="00072ABB"/>
    <w:rsid w:val="00073D20"/>
    <w:rsid w:val="000755E1"/>
    <w:rsid w:val="00080B98"/>
    <w:rsid w:val="000820D2"/>
    <w:rsid w:val="00084C75"/>
    <w:rsid w:val="00085541"/>
    <w:rsid w:val="00085D2C"/>
    <w:rsid w:val="00087BAC"/>
    <w:rsid w:val="00090C21"/>
    <w:rsid w:val="00093063"/>
    <w:rsid w:val="000955D7"/>
    <w:rsid w:val="000A3215"/>
    <w:rsid w:val="000A34CE"/>
    <w:rsid w:val="000A3B9E"/>
    <w:rsid w:val="000A5748"/>
    <w:rsid w:val="000B1A22"/>
    <w:rsid w:val="000C65E4"/>
    <w:rsid w:val="000E0E77"/>
    <w:rsid w:val="00101CA1"/>
    <w:rsid w:val="001064D8"/>
    <w:rsid w:val="00106B72"/>
    <w:rsid w:val="0011750D"/>
    <w:rsid w:val="001241F3"/>
    <w:rsid w:val="0012761B"/>
    <w:rsid w:val="00131E27"/>
    <w:rsid w:val="00137170"/>
    <w:rsid w:val="001412DE"/>
    <w:rsid w:val="001423E1"/>
    <w:rsid w:val="00144A4D"/>
    <w:rsid w:val="00145F29"/>
    <w:rsid w:val="00151351"/>
    <w:rsid w:val="00151BBD"/>
    <w:rsid w:val="00160596"/>
    <w:rsid w:val="001626E5"/>
    <w:rsid w:val="00162A2F"/>
    <w:rsid w:val="00174B39"/>
    <w:rsid w:val="001768BD"/>
    <w:rsid w:val="001943EE"/>
    <w:rsid w:val="001946C7"/>
    <w:rsid w:val="001A1BCA"/>
    <w:rsid w:val="001A3173"/>
    <w:rsid w:val="001A431C"/>
    <w:rsid w:val="001A582C"/>
    <w:rsid w:val="001A622D"/>
    <w:rsid w:val="001A68E3"/>
    <w:rsid w:val="001C5BA7"/>
    <w:rsid w:val="001D00B5"/>
    <w:rsid w:val="001D3B29"/>
    <w:rsid w:val="001E1422"/>
    <w:rsid w:val="001E2A16"/>
    <w:rsid w:val="001E4EEB"/>
    <w:rsid w:val="001E6026"/>
    <w:rsid w:val="001E719C"/>
    <w:rsid w:val="001F3696"/>
    <w:rsid w:val="001F37CA"/>
    <w:rsid w:val="001F7A7A"/>
    <w:rsid w:val="002035AD"/>
    <w:rsid w:val="00204B37"/>
    <w:rsid w:val="002149D9"/>
    <w:rsid w:val="00214EB1"/>
    <w:rsid w:val="002227DB"/>
    <w:rsid w:val="0022582C"/>
    <w:rsid w:val="00231532"/>
    <w:rsid w:val="002377E9"/>
    <w:rsid w:val="00237E43"/>
    <w:rsid w:val="00243031"/>
    <w:rsid w:val="00243C64"/>
    <w:rsid w:val="00251F35"/>
    <w:rsid w:val="0025546D"/>
    <w:rsid w:val="0025552F"/>
    <w:rsid w:val="00260F3E"/>
    <w:rsid w:val="00264A89"/>
    <w:rsid w:val="002670FC"/>
    <w:rsid w:val="002708D7"/>
    <w:rsid w:val="0027198B"/>
    <w:rsid w:val="002743F8"/>
    <w:rsid w:val="00285D77"/>
    <w:rsid w:val="00286C0C"/>
    <w:rsid w:val="00290D5F"/>
    <w:rsid w:val="002912FC"/>
    <w:rsid w:val="002938F2"/>
    <w:rsid w:val="002A446C"/>
    <w:rsid w:val="002A715B"/>
    <w:rsid w:val="002B44F4"/>
    <w:rsid w:val="002B6778"/>
    <w:rsid w:val="002C5280"/>
    <w:rsid w:val="002C79A6"/>
    <w:rsid w:val="002D396D"/>
    <w:rsid w:val="002E6D29"/>
    <w:rsid w:val="002E701F"/>
    <w:rsid w:val="002F265B"/>
    <w:rsid w:val="002F5855"/>
    <w:rsid w:val="00303CB2"/>
    <w:rsid w:val="00307B6A"/>
    <w:rsid w:val="00311F4B"/>
    <w:rsid w:val="00324641"/>
    <w:rsid w:val="00331ED2"/>
    <w:rsid w:val="00332582"/>
    <w:rsid w:val="00341AA1"/>
    <w:rsid w:val="00353374"/>
    <w:rsid w:val="003543EA"/>
    <w:rsid w:val="0035648A"/>
    <w:rsid w:val="003572E5"/>
    <w:rsid w:val="00363995"/>
    <w:rsid w:val="00363FD5"/>
    <w:rsid w:val="00365BAA"/>
    <w:rsid w:val="00372CB5"/>
    <w:rsid w:val="003824AD"/>
    <w:rsid w:val="00387814"/>
    <w:rsid w:val="00387A4C"/>
    <w:rsid w:val="0039446E"/>
    <w:rsid w:val="003964DC"/>
    <w:rsid w:val="003A5EF0"/>
    <w:rsid w:val="003A6AA6"/>
    <w:rsid w:val="003B2C66"/>
    <w:rsid w:val="003B5151"/>
    <w:rsid w:val="003B5645"/>
    <w:rsid w:val="003C4564"/>
    <w:rsid w:val="003C7065"/>
    <w:rsid w:val="003C7C5D"/>
    <w:rsid w:val="003D0961"/>
    <w:rsid w:val="003D4D05"/>
    <w:rsid w:val="003D4E4B"/>
    <w:rsid w:val="003F2AAF"/>
    <w:rsid w:val="003F313D"/>
    <w:rsid w:val="003F6D2A"/>
    <w:rsid w:val="003F7105"/>
    <w:rsid w:val="003F78F2"/>
    <w:rsid w:val="003F7EC2"/>
    <w:rsid w:val="004054A9"/>
    <w:rsid w:val="004108B6"/>
    <w:rsid w:val="004322C1"/>
    <w:rsid w:val="00433228"/>
    <w:rsid w:val="00434773"/>
    <w:rsid w:val="00447C66"/>
    <w:rsid w:val="004520BA"/>
    <w:rsid w:val="00462057"/>
    <w:rsid w:val="00462716"/>
    <w:rsid w:val="00471B34"/>
    <w:rsid w:val="004772F1"/>
    <w:rsid w:val="0049301E"/>
    <w:rsid w:val="00493E9E"/>
    <w:rsid w:val="00495FDE"/>
    <w:rsid w:val="004B46F9"/>
    <w:rsid w:val="004D37F3"/>
    <w:rsid w:val="004D4839"/>
    <w:rsid w:val="004E0569"/>
    <w:rsid w:val="004E056C"/>
    <w:rsid w:val="004E2817"/>
    <w:rsid w:val="004E68E6"/>
    <w:rsid w:val="004F027C"/>
    <w:rsid w:val="005016FB"/>
    <w:rsid w:val="005018B6"/>
    <w:rsid w:val="0050400A"/>
    <w:rsid w:val="00511D17"/>
    <w:rsid w:val="0051699F"/>
    <w:rsid w:val="005221EE"/>
    <w:rsid w:val="0053336E"/>
    <w:rsid w:val="005414A1"/>
    <w:rsid w:val="005519B0"/>
    <w:rsid w:val="00552D38"/>
    <w:rsid w:val="005574B5"/>
    <w:rsid w:val="005611F7"/>
    <w:rsid w:val="00570FB3"/>
    <w:rsid w:val="00571EA3"/>
    <w:rsid w:val="00573885"/>
    <w:rsid w:val="00573A21"/>
    <w:rsid w:val="00574EF1"/>
    <w:rsid w:val="0058393E"/>
    <w:rsid w:val="00595919"/>
    <w:rsid w:val="005A16E6"/>
    <w:rsid w:val="005B1305"/>
    <w:rsid w:val="005B5D54"/>
    <w:rsid w:val="005B7FCA"/>
    <w:rsid w:val="005C0660"/>
    <w:rsid w:val="005C47B5"/>
    <w:rsid w:val="005D2A73"/>
    <w:rsid w:val="005E04D9"/>
    <w:rsid w:val="005E0C70"/>
    <w:rsid w:val="005E71C4"/>
    <w:rsid w:val="00601DD6"/>
    <w:rsid w:val="00603F71"/>
    <w:rsid w:val="00611CA6"/>
    <w:rsid w:val="00615278"/>
    <w:rsid w:val="00616454"/>
    <w:rsid w:val="00616D41"/>
    <w:rsid w:val="00623613"/>
    <w:rsid w:val="006265F0"/>
    <w:rsid w:val="00636760"/>
    <w:rsid w:val="006475D6"/>
    <w:rsid w:val="006515C9"/>
    <w:rsid w:val="00651C38"/>
    <w:rsid w:val="00652318"/>
    <w:rsid w:val="006525CC"/>
    <w:rsid w:val="00657214"/>
    <w:rsid w:val="00664ADB"/>
    <w:rsid w:val="00667ACB"/>
    <w:rsid w:val="0067005F"/>
    <w:rsid w:val="006732D9"/>
    <w:rsid w:val="00673731"/>
    <w:rsid w:val="00675C5F"/>
    <w:rsid w:val="00676F8D"/>
    <w:rsid w:val="006833B1"/>
    <w:rsid w:val="006922E7"/>
    <w:rsid w:val="00693E51"/>
    <w:rsid w:val="006A08E0"/>
    <w:rsid w:val="006A0D86"/>
    <w:rsid w:val="006A41D5"/>
    <w:rsid w:val="006A4950"/>
    <w:rsid w:val="006C08AD"/>
    <w:rsid w:val="006C0911"/>
    <w:rsid w:val="006C1290"/>
    <w:rsid w:val="006D1391"/>
    <w:rsid w:val="006D46FB"/>
    <w:rsid w:val="006E6B5F"/>
    <w:rsid w:val="006E6CA0"/>
    <w:rsid w:val="006F0C27"/>
    <w:rsid w:val="00700D72"/>
    <w:rsid w:val="007307F0"/>
    <w:rsid w:val="00733362"/>
    <w:rsid w:val="00736122"/>
    <w:rsid w:val="007366EE"/>
    <w:rsid w:val="00746204"/>
    <w:rsid w:val="00747715"/>
    <w:rsid w:val="00750138"/>
    <w:rsid w:val="00753DA3"/>
    <w:rsid w:val="007613A0"/>
    <w:rsid w:val="00764F50"/>
    <w:rsid w:val="00765408"/>
    <w:rsid w:val="00770A92"/>
    <w:rsid w:val="00774361"/>
    <w:rsid w:val="00784C7D"/>
    <w:rsid w:val="00790C65"/>
    <w:rsid w:val="00792B07"/>
    <w:rsid w:val="007A7D45"/>
    <w:rsid w:val="007B5137"/>
    <w:rsid w:val="007C03F5"/>
    <w:rsid w:val="007C174C"/>
    <w:rsid w:val="007C1B00"/>
    <w:rsid w:val="007C4575"/>
    <w:rsid w:val="007C5917"/>
    <w:rsid w:val="007D118B"/>
    <w:rsid w:val="007D13D9"/>
    <w:rsid w:val="007D2168"/>
    <w:rsid w:val="007D2A52"/>
    <w:rsid w:val="007D31CE"/>
    <w:rsid w:val="007D5BB7"/>
    <w:rsid w:val="007E0621"/>
    <w:rsid w:val="007E4E37"/>
    <w:rsid w:val="007F45FE"/>
    <w:rsid w:val="007F4B07"/>
    <w:rsid w:val="007F550C"/>
    <w:rsid w:val="00800CF4"/>
    <w:rsid w:val="00804D10"/>
    <w:rsid w:val="00806681"/>
    <w:rsid w:val="0081228D"/>
    <w:rsid w:val="00813CA4"/>
    <w:rsid w:val="00817F6D"/>
    <w:rsid w:val="0082032C"/>
    <w:rsid w:val="0082360B"/>
    <w:rsid w:val="00825727"/>
    <w:rsid w:val="00827948"/>
    <w:rsid w:val="008335AB"/>
    <w:rsid w:val="0083488D"/>
    <w:rsid w:val="008466C3"/>
    <w:rsid w:val="00851458"/>
    <w:rsid w:val="00853265"/>
    <w:rsid w:val="008534EC"/>
    <w:rsid w:val="00861A47"/>
    <w:rsid w:val="00865E12"/>
    <w:rsid w:val="008706F6"/>
    <w:rsid w:val="008707FF"/>
    <w:rsid w:val="00870D9A"/>
    <w:rsid w:val="008724E5"/>
    <w:rsid w:val="00874EE6"/>
    <w:rsid w:val="00875138"/>
    <w:rsid w:val="008757B1"/>
    <w:rsid w:val="00876EE0"/>
    <w:rsid w:val="008874FA"/>
    <w:rsid w:val="008963FE"/>
    <w:rsid w:val="00897D6E"/>
    <w:rsid w:val="008A3AFE"/>
    <w:rsid w:val="008A433E"/>
    <w:rsid w:val="008B08A7"/>
    <w:rsid w:val="008B4308"/>
    <w:rsid w:val="008B7A94"/>
    <w:rsid w:val="008C611B"/>
    <w:rsid w:val="008D0522"/>
    <w:rsid w:val="008D3BF7"/>
    <w:rsid w:val="008D4C40"/>
    <w:rsid w:val="008D5B19"/>
    <w:rsid w:val="008D7D26"/>
    <w:rsid w:val="008E1444"/>
    <w:rsid w:val="008E70EF"/>
    <w:rsid w:val="008F16C6"/>
    <w:rsid w:val="008F34A1"/>
    <w:rsid w:val="008F48FA"/>
    <w:rsid w:val="00901827"/>
    <w:rsid w:val="00907880"/>
    <w:rsid w:val="009121CE"/>
    <w:rsid w:val="009127D8"/>
    <w:rsid w:val="00914D09"/>
    <w:rsid w:val="009153E5"/>
    <w:rsid w:val="009172A3"/>
    <w:rsid w:val="00917C03"/>
    <w:rsid w:val="00921E5A"/>
    <w:rsid w:val="00921F65"/>
    <w:rsid w:val="00926DC9"/>
    <w:rsid w:val="00933655"/>
    <w:rsid w:val="0093438E"/>
    <w:rsid w:val="009354CF"/>
    <w:rsid w:val="009377AA"/>
    <w:rsid w:val="00945DC8"/>
    <w:rsid w:val="0094602E"/>
    <w:rsid w:val="009511AC"/>
    <w:rsid w:val="00952270"/>
    <w:rsid w:val="00956E19"/>
    <w:rsid w:val="009626BE"/>
    <w:rsid w:val="00966C94"/>
    <w:rsid w:val="00970676"/>
    <w:rsid w:val="009706E3"/>
    <w:rsid w:val="009731B1"/>
    <w:rsid w:val="0097349C"/>
    <w:rsid w:val="0097708C"/>
    <w:rsid w:val="00977DCB"/>
    <w:rsid w:val="0098229B"/>
    <w:rsid w:val="00985CFC"/>
    <w:rsid w:val="009875E5"/>
    <w:rsid w:val="00996120"/>
    <w:rsid w:val="009A4BCA"/>
    <w:rsid w:val="009B385A"/>
    <w:rsid w:val="009B3AFE"/>
    <w:rsid w:val="009B55AC"/>
    <w:rsid w:val="009D35F7"/>
    <w:rsid w:val="009D4547"/>
    <w:rsid w:val="009D5B99"/>
    <w:rsid w:val="009D5E38"/>
    <w:rsid w:val="009D6E76"/>
    <w:rsid w:val="009F29BC"/>
    <w:rsid w:val="009F34A4"/>
    <w:rsid w:val="009F3988"/>
    <w:rsid w:val="009F3F7B"/>
    <w:rsid w:val="009F61A4"/>
    <w:rsid w:val="00A013CC"/>
    <w:rsid w:val="00A10488"/>
    <w:rsid w:val="00A12642"/>
    <w:rsid w:val="00A150C7"/>
    <w:rsid w:val="00A340D4"/>
    <w:rsid w:val="00A3691C"/>
    <w:rsid w:val="00A43666"/>
    <w:rsid w:val="00A50705"/>
    <w:rsid w:val="00A50C56"/>
    <w:rsid w:val="00A519A2"/>
    <w:rsid w:val="00A62B65"/>
    <w:rsid w:val="00A64BED"/>
    <w:rsid w:val="00A668C4"/>
    <w:rsid w:val="00A70883"/>
    <w:rsid w:val="00A70A85"/>
    <w:rsid w:val="00A71045"/>
    <w:rsid w:val="00A749F8"/>
    <w:rsid w:val="00A77AEB"/>
    <w:rsid w:val="00A834B2"/>
    <w:rsid w:val="00A86042"/>
    <w:rsid w:val="00A929A4"/>
    <w:rsid w:val="00A92DE3"/>
    <w:rsid w:val="00A945FA"/>
    <w:rsid w:val="00A94ED5"/>
    <w:rsid w:val="00AA444A"/>
    <w:rsid w:val="00AA5BD9"/>
    <w:rsid w:val="00AB1528"/>
    <w:rsid w:val="00AB2A60"/>
    <w:rsid w:val="00AB3C93"/>
    <w:rsid w:val="00AC22EE"/>
    <w:rsid w:val="00AC3C64"/>
    <w:rsid w:val="00AC4200"/>
    <w:rsid w:val="00AC5A53"/>
    <w:rsid w:val="00AD2EB2"/>
    <w:rsid w:val="00AD44CC"/>
    <w:rsid w:val="00AE0E6B"/>
    <w:rsid w:val="00AE1B18"/>
    <w:rsid w:val="00AE72EC"/>
    <w:rsid w:val="00AF12CA"/>
    <w:rsid w:val="00AF1C32"/>
    <w:rsid w:val="00AF2612"/>
    <w:rsid w:val="00AF7854"/>
    <w:rsid w:val="00B00260"/>
    <w:rsid w:val="00B0558D"/>
    <w:rsid w:val="00B11AE3"/>
    <w:rsid w:val="00B11F4D"/>
    <w:rsid w:val="00B25442"/>
    <w:rsid w:val="00B25A0A"/>
    <w:rsid w:val="00B27F29"/>
    <w:rsid w:val="00B34E34"/>
    <w:rsid w:val="00B37423"/>
    <w:rsid w:val="00B46E21"/>
    <w:rsid w:val="00B6167A"/>
    <w:rsid w:val="00B6180A"/>
    <w:rsid w:val="00B64FFD"/>
    <w:rsid w:val="00B67340"/>
    <w:rsid w:val="00B838F2"/>
    <w:rsid w:val="00B905BF"/>
    <w:rsid w:val="00B973B5"/>
    <w:rsid w:val="00BB2217"/>
    <w:rsid w:val="00BB4A65"/>
    <w:rsid w:val="00BB6416"/>
    <w:rsid w:val="00BB7072"/>
    <w:rsid w:val="00BC4C46"/>
    <w:rsid w:val="00BD1AD2"/>
    <w:rsid w:val="00BD2175"/>
    <w:rsid w:val="00BD2267"/>
    <w:rsid w:val="00BD3A14"/>
    <w:rsid w:val="00BD59BD"/>
    <w:rsid w:val="00BF1732"/>
    <w:rsid w:val="00BF6356"/>
    <w:rsid w:val="00BF72D0"/>
    <w:rsid w:val="00C04867"/>
    <w:rsid w:val="00C07D9E"/>
    <w:rsid w:val="00C14148"/>
    <w:rsid w:val="00C161EC"/>
    <w:rsid w:val="00C16860"/>
    <w:rsid w:val="00C23118"/>
    <w:rsid w:val="00C241B9"/>
    <w:rsid w:val="00C2799B"/>
    <w:rsid w:val="00C27C47"/>
    <w:rsid w:val="00C30801"/>
    <w:rsid w:val="00C31B86"/>
    <w:rsid w:val="00C368D7"/>
    <w:rsid w:val="00C37132"/>
    <w:rsid w:val="00C47EDE"/>
    <w:rsid w:val="00C60FAA"/>
    <w:rsid w:val="00C6478B"/>
    <w:rsid w:val="00C64BFC"/>
    <w:rsid w:val="00C64EEB"/>
    <w:rsid w:val="00C6652F"/>
    <w:rsid w:val="00C70EFC"/>
    <w:rsid w:val="00C82C76"/>
    <w:rsid w:val="00C92F8E"/>
    <w:rsid w:val="00C92FCE"/>
    <w:rsid w:val="00C95A1B"/>
    <w:rsid w:val="00C97BFE"/>
    <w:rsid w:val="00CA1B86"/>
    <w:rsid w:val="00CB0F37"/>
    <w:rsid w:val="00CB33B8"/>
    <w:rsid w:val="00CB673B"/>
    <w:rsid w:val="00CB6AED"/>
    <w:rsid w:val="00CC1273"/>
    <w:rsid w:val="00CC2BC6"/>
    <w:rsid w:val="00CD287D"/>
    <w:rsid w:val="00CD331F"/>
    <w:rsid w:val="00CD66A3"/>
    <w:rsid w:val="00CE2586"/>
    <w:rsid w:val="00CE6F35"/>
    <w:rsid w:val="00D02074"/>
    <w:rsid w:val="00D02404"/>
    <w:rsid w:val="00D0368C"/>
    <w:rsid w:val="00D20E5D"/>
    <w:rsid w:val="00D21FA6"/>
    <w:rsid w:val="00D2677B"/>
    <w:rsid w:val="00D3176B"/>
    <w:rsid w:val="00D404B7"/>
    <w:rsid w:val="00D46EBD"/>
    <w:rsid w:val="00D5194E"/>
    <w:rsid w:val="00D732D0"/>
    <w:rsid w:val="00D809AD"/>
    <w:rsid w:val="00D809E5"/>
    <w:rsid w:val="00D81948"/>
    <w:rsid w:val="00D8307B"/>
    <w:rsid w:val="00D933A7"/>
    <w:rsid w:val="00D9501F"/>
    <w:rsid w:val="00D966CC"/>
    <w:rsid w:val="00DA6C1E"/>
    <w:rsid w:val="00DB2FBE"/>
    <w:rsid w:val="00DB50D5"/>
    <w:rsid w:val="00DB7826"/>
    <w:rsid w:val="00DB79E5"/>
    <w:rsid w:val="00DC4D76"/>
    <w:rsid w:val="00DC71D6"/>
    <w:rsid w:val="00DD1BE7"/>
    <w:rsid w:val="00DD546E"/>
    <w:rsid w:val="00DE47B8"/>
    <w:rsid w:val="00DF33E9"/>
    <w:rsid w:val="00DF3DA3"/>
    <w:rsid w:val="00E001C5"/>
    <w:rsid w:val="00E00670"/>
    <w:rsid w:val="00E068B2"/>
    <w:rsid w:val="00E06A00"/>
    <w:rsid w:val="00E07EC4"/>
    <w:rsid w:val="00E20F2B"/>
    <w:rsid w:val="00E22B99"/>
    <w:rsid w:val="00E241A8"/>
    <w:rsid w:val="00E24297"/>
    <w:rsid w:val="00E258D9"/>
    <w:rsid w:val="00E3509F"/>
    <w:rsid w:val="00E439CA"/>
    <w:rsid w:val="00E473C6"/>
    <w:rsid w:val="00E5219B"/>
    <w:rsid w:val="00E575F0"/>
    <w:rsid w:val="00E60134"/>
    <w:rsid w:val="00E72B36"/>
    <w:rsid w:val="00E7372F"/>
    <w:rsid w:val="00E82FFC"/>
    <w:rsid w:val="00E87EB1"/>
    <w:rsid w:val="00E91B85"/>
    <w:rsid w:val="00E93060"/>
    <w:rsid w:val="00E93F6E"/>
    <w:rsid w:val="00E947ED"/>
    <w:rsid w:val="00E954D9"/>
    <w:rsid w:val="00EA006A"/>
    <w:rsid w:val="00EA02C1"/>
    <w:rsid w:val="00EA198F"/>
    <w:rsid w:val="00EA22AB"/>
    <w:rsid w:val="00EA4AD2"/>
    <w:rsid w:val="00EA4B84"/>
    <w:rsid w:val="00EA6409"/>
    <w:rsid w:val="00EB0C6F"/>
    <w:rsid w:val="00EC589D"/>
    <w:rsid w:val="00EE5164"/>
    <w:rsid w:val="00EE6938"/>
    <w:rsid w:val="00EE6FC8"/>
    <w:rsid w:val="00EF096C"/>
    <w:rsid w:val="00EF0BCB"/>
    <w:rsid w:val="00EF0E74"/>
    <w:rsid w:val="00EF27EE"/>
    <w:rsid w:val="00F00E8A"/>
    <w:rsid w:val="00F045E1"/>
    <w:rsid w:val="00F05D44"/>
    <w:rsid w:val="00F0600B"/>
    <w:rsid w:val="00F10EE7"/>
    <w:rsid w:val="00F17B14"/>
    <w:rsid w:val="00F2474F"/>
    <w:rsid w:val="00F27125"/>
    <w:rsid w:val="00F33650"/>
    <w:rsid w:val="00F3495B"/>
    <w:rsid w:val="00F35942"/>
    <w:rsid w:val="00F37C7B"/>
    <w:rsid w:val="00F42CCD"/>
    <w:rsid w:val="00F42CF0"/>
    <w:rsid w:val="00F45045"/>
    <w:rsid w:val="00F4629F"/>
    <w:rsid w:val="00F473CB"/>
    <w:rsid w:val="00F50245"/>
    <w:rsid w:val="00F5442B"/>
    <w:rsid w:val="00F57F06"/>
    <w:rsid w:val="00F632FE"/>
    <w:rsid w:val="00F63DDA"/>
    <w:rsid w:val="00F674D7"/>
    <w:rsid w:val="00F70858"/>
    <w:rsid w:val="00F7397F"/>
    <w:rsid w:val="00F75949"/>
    <w:rsid w:val="00F8232B"/>
    <w:rsid w:val="00F941F0"/>
    <w:rsid w:val="00F96CD4"/>
    <w:rsid w:val="00FA457C"/>
    <w:rsid w:val="00FA65DA"/>
    <w:rsid w:val="00FB0C37"/>
    <w:rsid w:val="00FB56E3"/>
    <w:rsid w:val="00FC1B10"/>
    <w:rsid w:val="00FC4664"/>
    <w:rsid w:val="00FC67A0"/>
    <w:rsid w:val="00FD07D3"/>
    <w:rsid w:val="00FE4799"/>
    <w:rsid w:val="00FF2B1D"/>
    <w:rsid w:val="00FF49BA"/>
    <w:rsid w:val="00FF645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4B8C7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fr-FR"/>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251F35"/>
    <w:pPr>
      <w:spacing w:after="120"/>
      <w:ind w:left="720" w:hanging="360"/>
    </w:pPr>
    <w:rPr>
      <w:rFonts w:ascii="Arial" w:eastAsia="Times New Roman" w:hAnsi="Arial" w:cs="Arial"/>
      <w:snapToGrid w:val="0"/>
      <w:sz w:val="22"/>
      <w:szCs w:val="22"/>
      <w:lang w:eastAsia="en-US"/>
    </w:rPr>
  </w:style>
  <w:style w:type="character" w:styleId="Lienhypertexte">
    <w:name w:val="Hyperlink"/>
    <w:uiPriority w:val="99"/>
    <w:rsid w:val="009153E5"/>
    <w:rPr>
      <w:rFonts w:cs="Times New Roman"/>
      <w:color w:val="0000FF"/>
      <w:u w:val="single"/>
    </w:rPr>
  </w:style>
  <w:style w:type="character" w:styleId="Lienhypertextesuivivisit">
    <w:name w:val="FollowedHyperlink"/>
    <w:basedOn w:val="Policepardfaut"/>
    <w:semiHidden/>
    <w:unhideWhenUsed/>
    <w:rsid w:val="00CD331F"/>
    <w:rPr>
      <w:color w:val="800080" w:themeColor="followedHyperlink"/>
      <w:u w:val="single"/>
    </w:rPr>
  </w:style>
  <w:style w:type="paragraph" w:customStyle="1" w:styleId="Default">
    <w:name w:val="Default"/>
    <w:rsid w:val="00E068B2"/>
    <w:pPr>
      <w:autoSpaceDE w:val="0"/>
      <w:autoSpaceDN w:val="0"/>
      <w:adjustRightInd w:val="0"/>
    </w:pPr>
    <w:rPr>
      <w:rFonts w:ascii="Arial" w:hAnsi="Arial" w:cs="Arial"/>
      <w:color w:val="000000"/>
      <w:sz w:val="24"/>
      <w:szCs w:val="24"/>
    </w:rPr>
  </w:style>
  <w:style w:type="paragraph" w:styleId="Paragraphedeliste">
    <w:name w:val="List Paragraph"/>
    <w:basedOn w:val="Normal"/>
    <w:qFormat/>
    <w:rsid w:val="00E068B2"/>
    <w:pPr>
      <w:ind w:left="720"/>
      <w:contextualSpacing/>
    </w:pPr>
  </w:style>
  <w:style w:type="paragraph" w:customStyle="1" w:styleId="Style1">
    <w:name w:val="Style1"/>
    <w:basedOn w:val="Normal"/>
    <w:link w:val="Style1Char"/>
    <w:qFormat/>
    <w:rsid w:val="00876EE0"/>
    <w:pPr>
      <w:numPr>
        <w:ilvl w:val="1"/>
        <w:numId w:val="13"/>
      </w:numPr>
      <w:tabs>
        <w:tab w:val="left" w:pos="1134"/>
        <w:tab w:val="left" w:pos="1701"/>
        <w:tab w:val="left" w:pos="2268"/>
      </w:tabs>
      <w:spacing w:before="120"/>
      <w:jc w:val="both"/>
    </w:pPr>
    <w:rPr>
      <w:rFonts w:ascii="Arial" w:hAnsi="Arial" w:cs="Arial"/>
      <w:szCs w:val="22"/>
    </w:rPr>
  </w:style>
  <w:style w:type="numbering" w:customStyle="1" w:styleId="Headingsubdecision">
    <w:name w:val="Heading sub decision"/>
    <w:uiPriority w:val="99"/>
    <w:rsid w:val="00876EE0"/>
    <w:pPr>
      <w:numPr>
        <w:numId w:val="12"/>
      </w:numPr>
    </w:pPr>
  </w:style>
  <w:style w:type="character" w:customStyle="1" w:styleId="Style1Char">
    <w:name w:val="Style1 Char"/>
    <w:basedOn w:val="Policepardfaut"/>
    <w:link w:val="Style1"/>
    <w:rsid w:val="00876EE0"/>
    <w:rPr>
      <w:rFonts w:ascii="Arial" w:eastAsia="Times New Roman" w:hAnsi="Arial" w:cs="Arial"/>
      <w:sz w:val="22"/>
      <w:szCs w:val="22"/>
      <w:lang w:val="fr-FR"/>
    </w:rPr>
  </w:style>
  <w:style w:type="paragraph" w:styleId="NormalWeb">
    <w:name w:val="Normal (Web)"/>
    <w:basedOn w:val="Normal"/>
    <w:uiPriority w:val="99"/>
    <w:unhideWhenUsed/>
    <w:rsid w:val="00675C5F"/>
    <w:pPr>
      <w:spacing w:after="0"/>
    </w:pPr>
    <w:rPr>
      <w:rFonts w:eastAsiaTheme="minorHAnsi"/>
      <w:sz w:val="24"/>
    </w:rPr>
  </w:style>
  <w:style w:type="paragraph" w:customStyle="1" w:styleId="1gapara0">
    <w:name w:val="1gapara"/>
    <w:basedOn w:val="Normal"/>
    <w:uiPriority w:val="99"/>
    <w:semiHidden/>
    <w:rsid w:val="00675C5F"/>
    <w:pPr>
      <w:spacing w:after="0"/>
    </w:pPr>
    <w:rPr>
      <w:rFonts w:eastAsiaTheme="minorHAnsi"/>
      <w:sz w:val="24"/>
    </w:rPr>
  </w:style>
  <w:style w:type="paragraph" w:customStyle="1" w:styleId="compara0">
    <w:name w:val="compara"/>
    <w:basedOn w:val="Normal"/>
    <w:rsid w:val="00675C5F"/>
    <w:pPr>
      <w:spacing w:after="0"/>
    </w:pPr>
    <w:rPr>
      <w:rFonts w:eastAsiaTheme="minorHAnsi"/>
      <w:sz w:val="24"/>
    </w:rPr>
  </w:style>
  <w:style w:type="paragraph" w:styleId="Rvision">
    <w:name w:val="Revision"/>
    <w:hidden/>
    <w:semiHidden/>
    <w:rsid w:val="002227DB"/>
    <w:rPr>
      <w:rFonts w:ascii="Times New Roman" w:eastAsia="Times New Roman" w:hAnsi="Times New Roman"/>
      <w:sz w:val="22"/>
      <w:szCs w:val="24"/>
    </w:rPr>
  </w:style>
  <w:style w:type="paragraph" w:styleId="Notedebasdepage">
    <w:name w:val="footnote text"/>
    <w:basedOn w:val="Normal"/>
    <w:link w:val="NotedebasdepageCar"/>
    <w:uiPriority w:val="99"/>
    <w:semiHidden/>
    <w:unhideWhenUsed/>
    <w:rsid w:val="008706F6"/>
    <w:pPr>
      <w:spacing w:after="0"/>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8706F6"/>
    <w:rPr>
      <w:rFonts w:eastAsia="Calibri" w:cs="Arial"/>
      <w:lang w:eastAsia="en-US"/>
    </w:rPr>
  </w:style>
  <w:style w:type="character" w:styleId="Appelnotedebasdep">
    <w:name w:val="footnote reference"/>
    <w:basedOn w:val="Policepardfaut"/>
    <w:uiPriority w:val="99"/>
    <w:semiHidden/>
    <w:unhideWhenUsed/>
    <w:rsid w:val="00870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988287461">
      <w:bodyDiv w:val="1"/>
      <w:marLeft w:val="0"/>
      <w:marRight w:val="0"/>
      <w:marTop w:val="0"/>
      <w:marBottom w:val="0"/>
      <w:divBdr>
        <w:top w:val="none" w:sz="0" w:space="0" w:color="auto"/>
        <w:left w:val="none" w:sz="0" w:space="0" w:color="auto"/>
        <w:bottom w:val="none" w:sz="0" w:space="0" w:color="auto"/>
        <w:right w:val="none" w:sz="0" w:space="0" w:color="auto"/>
      </w:divBdr>
    </w:div>
    <w:div w:id="1077750689">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3.COM/10?dec=decisions&amp;ref_decision=13.COM" TargetMode="External"/><Relationship Id="rId13" Type="http://schemas.openxmlformats.org/officeDocument/2006/relationships/hyperlink" Target="https://ich.unesco.org/fr/10b-liste-representative-01098" TargetMode="External"/><Relationship Id="rId18" Type="http://schemas.openxmlformats.org/officeDocument/2006/relationships/hyperlink" Target="https://ich.unesco.org/doc/src/LHE-19-14.COM-10.c-FR.docx" TargetMode="External"/><Relationship Id="rId26" Type="http://schemas.openxmlformats.org/officeDocument/2006/relationships/hyperlink" Target="https://ich.unesco.org/fr/10b-liste-representative-01098" TargetMode="External"/><Relationship Id="rId3" Type="http://schemas.openxmlformats.org/officeDocument/2006/relationships/styles" Target="styles.xml"/><Relationship Id="rId21" Type="http://schemas.openxmlformats.org/officeDocument/2006/relationships/hyperlink" Target="https://ich.unesco.org/doc/download.php?versionID=5526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fr/10b-liste-representative-01098" TargetMode="External"/><Relationship Id="rId17" Type="http://schemas.openxmlformats.org/officeDocument/2006/relationships/hyperlink" Target="https://ich.unesco.org/doc/src/LHE-19-14.COM-10.b-FR.docx" TargetMode="External"/><Relationship Id="rId25" Type="http://schemas.openxmlformats.org/officeDocument/2006/relationships/hyperlink" Target="https://ich.unesco.org/doc/download.php?versionID=55267"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doc/src/LHE-19-14.COM-10.a-FR.docx" TargetMode="External"/><Relationship Id="rId20" Type="http://schemas.openxmlformats.org/officeDocument/2006/relationships/hyperlink" Target="https://ich.unesco.org/fr/10a-liste-de-sauvegarde-urgente-01097" TargetMode="External"/><Relationship Id="rId29" Type="http://schemas.openxmlformats.org/officeDocument/2006/relationships/hyperlink" Target="https://ich.unesco.org/doc/download.php?versionID=55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10a-liste-de-sauvegarde-urgente-01097" TargetMode="External"/><Relationship Id="rId24" Type="http://schemas.openxmlformats.org/officeDocument/2006/relationships/hyperlink" Target="https://ich.unesco.org/fr/10b-liste-representative-0109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fr/10b-liste-representative-01098" TargetMode="External"/><Relationship Id="rId23" Type="http://schemas.openxmlformats.org/officeDocument/2006/relationships/hyperlink" Target="https://ich.unesco.org/doc/download.php?versionID=55268" TargetMode="External"/><Relationship Id="rId28" Type="http://schemas.openxmlformats.org/officeDocument/2006/relationships/hyperlink" Target="https://ich.unesco.org/fr/10b-liste-representative-01098" TargetMode="External"/><Relationship Id="rId36" Type="http://schemas.openxmlformats.org/officeDocument/2006/relationships/theme" Target="theme/theme1.xml"/><Relationship Id="rId10" Type="http://schemas.openxmlformats.org/officeDocument/2006/relationships/hyperlink" Target="https://ich.unesco.org/fr/10a-liste-de-sauvegarde-urgente-01097" TargetMode="External"/><Relationship Id="rId19" Type="http://schemas.openxmlformats.org/officeDocument/2006/relationships/hyperlink" Target="https://ich.unesco.org/doc/src/LHE-19-14.COM-10.d-FR.docx" TargetMode="External"/><Relationship Id="rId31" Type="http://schemas.openxmlformats.org/officeDocument/2006/relationships/hyperlink" Target="https://ich.unesco.org/en/Decisions/12.COM/13" TargetMode="External"/><Relationship Id="rId4" Type="http://schemas.openxmlformats.org/officeDocument/2006/relationships/settings" Target="settings.xml"/><Relationship Id="rId9" Type="http://schemas.openxmlformats.org/officeDocument/2006/relationships/hyperlink" Target="https://ich.unesco.org/fr/decisions/13.COM/10?dec=decisions&amp;ref_decision=13.COM" TargetMode="External"/><Relationship Id="rId14" Type="http://schemas.openxmlformats.org/officeDocument/2006/relationships/hyperlink" Target="https://ich.unesco.org/fr/10b-liste-representative-01098" TargetMode="External"/><Relationship Id="rId22" Type="http://schemas.openxmlformats.org/officeDocument/2006/relationships/hyperlink" Target="https://ich.unesco.org/fr/10a-liste-de-sauvegarde-urgente-01097" TargetMode="External"/><Relationship Id="rId27" Type="http://schemas.openxmlformats.org/officeDocument/2006/relationships/hyperlink" Target="https://ich.unesco.org/doc/download.php?versionID=55272" TargetMode="External"/><Relationship Id="rId30" Type="http://schemas.openxmlformats.org/officeDocument/2006/relationships/hyperlink" Target="https://ich.unesco.org/fr/10b-liste-representative-01098"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DBDA-F1F9-446D-9F64-DC760726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74</TotalTime>
  <Pages>7</Pages>
  <Words>3088</Words>
  <Characters>16984</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65</cp:revision>
  <cp:lastPrinted>2019-11-07T08:50:00Z</cp:lastPrinted>
  <dcterms:created xsi:type="dcterms:W3CDTF">2019-11-06T14:38:00Z</dcterms:created>
  <dcterms:modified xsi:type="dcterms:W3CDTF">2019-11-07T20:30:00Z</dcterms:modified>
</cp:coreProperties>
</file>