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3ACE"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1771BDA4"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w:t>
      </w:r>
      <w:bookmarkStart w:id="0" w:name="_GoBack"/>
      <w:bookmarkEnd w:id="0"/>
      <w:r w:rsidRPr="00293C60">
        <w:rPr>
          <w:rFonts w:ascii="Arial" w:hAnsi="Arial" w:cs="Arial"/>
          <w:b/>
          <w:sz w:val="22"/>
          <w:szCs w:val="22"/>
          <w:lang w:val="en-GB"/>
        </w:rPr>
        <w:t>MITTEE FOR THE</w:t>
      </w:r>
      <w:r w:rsidRPr="00293C60">
        <w:rPr>
          <w:rFonts w:ascii="Arial" w:hAnsi="Arial" w:cs="Arial"/>
          <w:b/>
          <w:sz w:val="22"/>
          <w:szCs w:val="22"/>
          <w:lang w:val="en-GB"/>
        </w:rPr>
        <w:br/>
        <w:t>SAFEGUARDING OF THE INTANGIBLE CULTURAL HERITAGE</w:t>
      </w:r>
    </w:p>
    <w:p w14:paraId="0184F707" w14:textId="77777777" w:rsidR="00EC6F8D" w:rsidRPr="00293C60" w:rsidRDefault="00C7433F" w:rsidP="00EC6F8D">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Twelf</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65056EBB" w14:textId="77777777" w:rsidR="009D5428" w:rsidRPr="00337CEB" w:rsidRDefault="002351A6" w:rsidP="005E7074">
      <w:pPr>
        <w:jc w:val="center"/>
        <w:rPr>
          <w:rFonts w:ascii="Arial" w:eastAsiaTheme="minorEastAsia" w:hAnsi="Arial" w:cs="Arial"/>
          <w:b/>
          <w:sz w:val="22"/>
          <w:szCs w:val="22"/>
          <w:lang w:val="en-GB" w:eastAsia="ko-KR"/>
        </w:rPr>
      </w:pPr>
      <w:proofErr w:type="spellStart"/>
      <w:r>
        <w:rPr>
          <w:rFonts w:ascii="Arial" w:eastAsiaTheme="minorEastAsia" w:hAnsi="Arial" w:cs="Arial" w:hint="eastAsia"/>
          <w:b/>
          <w:sz w:val="22"/>
          <w:szCs w:val="22"/>
          <w:lang w:val="en-GB" w:eastAsia="ko-KR"/>
        </w:rPr>
        <w:t>Jeju</w:t>
      </w:r>
      <w:proofErr w:type="spellEnd"/>
      <w:r>
        <w:rPr>
          <w:rFonts w:ascii="Arial" w:eastAsiaTheme="minorEastAsia" w:hAnsi="Arial" w:cs="Arial" w:hint="eastAsia"/>
          <w:b/>
          <w:sz w:val="22"/>
          <w:szCs w:val="22"/>
          <w:lang w:val="en-GB" w:eastAsia="ko-KR"/>
        </w:rPr>
        <w:t xml:space="preserve"> Island</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Republic of Korea</w:t>
      </w:r>
    </w:p>
    <w:p w14:paraId="1C75D5B4" w14:textId="1C5EADD4" w:rsidR="00EC6F8D" w:rsidRPr="00337CEB" w:rsidRDefault="00337CEB" w:rsidP="00EC6F8D">
      <w:pPr>
        <w:jc w:val="center"/>
        <w:rPr>
          <w:rFonts w:ascii="Arial" w:eastAsiaTheme="minorEastAsia" w:hAnsi="Arial" w:cs="Arial"/>
          <w:b/>
          <w:sz w:val="22"/>
          <w:szCs w:val="22"/>
          <w:lang w:val="en-GB" w:eastAsia="ko-KR"/>
        </w:rPr>
      </w:pPr>
      <w:r>
        <w:rPr>
          <w:rFonts w:ascii="Arial" w:eastAsiaTheme="minorEastAsia" w:hAnsi="Arial" w:cs="Arial" w:hint="eastAsia"/>
          <w:b/>
          <w:sz w:val="22"/>
          <w:szCs w:val="22"/>
          <w:lang w:val="en-GB" w:eastAsia="ko-KR"/>
        </w:rPr>
        <w:t>4</w:t>
      </w:r>
      <w:r w:rsidR="00EC6F8D" w:rsidRPr="00EC6F8D">
        <w:rPr>
          <w:rFonts w:ascii="Arial" w:hAnsi="Arial" w:cs="Arial"/>
          <w:b/>
          <w:sz w:val="22"/>
          <w:szCs w:val="22"/>
          <w:lang w:val="en-GB"/>
        </w:rPr>
        <w:t xml:space="preserve"> to </w:t>
      </w:r>
      <w:r w:rsidR="002F45C7">
        <w:rPr>
          <w:rFonts w:ascii="Arial" w:eastAsiaTheme="minorEastAsia" w:hAnsi="Arial" w:cs="Arial"/>
          <w:b/>
          <w:sz w:val="22"/>
          <w:szCs w:val="22"/>
          <w:lang w:val="en-GB" w:eastAsia="ko-KR"/>
        </w:rPr>
        <w:t>9</w:t>
      </w:r>
      <w:r>
        <w:rPr>
          <w:rFonts w:ascii="Arial" w:hAnsi="Arial" w:cs="Arial"/>
          <w:b/>
          <w:sz w:val="22"/>
          <w:szCs w:val="22"/>
          <w:lang w:val="en-GB"/>
        </w:rPr>
        <w:t xml:space="preserve"> December 201</w:t>
      </w:r>
      <w:r>
        <w:rPr>
          <w:rFonts w:ascii="Arial" w:eastAsiaTheme="minorEastAsia" w:hAnsi="Arial" w:cs="Arial" w:hint="eastAsia"/>
          <w:b/>
          <w:sz w:val="22"/>
          <w:szCs w:val="22"/>
          <w:lang w:val="en-GB" w:eastAsia="ko-KR"/>
        </w:rPr>
        <w:t>7</w:t>
      </w:r>
    </w:p>
    <w:p w14:paraId="6F940A31"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866926">
        <w:rPr>
          <w:rFonts w:ascii="Arial" w:hAnsi="Arial" w:cs="Arial"/>
          <w:b/>
          <w:sz w:val="22"/>
          <w:szCs w:val="22"/>
          <w:u w:val="single"/>
          <w:lang w:val="en-GB"/>
        </w:rPr>
        <w:t>10</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2FE076AD" w14:textId="49A78ABC" w:rsidR="006906E8" w:rsidRPr="00293C60" w:rsidRDefault="006E2E83" w:rsidP="00C051B5">
      <w:pPr>
        <w:tabs>
          <w:tab w:val="decimal" w:pos="1134"/>
        </w:tabs>
        <w:adjustRightInd w:val="0"/>
        <w:spacing w:after="1200"/>
        <w:jc w:val="center"/>
        <w:rPr>
          <w:rFonts w:ascii="Arial" w:hAnsi="Arial" w:cs="Arial"/>
          <w:b/>
          <w:noProof/>
          <w:sz w:val="22"/>
          <w:szCs w:val="22"/>
          <w:lang w:val="en-GB" w:eastAsia="en-US"/>
        </w:rPr>
      </w:pPr>
      <w:r w:rsidRPr="006E2E83">
        <w:rPr>
          <w:rFonts w:ascii="Arial" w:hAnsi="Arial" w:cs="Arial"/>
          <w:b/>
          <w:noProof/>
          <w:sz w:val="22"/>
          <w:szCs w:val="22"/>
          <w:lang w:val="en-GB" w:eastAsia="en-US"/>
        </w:rPr>
        <w:t>Draft amendments to the Operational Directives on periodic reporting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F5B89" w14:paraId="708AD2E0" w14:textId="77777777" w:rsidTr="00EC6F8D">
        <w:trPr>
          <w:jc w:val="center"/>
        </w:trPr>
        <w:tc>
          <w:tcPr>
            <w:tcW w:w="5670" w:type="dxa"/>
            <w:vAlign w:val="center"/>
          </w:tcPr>
          <w:p w14:paraId="634876DF"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6E0523BF" w14:textId="0E581FFF" w:rsidR="00EC6F8D" w:rsidRPr="00293C60" w:rsidRDefault="006B5F32" w:rsidP="00CA56BB">
            <w:pPr>
              <w:pStyle w:val="Sansinterligne1"/>
              <w:jc w:val="both"/>
              <w:rPr>
                <w:rFonts w:ascii="Arial" w:hAnsi="Arial" w:cs="Arial"/>
                <w:bCs/>
                <w:sz w:val="22"/>
                <w:szCs w:val="22"/>
                <w:lang w:val="en-GB"/>
              </w:rPr>
            </w:pPr>
            <w:r>
              <w:rPr>
                <w:rFonts w:ascii="Arial" w:hAnsi="Arial" w:cs="Arial"/>
                <w:bCs/>
                <w:sz w:val="22"/>
                <w:szCs w:val="22"/>
                <w:lang w:val="en-GB"/>
              </w:rPr>
              <w:t xml:space="preserve">The </w:t>
            </w:r>
            <w:r w:rsidR="00CE3E97">
              <w:rPr>
                <w:rFonts w:ascii="Arial" w:hAnsi="Arial" w:cs="Arial"/>
                <w:bCs/>
                <w:sz w:val="22"/>
                <w:szCs w:val="22"/>
                <w:lang w:val="en-GB"/>
              </w:rPr>
              <w:t xml:space="preserve">2017 </w:t>
            </w:r>
            <w:r>
              <w:rPr>
                <w:rFonts w:ascii="Arial" w:hAnsi="Arial" w:cs="Arial"/>
                <w:bCs/>
                <w:sz w:val="22"/>
                <w:szCs w:val="22"/>
                <w:lang w:val="en-GB"/>
              </w:rPr>
              <w:t>open-</w:t>
            </w:r>
            <w:r w:rsidR="007F5B89">
              <w:rPr>
                <w:rFonts w:ascii="Arial" w:hAnsi="Arial" w:cs="Arial"/>
                <w:bCs/>
                <w:sz w:val="22"/>
                <w:szCs w:val="22"/>
                <w:lang w:val="en-GB"/>
              </w:rPr>
              <w:t xml:space="preserve">ended </w:t>
            </w:r>
            <w:r w:rsidR="00386C3D">
              <w:rPr>
                <w:rFonts w:ascii="Arial" w:hAnsi="Arial" w:cs="Arial"/>
                <w:bCs/>
                <w:sz w:val="22"/>
                <w:szCs w:val="22"/>
                <w:lang w:val="en-GB"/>
              </w:rPr>
              <w:t xml:space="preserve">intergovernmental </w:t>
            </w:r>
            <w:r w:rsidR="007F5B89">
              <w:rPr>
                <w:rFonts w:ascii="Arial" w:hAnsi="Arial" w:cs="Arial"/>
                <w:bCs/>
                <w:sz w:val="22"/>
                <w:szCs w:val="22"/>
                <w:lang w:val="en-GB"/>
              </w:rPr>
              <w:t>working group</w:t>
            </w:r>
            <w:r w:rsidR="00CE3E97">
              <w:rPr>
                <w:rFonts w:ascii="Arial" w:hAnsi="Arial" w:cs="Arial"/>
                <w:bCs/>
                <w:sz w:val="22"/>
                <w:szCs w:val="22"/>
                <w:lang w:val="en-GB"/>
              </w:rPr>
              <w:t xml:space="preserve">, </w:t>
            </w:r>
            <w:r w:rsidR="00C67B76">
              <w:rPr>
                <w:rFonts w:ascii="Arial" w:hAnsi="Arial" w:cs="Arial"/>
                <w:bCs/>
                <w:sz w:val="22"/>
                <w:szCs w:val="22"/>
                <w:lang w:val="en-GB"/>
              </w:rPr>
              <w:t xml:space="preserve">which </w:t>
            </w:r>
            <w:r w:rsidR="00CE3E97">
              <w:rPr>
                <w:rFonts w:ascii="Arial" w:hAnsi="Arial" w:cs="Arial"/>
                <w:bCs/>
                <w:sz w:val="22"/>
                <w:szCs w:val="22"/>
                <w:lang w:val="en-GB"/>
              </w:rPr>
              <w:t>met in Chengdu, China,</w:t>
            </w:r>
            <w:r w:rsidR="007F5B89">
              <w:rPr>
                <w:rFonts w:ascii="Arial" w:hAnsi="Arial" w:cs="Arial"/>
                <w:bCs/>
                <w:sz w:val="22"/>
                <w:szCs w:val="22"/>
                <w:lang w:val="en-GB"/>
              </w:rPr>
              <w:t xml:space="preserve"> highlighted the need to reform the periodic reporting mechanism </w:t>
            </w:r>
            <w:r>
              <w:rPr>
                <w:rFonts w:ascii="Arial" w:hAnsi="Arial" w:cs="Arial"/>
                <w:bCs/>
                <w:sz w:val="22"/>
                <w:szCs w:val="22"/>
                <w:lang w:val="en-GB"/>
              </w:rPr>
              <w:t>by moving</w:t>
            </w:r>
            <w:r w:rsidR="007F5B89" w:rsidRPr="007F5B89">
              <w:rPr>
                <w:rFonts w:ascii="Arial" w:hAnsi="Arial" w:cs="Arial"/>
                <w:bCs/>
                <w:sz w:val="22"/>
                <w:szCs w:val="22"/>
                <w:lang w:val="en-GB"/>
              </w:rPr>
              <w:t xml:space="preserve"> towards a regional cycle of national reporting</w:t>
            </w:r>
            <w:r>
              <w:rPr>
                <w:rFonts w:ascii="Arial" w:hAnsi="Arial" w:cs="Arial"/>
                <w:bCs/>
                <w:sz w:val="22"/>
                <w:szCs w:val="22"/>
                <w:lang w:val="en-GB"/>
              </w:rPr>
              <w:t xml:space="preserve">. This document presents </w:t>
            </w:r>
            <w:r w:rsidR="00C67B76">
              <w:rPr>
                <w:rFonts w:ascii="Arial" w:hAnsi="Arial" w:cs="Arial"/>
                <w:bCs/>
                <w:sz w:val="22"/>
                <w:szCs w:val="22"/>
                <w:lang w:val="en-GB"/>
              </w:rPr>
              <w:t xml:space="preserve">some necessary </w:t>
            </w:r>
            <w:r>
              <w:rPr>
                <w:rFonts w:ascii="Arial" w:hAnsi="Arial" w:cs="Arial"/>
                <w:bCs/>
                <w:sz w:val="22"/>
                <w:szCs w:val="22"/>
                <w:lang w:val="en-GB"/>
              </w:rPr>
              <w:t>considerations in this regard</w:t>
            </w:r>
            <w:r w:rsidR="00C67B76">
              <w:rPr>
                <w:rFonts w:ascii="Arial" w:hAnsi="Arial" w:cs="Arial"/>
                <w:bCs/>
                <w:sz w:val="22"/>
                <w:szCs w:val="22"/>
                <w:lang w:val="en-GB"/>
              </w:rPr>
              <w:t>,</w:t>
            </w:r>
            <w:r>
              <w:rPr>
                <w:rFonts w:ascii="Arial" w:hAnsi="Arial" w:cs="Arial"/>
                <w:bCs/>
                <w:sz w:val="22"/>
                <w:szCs w:val="22"/>
                <w:lang w:val="en-GB"/>
              </w:rPr>
              <w:t xml:space="preserve"> together with </w:t>
            </w:r>
            <w:r w:rsidR="007F5B89" w:rsidRPr="007F5B89">
              <w:rPr>
                <w:rFonts w:ascii="Arial" w:hAnsi="Arial" w:cs="Arial"/>
                <w:bCs/>
                <w:sz w:val="22"/>
                <w:szCs w:val="22"/>
                <w:lang w:val="en-GB"/>
              </w:rPr>
              <w:t xml:space="preserve">draft </w:t>
            </w:r>
            <w:r>
              <w:rPr>
                <w:rFonts w:ascii="Arial" w:hAnsi="Arial" w:cs="Arial"/>
                <w:bCs/>
                <w:sz w:val="22"/>
                <w:szCs w:val="22"/>
                <w:lang w:val="en-GB"/>
              </w:rPr>
              <w:t xml:space="preserve">amendments to </w:t>
            </w:r>
            <w:r w:rsidR="007F5B89" w:rsidRPr="007F5B89">
              <w:rPr>
                <w:rFonts w:ascii="Arial" w:hAnsi="Arial" w:cs="Arial"/>
                <w:bCs/>
                <w:sz w:val="22"/>
                <w:szCs w:val="22"/>
                <w:lang w:val="en-GB"/>
              </w:rPr>
              <w:t xml:space="preserve">the Operational Directives </w:t>
            </w:r>
            <w:r>
              <w:rPr>
                <w:rFonts w:ascii="Arial" w:hAnsi="Arial" w:cs="Arial"/>
                <w:bCs/>
                <w:sz w:val="22"/>
                <w:szCs w:val="22"/>
                <w:lang w:val="en-GB"/>
              </w:rPr>
              <w:t>that the Committee may recommend to the General Assembly for approval.</w:t>
            </w:r>
          </w:p>
          <w:p w14:paraId="56395550" w14:textId="2DDC458C" w:rsidR="00EC6F8D" w:rsidRPr="00293C60" w:rsidRDefault="00EC6F8D" w:rsidP="00ED5E0D">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6B5F32" w:rsidRPr="00C051B5">
              <w:rPr>
                <w:rFonts w:ascii="Arial" w:hAnsi="Arial" w:cs="Arial"/>
                <w:bCs/>
                <w:sz w:val="22"/>
                <w:szCs w:val="22"/>
                <w:lang w:val="en-GB"/>
              </w:rPr>
              <w:t>1</w:t>
            </w:r>
            <w:r w:rsidR="00ED5E0D" w:rsidRPr="00C051B5">
              <w:rPr>
                <w:rFonts w:ascii="Arial" w:hAnsi="Arial" w:cs="Arial"/>
                <w:bCs/>
                <w:sz w:val="22"/>
                <w:szCs w:val="22"/>
                <w:lang w:val="en-GB"/>
              </w:rPr>
              <w:t>7</w:t>
            </w:r>
          </w:p>
        </w:tc>
      </w:tr>
    </w:tbl>
    <w:p w14:paraId="1927455F" w14:textId="77777777" w:rsidR="001942F7" w:rsidRDefault="001942F7">
      <w:pPr>
        <w:rPr>
          <w:rFonts w:ascii="Arial" w:hAnsi="Arial" w:cs="Arial"/>
          <w:snapToGrid w:val="0"/>
          <w:sz w:val="22"/>
          <w:szCs w:val="22"/>
          <w:lang w:val="en-GB" w:eastAsia="en-US"/>
        </w:rPr>
      </w:pPr>
      <w:r>
        <w:br w:type="page"/>
      </w:r>
    </w:p>
    <w:p w14:paraId="67E26508" w14:textId="0F2853E6" w:rsidR="00CF3A45" w:rsidRPr="00041A66" w:rsidRDefault="00CF3A45" w:rsidP="006610D9">
      <w:pPr>
        <w:pStyle w:val="COMPara"/>
        <w:numPr>
          <w:ilvl w:val="0"/>
          <w:numId w:val="6"/>
        </w:numPr>
        <w:ind w:left="567" w:hanging="567"/>
        <w:jc w:val="both"/>
      </w:pPr>
      <w:r>
        <w:lastRenderedPageBreak/>
        <w:t>As per Article 29 of the Convention and Chapter V of the current Operational Directives, States Parties submit their periodic reports</w:t>
      </w:r>
      <w:r w:rsidR="006A75F6">
        <w:t>:</w:t>
      </w:r>
      <w:r>
        <w:t xml:space="preserve"> (</w:t>
      </w:r>
      <w:proofErr w:type="spellStart"/>
      <w:r>
        <w:t>i</w:t>
      </w:r>
      <w:proofErr w:type="spellEnd"/>
      <w:r>
        <w:t>) on the implementation of the Convention at the national level and on the status of elements inscribed on the Representative List</w:t>
      </w:r>
      <w:r w:rsidR="006A75F6">
        <w:t xml:space="preserve"> of the Intangible Cultural Heritage of Humanity</w:t>
      </w:r>
      <w:r w:rsidR="00C67B76">
        <w:t xml:space="preserve"> (hereafter, the Representative List)</w:t>
      </w:r>
      <w:r>
        <w:t>, and separately</w:t>
      </w:r>
      <w:r w:rsidR="006A75F6">
        <w:t>;</w:t>
      </w:r>
      <w:r>
        <w:t xml:space="preserve"> (ii) on the status of elements inscribed on the List of Intangible Cultural Heritage in Need of Urgent Safeguarding</w:t>
      </w:r>
      <w:r w:rsidR="00FE1AD7">
        <w:t xml:space="preserve"> (</w:t>
      </w:r>
      <w:r w:rsidR="00C67B76">
        <w:t xml:space="preserve">hereafter, the </w:t>
      </w:r>
      <w:r w:rsidR="00FE1AD7">
        <w:t>Urgent Safeguarding List)</w:t>
      </w:r>
      <w:r>
        <w:t>. For the former, States Parties are asked to use Form ICH-10 to submit reports by 15</w:t>
      </w:r>
      <w:r w:rsidR="00B50306">
        <w:t> </w:t>
      </w:r>
      <w:r>
        <w:t xml:space="preserve">December of the sixth year following the year of ratification and every sixth year thereafter. As for the latter report, Form ICH-11 is used for </w:t>
      </w:r>
      <w:r w:rsidR="00C41382">
        <w:t xml:space="preserve">submitting reports </w:t>
      </w:r>
      <w:r>
        <w:t>by 15 December of the fourth year following the year of inscription</w:t>
      </w:r>
      <w:r w:rsidR="002A3B9A">
        <w:t xml:space="preserve"> and every fourth year thereafter</w:t>
      </w:r>
      <w:r>
        <w:t>.</w:t>
      </w:r>
    </w:p>
    <w:p w14:paraId="734AD3D9" w14:textId="6FAF318E" w:rsidR="00BF2712" w:rsidRDefault="00A96557" w:rsidP="006610D9">
      <w:pPr>
        <w:pStyle w:val="COMPara"/>
        <w:numPr>
          <w:ilvl w:val="0"/>
          <w:numId w:val="6"/>
        </w:numPr>
        <w:ind w:left="567" w:hanging="567"/>
        <w:jc w:val="both"/>
      </w:pPr>
      <w:r>
        <w:t xml:space="preserve">The open-ended intergovernmental working group </w:t>
      </w:r>
      <w:r w:rsidR="00C67B76">
        <w:t>for the development of</w:t>
      </w:r>
      <w:r>
        <w:t xml:space="preserve"> an overall results framework for the Convention, held in Chengdu, China</w:t>
      </w:r>
      <w:r w:rsidR="006A75F6">
        <w:t>,</w:t>
      </w:r>
      <w:r>
        <w:t xml:space="preserve"> f</w:t>
      </w:r>
      <w:r w:rsidR="00285DB9">
        <w:t>rom 11 to 13 June 2017,</w:t>
      </w:r>
      <w:r>
        <w:t xml:space="preserve"> </w:t>
      </w:r>
      <w:r w:rsidR="002932E8">
        <w:t xml:space="preserve">had the opportunity </w:t>
      </w:r>
      <w:r w:rsidR="002932E8" w:rsidRPr="002932E8">
        <w:t xml:space="preserve">to debate how </w:t>
      </w:r>
      <w:r w:rsidR="00C67B76">
        <w:t xml:space="preserve">the </w:t>
      </w:r>
      <w:r w:rsidR="002932E8" w:rsidRPr="002B7D2D">
        <w:t xml:space="preserve">process of adopting an </w:t>
      </w:r>
      <w:r w:rsidR="002932E8" w:rsidRPr="002932E8">
        <w:t xml:space="preserve">overall results framework </w:t>
      </w:r>
      <w:r w:rsidR="002932E8">
        <w:t>provided</w:t>
      </w:r>
      <w:r w:rsidR="002932E8" w:rsidRPr="002932E8">
        <w:t xml:space="preserve"> </w:t>
      </w:r>
      <w:r w:rsidR="002932E8">
        <w:t xml:space="preserve">a unique </w:t>
      </w:r>
      <w:r w:rsidR="002932E8" w:rsidRPr="002932E8">
        <w:t xml:space="preserve">opportunity to </w:t>
      </w:r>
      <w:r w:rsidR="002932E8">
        <w:t xml:space="preserve">review </w:t>
      </w:r>
      <w:r w:rsidR="002932E8" w:rsidRPr="002932E8">
        <w:t xml:space="preserve">the periodic reporting </w:t>
      </w:r>
      <w:r w:rsidR="002932E8">
        <w:t xml:space="preserve">mechanism </w:t>
      </w:r>
      <w:r w:rsidR="002932E8" w:rsidRPr="002932E8">
        <w:t>so that it gains in quality, usefulness and timeliness</w:t>
      </w:r>
      <w:r w:rsidR="002932E8">
        <w:t xml:space="preserve"> (document </w:t>
      </w:r>
      <w:hyperlink r:id="rId8" w:history="1">
        <w:r w:rsidR="002932E8" w:rsidRPr="002932E8">
          <w:rPr>
            <w:rStyle w:val="Hyperlink"/>
          </w:rPr>
          <w:t>ITH/17/12.C</w:t>
        </w:r>
        <w:r w:rsidR="002932E8" w:rsidRPr="002932E8">
          <w:rPr>
            <w:rStyle w:val="Hyperlink"/>
          </w:rPr>
          <w:t>O</w:t>
        </w:r>
        <w:r w:rsidR="002932E8" w:rsidRPr="002932E8">
          <w:rPr>
            <w:rStyle w:val="Hyperlink"/>
          </w:rPr>
          <w:t>M WG/5</w:t>
        </w:r>
      </w:hyperlink>
      <w:r w:rsidR="002932E8">
        <w:rPr>
          <w:rStyle w:val="atenuated"/>
        </w:rPr>
        <w:t>)</w:t>
      </w:r>
      <w:r w:rsidR="002932E8" w:rsidRPr="002932E8">
        <w:t xml:space="preserve">. </w:t>
      </w:r>
      <w:r w:rsidR="002932E8">
        <w:t xml:space="preserve">It </w:t>
      </w:r>
      <w:r w:rsidR="00285DB9">
        <w:t xml:space="preserve">convincingly </w:t>
      </w:r>
      <w:r>
        <w:t xml:space="preserve">highlighted the need to reform the periodic reporting process </w:t>
      </w:r>
      <w:r w:rsidR="006A75F6">
        <w:t>to make it</w:t>
      </w:r>
      <w:r>
        <w:t xml:space="preserve"> more useful </w:t>
      </w:r>
      <w:r w:rsidR="006A75F6">
        <w:t>for</w:t>
      </w:r>
      <w:r>
        <w:t xml:space="preserve"> States Parties and </w:t>
      </w:r>
      <w:r w:rsidR="006A75F6">
        <w:t xml:space="preserve">for </w:t>
      </w:r>
      <w:r>
        <w:t xml:space="preserve">the Convention as a whole </w:t>
      </w:r>
      <w:r w:rsidR="002932E8">
        <w:t>and made a recommendation in this sense to the Committee</w:t>
      </w:r>
      <w:r w:rsidR="00C67B76">
        <w:t>,</w:t>
      </w:r>
      <w:r w:rsidR="002932E8">
        <w:t xml:space="preserve"> which is included in its report </w:t>
      </w:r>
      <w:r>
        <w:t>(</w:t>
      </w:r>
      <w:r w:rsidR="00582B88">
        <w:t>Document </w:t>
      </w:r>
      <w:hyperlink r:id="rId9" w:history="1">
        <w:r w:rsidR="00516E35" w:rsidRPr="00516E35">
          <w:rPr>
            <w:rStyle w:val="Hyperlink"/>
          </w:rPr>
          <w:t>ITH/1</w:t>
        </w:r>
        <w:r w:rsidR="00516E35" w:rsidRPr="00516E35">
          <w:rPr>
            <w:rStyle w:val="Hyperlink"/>
          </w:rPr>
          <w:t>7</w:t>
        </w:r>
        <w:r w:rsidR="00516E35" w:rsidRPr="00516E35">
          <w:rPr>
            <w:rStyle w:val="Hyperlink"/>
          </w:rPr>
          <w:t>/12.COM WG/7</w:t>
        </w:r>
      </w:hyperlink>
      <w:r>
        <w:t xml:space="preserve">). </w:t>
      </w:r>
      <w:r w:rsidR="00516E35">
        <w:t xml:space="preserve">For this reason, it is important to read this document in parallel with </w:t>
      </w:r>
      <w:r w:rsidR="00516E35" w:rsidRPr="00453F74">
        <w:t>document </w:t>
      </w:r>
      <w:hyperlink r:id="rId10" w:history="1">
        <w:r w:rsidR="00516E35" w:rsidRPr="00453F74">
          <w:rPr>
            <w:rStyle w:val="Hyperlink"/>
          </w:rPr>
          <w:t>ITH/17/1</w:t>
        </w:r>
        <w:r w:rsidR="00516E35" w:rsidRPr="00453F74">
          <w:rPr>
            <w:rStyle w:val="Hyperlink"/>
          </w:rPr>
          <w:t>2</w:t>
        </w:r>
        <w:r w:rsidR="00516E35" w:rsidRPr="00453F74">
          <w:rPr>
            <w:rStyle w:val="Hyperlink"/>
          </w:rPr>
          <w:t>.COM/9</w:t>
        </w:r>
      </w:hyperlink>
      <w:r w:rsidR="00516E35">
        <w:t xml:space="preserve"> and in light of the general debate on the adoption of the overall results framework for the Convention.</w:t>
      </w:r>
    </w:p>
    <w:p w14:paraId="18AE13E9" w14:textId="07E4B752" w:rsidR="00BF2712" w:rsidRDefault="00285DB9" w:rsidP="006610D9">
      <w:pPr>
        <w:pStyle w:val="COMPara"/>
        <w:numPr>
          <w:ilvl w:val="0"/>
          <w:numId w:val="6"/>
        </w:numPr>
        <w:ind w:left="567" w:hanging="567"/>
        <w:jc w:val="both"/>
      </w:pPr>
      <w:r>
        <w:t>Periodic reporting is meant</w:t>
      </w:r>
      <w:r w:rsidR="00326263">
        <w:t>, first and foremost</w:t>
      </w:r>
      <w:r w:rsidR="008B04C0">
        <w:t>,</w:t>
      </w:r>
      <w:r>
        <w:t xml:space="preserve"> to </w:t>
      </w:r>
      <w:r w:rsidR="006A75F6">
        <w:t xml:space="preserve">assist </w:t>
      </w:r>
      <w:r w:rsidR="00326263">
        <w:t>States Parties by providing</w:t>
      </w:r>
      <w:r w:rsidR="00BF2712">
        <w:t xml:space="preserve"> </w:t>
      </w:r>
      <w:r w:rsidR="006A75F6">
        <w:t xml:space="preserve">them with </w:t>
      </w:r>
      <w:r w:rsidR="00BF2712">
        <w:t xml:space="preserve">an important learning opportunity to </w:t>
      </w:r>
      <w:r w:rsidR="006A75F6">
        <w:t xml:space="preserve">regularly </w:t>
      </w:r>
      <w:r w:rsidR="00BF2712">
        <w:t>take stock of their</w:t>
      </w:r>
      <w:r w:rsidR="00C41382">
        <w:t xml:space="preserve"> </w:t>
      </w:r>
      <w:r w:rsidR="00BF2712">
        <w:t>achievements and challenges</w:t>
      </w:r>
      <w:r w:rsidR="00141055">
        <w:t>,</w:t>
      </w:r>
      <w:r w:rsidR="00BF2712">
        <w:t xml:space="preserve"> and to define or redefine their national </w:t>
      </w:r>
      <w:r w:rsidR="004B4848">
        <w:t>priorities</w:t>
      </w:r>
      <w:r w:rsidR="00BF2712">
        <w:t xml:space="preserve"> for safeguarding intangible cultural heritage. </w:t>
      </w:r>
      <w:r>
        <w:t xml:space="preserve">It </w:t>
      </w:r>
      <w:r w:rsidR="00BF2712">
        <w:t xml:space="preserve">should also </w:t>
      </w:r>
      <w:r w:rsidR="006A75F6">
        <w:t xml:space="preserve">serve as </w:t>
      </w:r>
      <w:r w:rsidR="00BF2712">
        <w:t xml:space="preserve">an operational tool, </w:t>
      </w:r>
      <w:r w:rsidR="006A75F6">
        <w:t>making it possible to monitor</w:t>
      </w:r>
      <w:r w:rsidR="00BF2712">
        <w:t xml:space="preserve"> the effectiveness of the Convention</w:t>
      </w:r>
      <w:r w:rsidR="00497504">
        <w:t xml:space="preserve"> as a whole</w:t>
      </w:r>
      <w:r w:rsidR="00BF2712">
        <w:t xml:space="preserve"> </w:t>
      </w:r>
      <w:r w:rsidR="006A75F6">
        <w:t xml:space="preserve">so as </w:t>
      </w:r>
      <w:r w:rsidR="00BF2712">
        <w:t xml:space="preserve">to identify the impact of safeguarding measures and resulting trends. The existing mechanism, however, has faced a number of challenges, calling for </w:t>
      </w:r>
      <w:r w:rsidR="006A75F6">
        <w:t xml:space="preserve">due </w:t>
      </w:r>
      <w:r w:rsidR="00BF2712">
        <w:t xml:space="preserve">attention by the Committee </w:t>
      </w:r>
      <w:r w:rsidR="00516E35">
        <w:t>and has not demonstrated its full potential, despite the wealth of information gathered through its cycles since 2011.</w:t>
      </w:r>
    </w:p>
    <w:p w14:paraId="4048C7FB" w14:textId="07977AD0" w:rsidR="00E33857" w:rsidRDefault="004B4848" w:rsidP="006610D9">
      <w:pPr>
        <w:pStyle w:val="COMPara"/>
        <w:numPr>
          <w:ilvl w:val="0"/>
          <w:numId w:val="6"/>
        </w:numPr>
        <w:ind w:left="567" w:hanging="567"/>
        <w:jc w:val="both"/>
      </w:pPr>
      <w:r>
        <w:t xml:space="preserve">First of all, the low rate of submission and </w:t>
      </w:r>
      <w:r w:rsidR="00C41382">
        <w:t xml:space="preserve">the </w:t>
      </w:r>
      <w:r>
        <w:t xml:space="preserve">tardiness with which many reports </w:t>
      </w:r>
      <w:r w:rsidRPr="00582B88">
        <w:t>are submitted has h</w:t>
      </w:r>
      <w:r w:rsidR="00002192" w:rsidRPr="00582B88">
        <w:t>indere</w:t>
      </w:r>
      <w:r w:rsidRPr="00582B88">
        <w:t xml:space="preserve">d the Committee from understanding the impact of the Convention at the national </w:t>
      </w:r>
      <w:r w:rsidR="00D550D6" w:rsidRPr="00582B88">
        <w:t xml:space="preserve">and global </w:t>
      </w:r>
      <w:r w:rsidRPr="00582B88">
        <w:t xml:space="preserve">level. For instance, </w:t>
      </w:r>
      <w:r w:rsidR="00D31475" w:rsidRPr="00582B88">
        <w:t xml:space="preserve">this year the Committee was able to receive only </w:t>
      </w:r>
      <w:r w:rsidR="004F18FF">
        <w:t>eleven</w:t>
      </w:r>
      <w:r w:rsidR="004F18FF" w:rsidRPr="00582B88">
        <w:t xml:space="preserve"> </w:t>
      </w:r>
      <w:r w:rsidR="00D31475" w:rsidRPr="00582B88">
        <w:t xml:space="preserve">reports out of </w:t>
      </w:r>
      <w:r w:rsidR="004F18FF">
        <w:t>the fifty-two</w:t>
      </w:r>
      <w:r w:rsidR="004F18FF" w:rsidRPr="00582B88">
        <w:t xml:space="preserve"> </w:t>
      </w:r>
      <w:r w:rsidR="00D31475" w:rsidRPr="00582B88">
        <w:t>expected and the</w:t>
      </w:r>
      <w:r w:rsidR="004F18FF">
        <w:t xml:space="preserve"> forty-one</w:t>
      </w:r>
      <w:r w:rsidR="00D31475" w:rsidRPr="00582B88">
        <w:t xml:space="preserve"> still missing are </w:t>
      </w:r>
      <w:r w:rsidRPr="00582B88">
        <w:t xml:space="preserve">one to </w:t>
      </w:r>
      <w:r w:rsidR="00D31475" w:rsidRPr="00582B88">
        <w:t xml:space="preserve">six </w:t>
      </w:r>
      <w:r w:rsidRPr="00582B88">
        <w:t xml:space="preserve">years </w:t>
      </w:r>
      <w:r w:rsidR="00497504" w:rsidRPr="00582B88">
        <w:t>overdue</w:t>
      </w:r>
      <w:r>
        <w:t>.</w:t>
      </w:r>
      <w:r w:rsidR="00BF198B" w:rsidRPr="00BF198B">
        <w:t xml:space="preserve"> </w:t>
      </w:r>
      <w:r w:rsidR="00BF198B">
        <w:t>Th</w:t>
      </w:r>
      <w:r w:rsidR="004F18FF">
        <w:t>e Committee has also highlighted th</w:t>
      </w:r>
      <w:r w:rsidR="00BF198B">
        <w:t xml:space="preserve">is </w:t>
      </w:r>
      <w:r w:rsidR="00BE0153">
        <w:t xml:space="preserve">tendency </w:t>
      </w:r>
      <w:r w:rsidR="00BF198B">
        <w:t>with regret during its previous sessions</w:t>
      </w:r>
      <w:r w:rsidR="004F18FF">
        <w:t>,</w:t>
      </w:r>
      <w:r w:rsidR="00BF198B">
        <w:t xml:space="preserve"> when States with overdue reports were repeatedly encouraged to submit them </w:t>
      </w:r>
      <w:proofErr w:type="gramStart"/>
      <w:r w:rsidR="00BF198B">
        <w:t>at the earliest convenience</w:t>
      </w:r>
      <w:proofErr w:type="gramEnd"/>
      <w:r w:rsidR="00BF198B">
        <w:t xml:space="preserve"> </w:t>
      </w:r>
      <w:r w:rsidR="00516E35">
        <w:t xml:space="preserve">and to fulfil their reporting requirements before submitting new nominations </w:t>
      </w:r>
      <w:r w:rsidR="00BF198B">
        <w:t xml:space="preserve">(i.e. </w:t>
      </w:r>
      <w:hyperlink r:id="rId11" w:history="1">
        <w:r w:rsidR="00BF198B" w:rsidRPr="000404CB">
          <w:rPr>
            <w:rStyle w:val="Hyperlink"/>
            <w:lang w:val="en-US"/>
          </w:rPr>
          <w:t>Decision </w:t>
        </w:r>
        <w:r w:rsidR="00BF198B" w:rsidRPr="000404CB">
          <w:rPr>
            <w:rStyle w:val="Hyperlink"/>
            <w:lang w:val="en-US"/>
          </w:rPr>
          <w:t>1</w:t>
        </w:r>
        <w:r w:rsidR="00BF198B" w:rsidRPr="000404CB">
          <w:rPr>
            <w:rStyle w:val="Hyperlink"/>
            <w:lang w:val="en-US"/>
          </w:rPr>
          <w:t>1.COM 9.a</w:t>
        </w:r>
      </w:hyperlink>
      <w:r w:rsidR="00BF198B">
        <w:t xml:space="preserve"> and </w:t>
      </w:r>
      <w:hyperlink r:id="rId12" w:history="1">
        <w:r w:rsidR="00BF198B" w:rsidRPr="00BF198B">
          <w:rPr>
            <w:rStyle w:val="Hyperlink"/>
            <w:lang w:val="en-US"/>
          </w:rPr>
          <w:t>Decision 10</w:t>
        </w:r>
        <w:r w:rsidR="00BF198B" w:rsidRPr="00BF198B">
          <w:rPr>
            <w:rStyle w:val="Hyperlink"/>
            <w:lang w:val="en-US"/>
          </w:rPr>
          <w:t>.</w:t>
        </w:r>
        <w:r w:rsidR="00BF198B" w:rsidRPr="00BF198B">
          <w:rPr>
            <w:rStyle w:val="Hyperlink"/>
            <w:lang w:val="en-US"/>
          </w:rPr>
          <w:t>COM</w:t>
        </w:r>
        <w:r w:rsidR="00BF198B" w:rsidRPr="00BF198B">
          <w:rPr>
            <w:rStyle w:val="Hyperlink"/>
            <w:lang w:val="en-US"/>
          </w:rPr>
          <w:t> </w:t>
        </w:r>
        <w:r w:rsidR="00BF198B" w:rsidRPr="00BF198B">
          <w:rPr>
            <w:rStyle w:val="Hyperlink"/>
            <w:lang w:val="en-US"/>
          </w:rPr>
          <w:t>6.a</w:t>
        </w:r>
      </w:hyperlink>
      <w:r w:rsidR="00BF198B">
        <w:t>).</w:t>
      </w:r>
    </w:p>
    <w:p w14:paraId="693E90A8" w14:textId="049C4043" w:rsidR="004B4848" w:rsidRDefault="00BC3373" w:rsidP="006610D9">
      <w:pPr>
        <w:pStyle w:val="COMPara"/>
        <w:numPr>
          <w:ilvl w:val="0"/>
          <w:numId w:val="6"/>
        </w:numPr>
        <w:spacing w:before="240"/>
        <w:ind w:left="567" w:hanging="567"/>
        <w:jc w:val="both"/>
      </w:pPr>
      <w:r>
        <w:t>H</w:t>
      </w:r>
      <w:r w:rsidR="00B50306">
        <w:t>av</w:t>
      </w:r>
      <w:r>
        <w:t>ing</w:t>
      </w:r>
      <w:r w:rsidR="00B50306">
        <w:t xml:space="preserve"> just entered the seventh cycle of reporting and since States are requested to report every sixth year after ratification, </w:t>
      </w:r>
      <w:r>
        <w:t xml:space="preserve">the Committee </w:t>
      </w:r>
      <w:r w:rsidR="00E97A68">
        <w:t>in 2017 received reports from States Parties that ratified the Convention in 2004 (their second report) and 2010 (their first report).</w:t>
      </w:r>
      <w:r w:rsidR="00B50306">
        <w:t xml:space="preserve"> This will increase </w:t>
      </w:r>
      <w:r w:rsidR="004F18FF">
        <w:t xml:space="preserve">not only </w:t>
      </w:r>
      <w:r w:rsidR="00B50306">
        <w:t>the number of reports expected every year, but also the uncertainty linked to overdue reports. For</w:t>
      </w:r>
      <w:r w:rsidR="006A305D">
        <w:t xml:space="preserve"> example</w:t>
      </w:r>
      <w:r>
        <w:t>,</w:t>
      </w:r>
      <w:r w:rsidR="006A305D">
        <w:t xml:space="preserve"> for</w:t>
      </w:r>
      <w:r w:rsidR="00B50306">
        <w:t xml:space="preserve"> the first time this year</w:t>
      </w:r>
      <w:r w:rsidR="00BE0153">
        <w:t>,</w:t>
      </w:r>
      <w:r w:rsidR="00B50306">
        <w:t xml:space="preserve"> the Committee is confronted </w:t>
      </w:r>
      <w:r w:rsidR="004F18FF">
        <w:t xml:space="preserve">with </w:t>
      </w:r>
      <w:r w:rsidR="00B50306">
        <w:t xml:space="preserve">the case </w:t>
      </w:r>
      <w:r w:rsidR="004F18FF">
        <w:t xml:space="preserve">in which </w:t>
      </w:r>
      <w:r w:rsidR="00B50306">
        <w:t>a State Party has been reminded every year for the past six cycle</w:t>
      </w:r>
      <w:r w:rsidR="004F18FF">
        <w:t>s</w:t>
      </w:r>
      <w:r w:rsidR="00B50306">
        <w:t xml:space="preserve"> and will </w:t>
      </w:r>
      <w:r w:rsidR="004F18FF">
        <w:t xml:space="preserve">theoretically </w:t>
      </w:r>
      <w:r w:rsidR="00B50306">
        <w:t xml:space="preserve">have to report next year for the second time without </w:t>
      </w:r>
      <w:r w:rsidR="004F18FF">
        <w:t xml:space="preserve">ever </w:t>
      </w:r>
      <w:r w:rsidR="00B50306">
        <w:t>having submitted its first report.</w:t>
      </w:r>
    </w:p>
    <w:p w14:paraId="20407405" w14:textId="4B0C0D37" w:rsidR="00BB5C53" w:rsidRDefault="006A75F6" w:rsidP="006610D9">
      <w:pPr>
        <w:pStyle w:val="COMPara"/>
        <w:numPr>
          <w:ilvl w:val="0"/>
          <w:numId w:val="6"/>
        </w:numPr>
        <w:spacing w:before="120"/>
        <w:ind w:left="567" w:hanging="567"/>
        <w:jc w:val="both"/>
      </w:pPr>
      <w:r>
        <w:t>Regarding</w:t>
      </w:r>
      <w:r w:rsidR="004B4848">
        <w:t xml:space="preserve"> the </w:t>
      </w:r>
      <w:r w:rsidR="00965053">
        <w:t>content of the information collected</w:t>
      </w:r>
      <w:r w:rsidR="004B4848">
        <w:t>, t</w:t>
      </w:r>
      <w:r w:rsidR="00BE14B6">
        <w:t>he evaluation of the standard-setting work of UNESCO’s Culture Sector</w:t>
      </w:r>
      <w:r w:rsidR="004F18FF">
        <w:t>,</w:t>
      </w:r>
      <w:r w:rsidR="00BE14B6">
        <w:rPr>
          <w:rStyle w:val="FootnoteReference"/>
        </w:rPr>
        <w:footnoteReference w:id="1"/>
      </w:r>
      <w:r w:rsidR="00BE14B6">
        <w:t xml:space="preserve"> conducted in 2013 by the Internal Oversight Service (IOS)</w:t>
      </w:r>
      <w:r w:rsidR="004F18FF">
        <w:t>,</w:t>
      </w:r>
      <w:r w:rsidR="00BE14B6">
        <w:t xml:space="preserve"> identified a tendency </w:t>
      </w:r>
      <w:r w:rsidR="007428ED">
        <w:t xml:space="preserve">for reports </w:t>
      </w:r>
      <w:r w:rsidR="00BE14B6">
        <w:t xml:space="preserve">to focus </w:t>
      </w:r>
      <w:r>
        <w:t xml:space="preserve">overly </w:t>
      </w:r>
      <w:r w:rsidR="00BE14B6">
        <w:t xml:space="preserve">on activities without </w:t>
      </w:r>
      <w:r>
        <w:t xml:space="preserve">paying </w:t>
      </w:r>
      <w:r w:rsidR="00BE14B6">
        <w:t xml:space="preserve">sufficient attention to their results and impacts. The IOS considered that </w:t>
      </w:r>
      <w:r w:rsidR="007428ED">
        <w:t xml:space="preserve">this </w:t>
      </w:r>
      <w:r w:rsidR="00600730">
        <w:t>wa</w:t>
      </w:r>
      <w:r w:rsidR="007428ED">
        <w:t xml:space="preserve">s </w:t>
      </w:r>
      <w:r>
        <w:t xml:space="preserve">partly </w:t>
      </w:r>
      <w:r w:rsidR="007428ED">
        <w:t xml:space="preserve">due to </w:t>
      </w:r>
      <w:r w:rsidR="00BE14B6">
        <w:t xml:space="preserve">the current Form ICH-10, which follows the structure of the </w:t>
      </w:r>
      <w:r w:rsidR="007428ED">
        <w:t xml:space="preserve">relevant Operational Directives and </w:t>
      </w:r>
      <w:r w:rsidR="00BE14B6">
        <w:t xml:space="preserve">is not </w:t>
      </w:r>
      <w:r>
        <w:t xml:space="preserve">sufficiently </w:t>
      </w:r>
      <w:r w:rsidR="00BE14B6">
        <w:t xml:space="preserve">user-friendly for many States Parties. </w:t>
      </w:r>
      <w:r>
        <w:t xml:space="preserve">A further </w:t>
      </w:r>
      <w:r w:rsidR="009E5894">
        <w:t xml:space="preserve">analysis </w:t>
      </w:r>
      <w:r>
        <w:t xml:space="preserve">of </w:t>
      </w:r>
      <w:r w:rsidR="009E5894">
        <w:t xml:space="preserve">the challenges faced </w:t>
      </w:r>
      <w:r>
        <w:t xml:space="preserve">under </w:t>
      </w:r>
      <w:r w:rsidR="009E5894">
        <w:t xml:space="preserve">the current periodic reporting </w:t>
      </w:r>
      <w:r>
        <w:t xml:space="preserve">mechanism </w:t>
      </w:r>
      <w:r w:rsidR="009E5894">
        <w:t>was presented</w:t>
      </w:r>
      <w:r>
        <w:t>,</w:t>
      </w:r>
      <w:r w:rsidR="009A13AC">
        <w:t xml:space="preserve"> more recently</w:t>
      </w:r>
      <w:r>
        <w:t>,</w:t>
      </w:r>
      <w:r w:rsidR="009E5894">
        <w:t xml:space="preserve"> during the aforementioned open-ended intergovernmental working group (</w:t>
      </w:r>
      <w:r w:rsidR="00555C73">
        <w:t>d</w:t>
      </w:r>
      <w:r w:rsidR="00D570FC">
        <w:t>ocument </w:t>
      </w:r>
      <w:hyperlink r:id="rId13" w:history="1">
        <w:r w:rsidR="009E5894" w:rsidRPr="00EF3967">
          <w:rPr>
            <w:rStyle w:val="Hyperlink"/>
          </w:rPr>
          <w:t>ITH</w:t>
        </w:r>
        <w:r w:rsidR="009E5894" w:rsidRPr="00EF3967">
          <w:rPr>
            <w:rStyle w:val="Hyperlink"/>
          </w:rPr>
          <w:t>/</w:t>
        </w:r>
        <w:r w:rsidR="009E5894" w:rsidRPr="00EF3967">
          <w:rPr>
            <w:rStyle w:val="Hyperlink"/>
          </w:rPr>
          <w:t>17/12</w:t>
        </w:r>
        <w:r w:rsidR="009E5894" w:rsidRPr="00EF3967">
          <w:rPr>
            <w:rStyle w:val="Hyperlink"/>
          </w:rPr>
          <w:t>.</w:t>
        </w:r>
        <w:r w:rsidR="009E5894" w:rsidRPr="00EF3967">
          <w:rPr>
            <w:rStyle w:val="Hyperlink"/>
          </w:rPr>
          <w:t>COM WG/5</w:t>
        </w:r>
      </w:hyperlink>
      <w:r w:rsidR="009E5894" w:rsidRPr="00555C73">
        <w:rPr>
          <w:rStyle w:val="Hyperlink"/>
          <w:color w:val="auto"/>
          <w:u w:val="none"/>
        </w:rPr>
        <w:t>)</w:t>
      </w:r>
      <w:r w:rsidR="009A13AC">
        <w:t>, which</w:t>
      </w:r>
      <w:r w:rsidR="00965053">
        <w:t xml:space="preserve"> considered that periodic reporting could be crucial </w:t>
      </w:r>
      <w:r>
        <w:t xml:space="preserve">for </w:t>
      </w:r>
      <w:r w:rsidR="00965053">
        <w:t>supporting the implementation of the</w:t>
      </w:r>
      <w:r w:rsidR="009A13AC">
        <w:t xml:space="preserve"> overall results framework</w:t>
      </w:r>
      <w:r w:rsidR="00965053">
        <w:t>.</w:t>
      </w:r>
    </w:p>
    <w:p w14:paraId="63AFA860" w14:textId="1D488632" w:rsidR="009D637E" w:rsidRDefault="00E33DBD" w:rsidP="006610D9">
      <w:pPr>
        <w:pStyle w:val="COMPara"/>
        <w:numPr>
          <w:ilvl w:val="0"/>
          <w:numId w:val="6"/>
        </w:numPr>
        <w:spacing w:before="120"/>
        <w:ind w:left="567" w:hanging="567"/>
        <w:jc w:val="both"/>
      </w:pPr>
      <w:r>
        <w:t xml:space="preserve">Following the suggestions made by the open-ended intergovernmental working group, the Secretariat </w:t>
      </w:r>
      <w:r w:rsidR="006B5F32">
        <w:t xml:space="preserve">intends to </w:t>
      </w:r>
      <w:r w:rsidR="006A75F6">
        <w:t>updat</w:t>
      </w:r>
      <w:r w:rsidR="006B5F32">
        <w:t>e</w:t>
      </w:r>
      <w:r w:rsidR="006A75F6">
        <w:t xml:space="preserve"> </w:t>
      </w:r>
      <w:r w:rsidR="009D637E">
        <w:t>Form ICH-10. The revision</w:t>
      </w:r>
      <w:r w:rsidR="004F18FF">
        <w:t xml:space="preserve"> of this form</w:t>
      </w:r>
      <w:r w:rsidR="009D637E">
        <w:t xml:space="preserve"> </w:t>
      </w:r>
      <w:r w:rsidR="006A75F6">
        <w:t xml:space="preserve">would make it easier to </w:t>
      </w:r>
      <w:r w:rsidR="009C3024">
        <w:t xml:space="preserve">report </w:t>
      </w:r>
      <w:r w:rsidR="006A75F6">
        <w:t xml:space="preserve">on </w:t>
      </w:r>
      <w:r w:rsidR="009C3024">
        <w:t xml:space="preserve">the impact of the </w:t>
      </w:r>
      <w:r w:rsidR="00600730">
        <w:t xml:space="preserve">2003 Convention and the </w:t>
      </w:r>
      <w:r w:rsidR="009C3024">
        <w:t>safeguarding of intangible cultural heritage</w:t>
      </w:r>
      <w:r w:rsidR="00965053">
        <w:t xml:space="preserve"> against clear indicators and benchmarks</w:t>
      </w:r>
      <w:r w:rsidR="006A305D">
        <w:t>.</w:t>
      </w:r>
      <w:r w:rsidR="009C3024">
        <w:t xml:space="preserve"> In this way, </w:t>
      </w:r>
      <w:r w:rsidR="0038479A">
        <w:t xml:space="preserve">submitting States </w:t>
      </w:r>
      <w:r w:rsidR="006A75F6">
        <w:t xml:space="preserve">could </w:t>
      </w:r>
      <w:r w:rsidR="0038479A">
        <w:t xml:space="preserve">concentrate on reporting </w:t>
      </w:r>
      <w:r w:rsidR="006A75F6">
        <w:t xml:space="preserve">on </w:t>
      </w:r>
      <w:r w:rsidR="0038479A">
        <w:t xml:space="preserve">pertinent </w:t>
      </w:r>
      <w:r w:rsidR="009C3024">
        <w:t>safeguarding process</w:t>
      </w:r>
      <w:r w:rsidR="006A75F6">
        <w:t>es</w:t>
      </w:r>
      <w:r w:rsidR="009C3024">
        <w:t xml:space="preserve"> </w:t>
      </w:r>
      <w:r w:rsidR="0038479A">
        <w:t xml:space="preserve">and their </w:t>
      </w:r>
      <w:r w:rsidR="006A305D">
        <w:t xml:space="preserve">effectiveness </w:t>
      </w:r>
      <w:r w:rsidR="009C3024">
        <w:t xml:space="preserve">rather than </w:t>
      </w:r>
      <w:r w:rsidR="006A305D">
        <w:t xml:space="preserve">just </w:t>
      </w:r>
      <w:r w:rsidR="00141055">
        <w:t>describing activities undertaken</w:t>
      </w:r>
      <w:r w:rsidR="009C3024">
        <w:t>.</w:t>
      </w:r>
    </w:p>
    <w:p w14:paraId="64DB4C6E" w14:textId="0284D108" w:rsidR="00F27BC5" w:rsidRDefault="00D570FC" w:rsidP="006610D9">
      <w:pPr>
        <w:pStyle w:val="COMPara"/>
        <w:numPr>
          <w:ilvl w:val="0"/>
          <w:numId w:val="6"/>
        </w:numPr>
        <w:spacing w:before="120"/>
        <w:ind w:left="567" w:hanging="567"/>
        <w:jc w:val="both"/>
      </w:pPr>
      <w:proofErr w:type="gramStart"/>
      <w:r>
        <w:t xml:space="preserve">In its report to the Committee, the open-ended intergovernmental working group also recommended that </w:t>
      </w:r>
      <w:r w:rsidR="00E97A68">
        <w:t>‘</w:t>
      </w:r>
      <w:r>
        <w:t xml:space="preserve">the Secretariat propose </w:t>
      </w:r>
      <w:r w:rsidRPr="004C41FE">
        <w:rPr>
          <w:lang w:val="en-US"/>
        </w:rPr>
        <w:t>to the Committee, for its consideration, possible changes to the periodic reporting mechanism to move towards a regional cycle of national reporting, as discussed during the present meeting, and prepare draft revisions of the Operational Directives necessary to that end</w:t>
      </w:r>
      <w:r w:rsidR="00E97A68">
        <w:rPr>
          <w:lang w:val="en-US"/>
        </w:rPr>
        <w:t>’</w:t>
      </w:r>
      <w:r>
        <w:t xml:space="preserve"> (</w:t>
      </w:r>
      <w:r w:rsidR="00555C73">
        <w:t>d</w:t>
      </w:r>
      <w:r>
        <w:t xml:space="preserve">ocument </w:t>
      </w:r>
      <w:hyperlink r:id="rId14" w:history="1">
        <w:r w:rsidRPr="00D570FC">
          <w:rPr>
            <w:rStyle w:val="Hyperlink"/>
          </w:rPr>
          <w:t>ITH/17/12.C</w:t>
        </w:r>
        <w:r w:rsidRPr="00D570FC">
          <w:rPr>
            <w:rStyle w:val="Hyperlink"/>
          </w:rPr>
          <w:t>O</w:t>
        </w:r>
        <w:r w:rsidRPr="00D570FC">
          <w:rPr>
            <w:rStyle w:val="Hyperlink"/>
          </w:rPr>
          <w:t>M WG/7</w:t>
        </w:r>
      </w:hyperlink>
      <w:r>
        <w:t>)</w:t>
      </w:r>
      <w:r w:rsidR="006C22A5">
        <w:t>.</w:t>
      </w:r>
      <w:proofErr w:type="gramEnd"/>
      <w:r w:rsidR="00507F86">
        <w:t xml:space="preserve"> </w:t>
      </w:r>
      <w:r w:rsidR="00CB5466">
        <w:t xml:space="preserve">This change will also allow for </w:t>
      </w:r>
      <w:r w:rsidR="00C41382">
        <w:t>greater</w:t>
      </w:r>
      <w:r w:rsidR="003C79CB">
        <w:t xml:space="preserve"> </w:t>
      </w:r>
      <w:r w:rsidR="00EA2025">
        <w:t xml:space="preserve">effectiveness </w:t>
      </w:r>
      <w:r w:rsidR="003C79CB">
        <w:t>in the organization of</w:t>
      </w:r>
      <w:r w:rsidR="00C11435">
        <w:t xml:space="preserve"> </w:t>
      </w:r>
      <w:r w:rsidR="003C79CB">
        <w:t>capacity-</w:t>
      </w:r>
      <w:r w:rsidR="00C11435">
        <w:t>building activities</w:t>
      </w:r>
      <w:r w:rsidR="004453FC">
        <w:t>,</w:t>
      </w:r>
      <w:r w:rsidR="00CB5466">
        <w:t xml:space="preserve"> </w:t>
      </w:r>
      <w:r w:rsidR="009B27FB">
        <w:t>with</w:t>
      </w:r>
      <w:r w:rsidR="00CB5466">
        <w:t xml:space="preserve"> the development of specific modules dedicated to periodic reports and to the </w:t>
      </w:r>
      <w:r w:rsidR="004453FC">
        <w:t xml:space="preserve">organization </w:t>
      </w:r>
      <w:r w:rsidR="00CB5466">
        <w:t>of targeted training</w:t>
      </w:r>
      <w:r w:rsidR="004453FC">
        <w:t xml:space="preserve"> sessions</w:t>
      </w:r>
      <w:r w:rsidR="00CB5466">
        <w:t xml:space="preserve"> at the regional level</w:t>
      </w:r>
      <w:r w:rsidR="00C11435">
        <w:t>.</w:t>
      </w:r>
      <w:r w:rsidR="006C43F3">
        <w:t xml:space="preserve"> It is also expected that this proposal will make it easier for States Parties in a given region to benefit from collaboration at the regional or sub-regional levels and the capacity-building activities will represent an </w:t>
      </w:r>
      <w:r w:rsidR="004453FC">
        <w:t xml:space="preserve">opportunity </w:t>
      </w:r>
      <w:r w:rsidR="006C43F3">
        <w:t xml:space="preserve">to foster dialogue and exchange </w:t>
      </w:r>
      <w:r w:rsidR="004453FC">
        <w:t xml:space="preserve">regarding </w:t>
      </w:r>
      <w:r w:rsidR="006C43F3">
        <w:t>national experiences.</w:t>
      </w:r>
    </w:p>
    <w:p w14:paraId="7C589D18" w14:textId="2EC5F999" w:rsidR="00874590" w:rsidRPr="00053CFA" w:rsidRDefault="0031637C" w:rsidP="00DF033B">
      <w:pPr>
        <w:pStyle w:val="COMPara"/>
        <w:numPr>
          <w:ilvl w:val="0"/>
          <w:numId w:val="6"/>
        </w:numPr>
        <w:spacing w:before="120"/>
        <w:ind w:left="567" w:hanging="567"/>
        <w:jc w:val="both"/>
      </w:pPr>
      <w:r>
        <w:t xml:space="preserve">Operationally, the move towards the regional </w:t>
      </w:r>
      <w:r w:rsidR="006A305D" w:rsidRPr="004C41FE">
        <w:rPr>
          <w:lang w:val="en-US"/>
        </w:rPr>
        <w:t xml:space="preserve">cycle of </w:t>
      </w:r>
      <w:r w:rsidR="006A305D">
        <w:rPr>
          <w:lang w:val="en-US"/>
        </w:rPr>
        <w:t xml:space="preserve">national </w:t>
      </w:r>
      <w:r>
        <w:t>reporting on the implementation of the Convention</w:t>
      </w:r>
      <w:r w:rsidR="00625F74">
        <w:t xml:space="preserve"> and on the status of elements inscribed on the Representative List</w:t>
      </w:r>
      <w:r>
        <w:t xml:space="preserve"> requires several steps before the new calendar can be fully put into place. It is proposed that during the thirteen session of the Committee in 2018 the reports to be submitted by the deadline of 15 December 2017 be examined for the last time under the existing procedure. </w:t>
      </w:r>
      <w:r w:rsidR="00425667">
        <w:t>After the seventh session of the General Assembly</w:t>
      </w:r>
      <w:r w:rsidR="00325339">
        <w:t xml:space="preserve"> in June 2018</w:t>
      </w:r>
      <w:r w:rsidR="00425667">
        <w:t xml:space="preserve">, once the latter </w:t>
      </w:r>
      <w:r w:rsidR="00763271">
        <w:t xml:space="preserve">has </w:t>
      </w:r>
      <w:r w:rsidR="00425667">
        <w:t xml:space="preserve">approved the final version of the overall results framework, the Secretariat </w:t>
      </w:r>
      <w:r w:rsidR="00325339">
        <w:t xml:space="preserve">will </w:t>
      </w:r>
      <w:r w:rsidR="00425667">
        <w:t xml:space="preserve">be able to start revising </w:t>
      </w:r>
      <w:r w:rsidR="00763271">
        <w:t xml:space="preserve">the </w:t>
      </w:r>
      <w:r w:rsidR="00425667">
        <w:t xml:space="preserve">periodic reporting </w:t>
      </w:r>
      <w:r w:rsidR="00763271">
        <w:t xml:space="preserve">Form </w:t>
      </w:r>
      <w:r w:rsidR="00425667">
        <w:t>ICH-10 in order to align it to the framework</w:t>
      </w:r>
      <w:r w:rsidR="00325339">
        <w:t xml:space="preserve"> and </w:t>
      </w:r>
      <w:r w:rsidR="00763271">
        <w:t xml:space="preserve">begin </w:t>
      </w:r>
      <w:r w:rsidR="00325339">
        <w:t>drafting the capacity-building materials</w:t>
      </w:r>
      <w:r w:rsidR="00425667">
        <w:t xml:space="preserve">. </w:t>
      </w:r>
      <w:r w:rsidR="00325339">
        <w:t xml:space="preserve">This transition period would start in the second half of 2018 and last </w:t>
      </w:r>
      <w:r w:rsidR="00763271">
        <w:t>for all</w:t>
      </w:r>
      <w:r w:rsidR="00325339">
        <w:t xml:space="preserve"> </w:t>
      </w:r>
      <w:r w:rsidR="00763271">
        <w:t xml:space="preserve">of </w:t>
      </w:r>
      <w:r w:rsidR="00325339">
        <w:t>2019</w:t>
      </w:r>
      <w:r w:rsidR="007710CF">
        <w:t>, which means that the submission of periodic reports on the implementation of the Convention will be suspended for the deadline of 15 December 2018 and 2019</w:t>
      </w:r>
      <w:r w:rsidR="00625F74">
        <w:t>, including for overdue reports</w:t>
      </w:r>
      <w:r w:rsidR="00325339">
        <w:t>.</w:t>
      </w:r>
      <w:r>
        <w:t xml:space="preserve"> </w:t>
      </w:r>
      <w:r w:rsidR="00325339">
        <w:t>T</w:t>
      </w:r>
      <w:r>
        <w:t xml:space="preserve">he </w:t>
      </w:r>
      <w:r w:rsidR="00325339">
        <w:t xml:space="preserve">updated Form ICH-10 as well as the new capacity-building materials </w:t>
      </w:r>
      <w:r w:rsidR="004453FC">
        <w:t xml:space="preserve">would </w:t>
      </w:r>
      <w:r w:rsidR="00325339">
        <w:t xml:space="preserve">then </w:t>
      </w:r>
      <w:r>
        <w:t xml:space="preserve">be presented to the Committee at its </w:t>
      </w:r>
      <w:r w:rsidR="00325339">
        <w:t xml:space="preserve">fourteenth </w:t>
      </w:r>
      <w:r>
        <w:t>session</w:t>
      </w:r>
      <w:r w:rsidR="00325339">
        <w:t xml:space="preserve"> in 2019</w:t>
      </w:r>
      <w:r w:rsidR="00460399">
        <w:t>.</w:t>
      </w:r>
      <w:r>
        <w:t xml:space="preserve"> By early </w:t>
      </w:r>
      <w:r w:rsidR="007710CF">
        <w:t>2020</w:t>
      </w:r>
      <w:r>
        <w:t xml:space="preserve">, the Secretariat </w:t>
      </w:r>
      <w:r w:rsidR="00EE3E6A">
        <w:t>would</w:t>
      </w:r>
      <w:r>
        <w:t xml:space="preserve"> be ready to start the new </w:t>
      </w:r>
      <w:r w:rsidRPr="00053CFA">
        <w:t xml:space="preserve">procedures </w:t>
      </w:r>
      <w:r w:rsidR="00625F74">
        <w:t xml:space="preserve">for periodic reporting on the implementation of the Convention </w:t>
      </w:r>
      <w:r w:rsidRPr="00053CFA">
        <w:t>in the first region.</w:t>
      </w:r>
    </w:p>
    <w:p w14:paraId="22CFDF8B" w14:textId="40BBF905" w:rsidR="0031637C" w:rsidRPr="00053CFA" w:rsidRDefault="004453FC" w:rsidP="00DF033B">
      <w:pPr>
        <w:pStyle w:val="COMPara"/>
        <w:numPr>
          <w:ilvl w:val="0"/>
          <w:numId w:val="6"/>
        </w:numPr>
        <w:spacing w:before="120"/>
        <w:ind w:left="567" w:hanging="567"/>
        <w:jc w:val="both"/>
      </w:pPr>
      <w:r>
        <w:t>This</w:t>
      </w:r>
      <w:r w:rsidRPr="00053CFA">
        <w:t xml:space="preserve"> </w:t>
      </w:r>
      <w:r w:rsidR="00B52653" w:rsidRPr="00053CFA">
        <w:t>transition</w:t>
      </w:r>
      <w:r w:rsidR="00263DBF" w:rsidRPr="00053CFA">
        <w:t xml:space="preserve"> will be</w:t>
      </w:r>
      <w:r w:rsidR="006A305D">
        <w:t xml:space="preserve"> </w:t>
      </w:r>
      <w:r w:rsidR="00625F74">
        <w:t xml:space="preserve">partially </w:t>
      </w:r>
      <w:r w:rsidR="006A305D">
        <w:t xml:space="preserve">assisted thanks to the generous </w:t>
      </w:r>
      <w:r w:rsidR="00263DBF" w:rsidRPr="00053CFA">
        <w:t>voluntary supplementary contribution of the Republic of Korea</w:t>
      </w:r>
      <w:r w:rsidR="00B52653" w:rsidRPr="00053CFA">
        <w:t xml:space="preserve"> to the Intangible Cultural Heritage Fund</w:t>
      </w:r>
      <w:r w:rsidR="0064010B" w:rsidRPr="00053CFA">
        <w:t>,</w:t>
      </w:r>
      <w:r w:rsidR="00874590" w:rsidRPr="00053CFA">
        <w:t xml:space="preserve"> </w:t>
      </w:r>
      <w:r w:rsidR="0064010B" w:rsidRPr="00053CFA">
        <w:t>i</w:t>
      </w:r>
      <w:r w:rsidR="00874590" w:rsidRPr="00053CFA">
        <w:t>n the amount of US$300,000</w:t>
      </w:r>
      <w:r w:rsidR="0064010B" w:rsidRPr="00053CFA">
        <w:t>,</w:t>
      </w:r>
      <w:r w:rsidR="00874590" w:rsidRPr="00053CFA">
        <w:t xml:space="preserve"> </w:t>
      </w:r>
      <w:r>
        <w:t xml:space="preserve">which was </w:t>
      </w:r>
      <w:r w:rsidR="00B52653" w:rsidRPr="00053CFA">
        <w:t>approved by the Committee at its eleventh session (</w:t>
      </w:r>
      <w:hyperlink r:id="rId15" w:history="1">
        <w:r w:rsidR="00B52653" w:rsidRPr="00053CFA">
          <w:rPr>
            <w:rStyle w:val="Hyperlink"/>
          </w:rPr>
          <w:t>D</w:t>
        </w:r>
        <w:r w:rsidR="00B52653" w:rsidRPr="00053CFA">
          <w:rPr>
            <w:rStyle w:val="Hyperlink"/>
          </w:rPr>
          <w:t>e</w:t>
        </w:r>
        <w:r w:rsidR="00B52653" w:rsidRPr="00053CFA">
          <w:rPr>
            <w:rStyle w:val="Hyperlink"/>
          </w:rPr>
          <w:t>cision 11.COM 6</w:t>
        </w:r>
      </w:hyperlink>
      <w:r w:rsidR="00B52653" w:rsidRPr="00053CFA">
        <w:t>)</w:t>
      </w:r>
      <w:r w:rsidR="0064010B" w:rsidRPr="00053CFA">
        <w:t>.</w:t>
      </w:r>
      <w:r w:rsidR="00874590" w:rsidRPr="00053CFA">
        <w:t xml:space="preserve"> </w:t>
      </w:r>
      <w:r>
        <w:t>The a</w:t>
      </w:r>
      <w:r w:rsidRPr="00053CFA">
        <w:t xml:space="preserve">ctivities </w:t>
      </w:r>
      <w:r w:rsidR="0064010B" w:rsidRPr="00053CFA">
        <w:t>foreseen under t</w:t>
      </w:r>
      <w:r w:rsidR="00874590" w:rsidRPr="00053CFA">
        <w:t xml:space="preserve">his contribution </w:t>
      </w:r>
      <w:r w:rsidR="0064010B" w:rsidRPr="00053CFA">
        <w:t xml:space="preserve">include </w:t>
      </w:r>
      <w:r w:rsidR="00874590" w:rsidRPr="00053CFA">
        <w:t>the alignment of the periodic reporting mechanism with the overall results f</w:t>
      </w:r>
      <w:r w:rsidR="005D3DF1" w:rsidRPr="00053CFA">
        <w:t xml:space="preserve">ramework of the 2003 Convention, </w:t>
      </w:r>
      <w:r w:rsidR="00874590" w:rsidRPr="00053CFA">
        <w:t>the implementation of the new reporting system</w:t>
      </w:r>
      <w:r w:rsidR="005D3DF1" w:rsidRPr="00053CFA">
        <w:t xml:space="preserve"> and the establishment of an online reporting </w:t>
      </w:r>
      <w:r w:rsidR="007D1742" w:rsidRPr="00053CFA">
        <w:t>tool</w:t>
      </w:r>
      <w:r w:rsidR="00874590" w:rsidRPr="00053CFA">
        <w:t>.</w:t>
      </w:r>
    </w:p>
    <w:p w14:paraId="46BDD5E6" w14:textId="15521160" w:rsidR="007B38C0" w:rsidRDefault="00DF033B" w:rsidP="004D3F07">
      <w:pPr>
        <w:pStyle w:val="COMPara"/>
        <w:numPr>
          <w:ilvl w:val="0"/>
          <w:numId w:val="6"/>
        </w:numPr>
        <w:spacing w:before="120"/>
        <w:ind w:left="567" w:hanging="567"/>
        <w:jc w:val="both"/>
      </w:pPr>
      <w:r>
        <w:t xml:space="preserve">The regional </w:t>
      </w:r>
      <w:r w:rsidR="006A305D" w:rsidRPr="006655D8">
        <w:rPr>
          <w:lang w:val="en-US"/>
        </w:rPr>
        <w:t xml:space="preserve">cycle of national </w:t>
      </w:r>
      <w:r>
        <w:t xml:space="preserve">reporting could be </w:t>
      </w:r>
      <w:r w:rsidR="000D30D4">
        <w:t xml:space="preserve">for </w:t>
      </w:r>
      <w:r>
        <w:t>six years</w:t>
      </w:r>
      <w:r w:rsidR="000D30D4">
        <w:t>,</w:t>
      </w:r>
      <w:r>
        <w:t xml:space="preserve"> with one year dedicated to each </w:t>
      </w:r>
      <w:r w:rsidR="000D30D4">
        <w:t xml:space="preserve">electoral group </w:t>
      </w:r>
      <w:r>
        <w:t xml:space="preserve">of UNESCO. </w:t>
      </w:r>
      <w:r w:rsidRPr="00DF033B">
        <w:t xml:space="preserve">The order of examination by </w:t>
      </w:r>
      <w:r w:rsidR="000D30D4">
        <w:t>e</w:t>
      </w:r>
      <w:r w:rsidR="000D30D4" w:rsidRPr="00DF033B">
        <w:t xml:space="preserve">lectoral </w:t>
      </w:r>
      <w:r w:rsidRPr="00DF033B">
        <w:t xml:space="preserve">groups for each six-year regional cycle </w:t>
      </w:r>
      <w:r w:rsidR="005F1023">
        <w:t xml:space="preserve">could </w:t>
      </w:r>
      <w:r>
        <w:t xml:space="preserve">be </w:t>
      </w:r>
      <w:r w:rsidRPr="00DF033B">
        <w:t>established by the Committee</w:t>
      </w:r>
      <w:r>
        <w:t xml:space="preserve"> through a decision</w:t>
      </w:r>
      <w:r w:rsidRPr="00DF033B">
        <w:t xml:space="preserve"> </w:t>
      </w:r>
      <w:r w:rsidR="006249F4">
        <w:t xml:space="preserve">to be </w:t>
      </w:r>
      <w:r>
        <w:t xml:space="preserve">taken at the beginning of </w:t>
      </w:r>
      <w:r w:rsidR="00BC3373">
        <w:t xml:space="preserve">such </w:t>
      </w:r>
      <w:r>
        <w:t>cycle</w:t>
      </w:r>
      <w:r w:rsidR="005F1023">
        <w:t>,</w:t>
      </w:r>
      <w:r w:rsidR="00BC3373">
        <w:t xml:space="preserve"> which </w:t>
      </w:r>
      <w:r w:rsidR="000F74C3">
        <w:t>could be envisaged</w:t>
      </w:r>
      <w:r w:rsidR="00F070D6">
        <w:t xml:space="preserve"> as follows</w:t>
      </w:r>
      <w:r w:rsidR="0031637C">
        <w:t xml:space="preserve">. </w:t>
      </w:r>
      <w:r w:rsidR="00F070D6">
        <w:t xml:space="preserve">The cycle would start with </w:t>
      </w:r>
      <w:r w:rsidR="00F87C4F">
        <w:t>actions</w:t>
      </w:r>
      <w:r w:rsidR="00C41382">
        <w:t xml:space="preserve"> undertaken</w:t>
      </w:r>
      <w:r w:rsidR="006D0D0E">
        <w:t xml:space="preserve"> in</w:t>
      </w:r>
      <w:r w:rsidR="00F87C4F">
        <w:t xml:space="preserve"> 20</w:t>
      </w:r>
      <w:r w:rsidR="00325339">
        <w:t>20</w:t>
      </w:r>
      <w:r w:rsidR="00F87C4F">
        <w:t xml:space="preserve"> in </w:t>
      </w:r>
      <w:r w:rsidR="00B60135">
        <w:t xml:space="preserve">the </w:t>
      </w:r>
      <w:r w:rsidR="006655D8">
        <w:t>first region</w:t>
      </w:r>
      <w:r w:rsidR="00F87C4F">
        <w:t xml:space="preserve">. </w:t>
      </w:r>
      <w:r w:rsidR="00C41382">
        <w:t>P</w:t>
      </w:r>
      <w:r w:rsidR="00F87C4F">
        <w:t xml:space="preserve">rogress in </w:t>
      </w:r>
      <w:r w:rsidR="009F3A48">
        <w:t>that region</w:t>
      </w:r>
      <w:r w:rsidR="00F87C4F">
        <w:t xml:space="preserve"> </w:t>
      </w:r>
      <w:r w:rsidR="003C79CB">
        <w:t xml:space="preserve">would </w:t>
      </w:r>
      <w:r w:rsidR="00F87C4F">
        <w:t xml:space="preserve">be presented to the Committee at its </w:t>
      </w:r>
      <w:r w:rsidR="00747180">
        <w:t xml:space="preserve">fifteenth </w:t>
      </w:r>
      <w:r w:rsidR="00F87C4F">
        <w:t xml:space="preserve">session at the end of that year. The </w:t>
      </w:r>
      <w:r w:rsidR="00AC5116">
        <w:t>r</w:t>
      </w:r>
      <w:r w:rsidR="00F87C4F">
        <w:t xml:space="preserve">eports </w:t>
      </w:r>
      <w:r w:rsidR="00E0600B">
        <w:t xml:space="preserve">from </w:t>
      </w:r>
      <w:r w:rsidR="003C79CB">
        <w:t>S</w:t>
      </w:r>
      <w:r w:rsidR="004F135D">
        <w:t xml:space="preserve">tates Parties in </w:t>
      </w:r>
      <w:r w:rsidR="00B60135">
        <w:t xml:space="preserve">the </w:t>
      </w:r>
      <w:r w:rsidR="006655D8">
        <w:t xml:space="preserve">first region </w:t>
      </w:r>
      <w:r w:rsidR="00F070D6">
        <w:t>would then be</w:t>
      </w:r>
      <w:r w:rsidR="00F87C4F">
        <w:t xml:space="preserve"> due</w:t>
      </w:r>
      <w:r w:rsidR="00E0600B">
        <w:t xml:space="preserve"> by 15 December 20</w:t>
      </w:r>
      <w:r w:rsidR="00747180">
        <w:t>20</w:t>
      </w:r>
      <w:r w:rsidR="00E0600B">
        <w:t xml:space="preserve"> for examination by the Committee at its </w:t>
      </w:r>
      <w:r w:rsidR="00747180">
        <w:t xml:space="preserve">sixteenth </w:t>
      </w:r>
      <w:r w:rsidR="0049606A">
        <w:t xml:space="preserve">session in </w:t>
      </w:r>
      <w:r w:rsidR="00E0600B">
        <w:t>202</w:t>
      </w:r>
      <w:r w:rsidR="00747180">
        <w:t>1</w:t>
      </w:r>
      <w:r w:rsidR="00E0600B">
        <w:t xml:space="preserve">. At the same time, States Parties in </w:t>
      </w:r>
      <w:r w:rsidR="006655D8">
        <w:t xml:space="preserve">the second region </w:t>
      </w:r>
      <w:r w:rsidR="00F070D6">
        <w:t>would</w:t>
      </w:r>
      <w:r w:rsidR="00E0600B">
        <w:t xml:space="preserve"> start </w:t>
      </w:r>
      <w:r w:rsidR="003C79CB">
        <w:t>preparing</w:t>
      </w:r>
      <w:r w:rsidR="00E0600B">
        <w:t xml:space="preserve"> their periodic reports in 202</w:t>
      </w:r>
      <w:r w:rsidR="00747180">
        <w:t>1</w:t>
      </w:r>
      <w:r w:rsidR="00E0600B">
        <w:t xml:space="preserve"> for </w:t>
      </w:r>
      <w:r w:rsidR="003C79CB">
        <w:t xml:space="preserve">their </w:t>
      </w:r>
      <w:r w:rsidR="00E0600B">
        <w:t>submission by 15 December 202</w:t>
      </w:r>
      <w:r w:rsidR="00747180">
        <w:t>1</w:t>
      </w:r>
      <w:r w:rsidR="00E0600B">
        <w:t xml:space="preserve">. A similar process </w:t>
      </w:r>
      <w:r w:rsidR="003C79CB">
        <w:t xml:space="preserve">would </w:t>
      </w:r>
      <w:r w:rsidR="00E0600B">
        <w:t xml:space="preserve">be repeated for the rest of the regions until the Committee </w:t>
      </w:r>
      <w:r w:rsidR="006D0D0E">
        <w:t>has</w:t>
      </w:r>
      <w:r w:rsidR="00F070D6">
        <w:t xml:space="preserve"> </w:t>
      </w:r>
      <w:r w:rsidR="00E0600B">
        <w:t>finish</w:t>
      </w:r>
      <w:r w:rsidR="003C79CB">
        <w:t>ed</w:t>
      </w:r>
      <w:r w:rsidR="00E0600B">
        <w:t xml:space="preserve"> examining the reports from all regions in 202</w:t>
      </w:r>
      <w:r w:rsidR="00747180">
        <w:t>6</w:t>
      </w:r>
      <w:r w:rsidR="00E0600B">
        <w:t xml:space="preserve">. The second cycle </w:t>
      </w:r>
      <w:r w:rsidR="003C79CB">
        <w:t xml:space="preserve">could </w:t>
      </w:r>
      <w:r w:rsidR="004D0728">
        <w:t xml:space="preserve">then </w:t>
      </w:r>
      <w:r w:rsidR="00E0600B">
        <w:t>start</w:t>
      </w:r>
      <w:r w:rsidR="000F795D">
        <w:t xml:space="preserve"> </w:t>
      </w:r>
      <w:r w:rsidR="00E0600B">
        <w:t>in 202</w:t>
      </w:r>
      <w:r w:rsidR="00747180">
        <w:t>7</w:t>
      </w:r>
      <w:r w:rsidR="00E0600B">
        <w:t>.</w:t>
      </w:r>
      <w:r w:rsidR="00990626">
        <w:t xml:space="preserve"> </w:t>
      </w:r>
      <w:r w:rsidR="00625F74">
        <w:t xml:space="preserve">For </w:t>
      </w:r>
      <w:r w:rsidR="00990626">
        <w:t xml:space="preserve">States </w:t>
      </w:r>
      <w:r w:rsidR="00625F74">
        <w:t xml:space="preserve">newly </w:t>
      </w:r>
      <w:r w:rsidR="00990626">
        <w:t>ratifying the Convention</w:t>
      </w:r>
      <w:r w:rsidR="00625F74">
        <w:t xml:space="preserve"> </w:t>
      </w:r>
      <w:r w:rsidR="00990626">
        <w:t>in the course of a regional cycle</w:t>
      </w:r>
      <w:r w:rsidR="00625F74">
        <w:t xml:space="preserve">, consideration will have to be given to the amount of time between ratification and their first due report. </w:t>
      </w:r>
      <w:r w:rsidR="00BC3373">
        <w:t xml:space="preserve">The calendar for the first regional cycle of national reporting could be established by the Committee </w:t>
      </w:r>
      <w:r w:rsidR="00545BC2">
        <w:t xml:space="preserve">already </w:t>
      </w:r>
      <w:r w:rsidR="00BC3373">
        <w:t>at its thirteenth session in 2018 after the adoption of the new Operational Directives by the General Assembly.</w:t>
      </w:r>
    </w:p>
    <w:p w14:paraId="7BC3A162" w14:textId="1247DCD1" w:rsidR="00375F5B" w:rsidRDefault="00906C2C" w:rsidP="006610D9">
      <w:pPr>
        <w:pStyle w:val="COMPara"/>
        <w:numPr>
          <w:ilvl w:val="0"/>
          <w:numId w:val="6"/>
        </w:numPr>
        <w:spacing w:before="120"/>
        <w:ind w:left="567" w:hanging="567"/>
        <w:jc w:val="both"/>
      </w:pPr>
      <w:r>
        <w:t>For the time being</w:t>
      </w:r>
      <w:r w:rsidR="009254CF">
        <w:t>,</w:t>
      </w:r>
      <w:r>
        <w:t xml:space="preserve"> the proposal is not to change the </w:t>
      </w:r>
      <w:r w:rsidR="004D0728">
        <w:t xml:space="preserve">procedure for </w:t>
      </w:r>
      <w:r>
        <w:t>reporting</w:t>
      </w:r>
      <w:r w:rsidRPr="00906C2C">
        <w:t xml:space="preserve"> </w:t>
      </w:r>
      <w:r>
        <w:t xml:space="preserve">on the status of elements inscribed on the </w:t>
      </w:r>
      <w:r w:rsidR="00FE1AD7">
        <w:t xml:space="preserve">Urgent Safeguarding </w:t>
      </w:r>
      <w:r>
        <w:t>List</w:t>
      </w:r>
      <w:r w:rsidR="004D0728">
        <w:t>. This is mainly because of the reflections that the Committee has started</w:t>
      </w:r>
      <w:r w:rsidR="009254CF">
        <w:t xml:space="preserve"> on the future of the Lists and some important mechanisms related to the Lists</w:t>
      </w:r>
      <w:r w:rsidR="003C79CB">
        <w:t>,</w:t>
      </w:r>
      <w:r w:rsidR="009254CF">
        <w:t xml:space="preserve"> such as </w:t>
      </w:r>
      <w:r w:rsidR="003C79CB">
        <w:t xml:space="preserve">the </w:t>
      </w:r>
      <w:r w:rsidR="009254CF">
        <w:t>transfer and removal of inscribed elements. Once the</w:t>
      </w:r>
      <w:r w:rsidR="003C79CB">
        <w:t>se</w:t>
      </w:r>
      <w:r w:rsidR="009254CF">
        <w:t xml:space="preserve"> reflection</w:t>
      </w:r>
      <w:r w:rsidR="003C79CB">
        <w:t>s</w:t>
      </w:r>
      <w:r w:rsidR="009254CF">
        <w:t xml:space="preserve"> </w:t>
      </w:r>
      <w:r w:rsidR="003C79CB">
        <w:t xml:space="preserve">have </w:t>
      </w:r>
      <w:r w:rsidR="009254CF">
        <w:t>advanced</w:t>
      </w:r>
      <w:r w:rsidR="004F135D">
        <w:t>,</w:t>
      </w:r>
      <w:r w:rsidR="009254CF">
        <w:t xml:space="preserve"> the Committee will be in a better position to decide whether to </w:t>
      </w:r>
      <w:r w:rsidR="006E193F">
        <w:t>harmonize</w:t>
      </w:r>
      <w:r w:rsidR="009254CF">
        <w:t xml:space="preserve"> the reporting mechanism related to the Urgent Safeguarding</w:t>
      </w:r>
      <w:r w:rsidR="00FE1AD7">
        <w:t xml:space="preserve"> List</w:t>
      </w:r>
      <w:r w:rsidR="009254CF">
        <w:t xml:space="preserve"> </w:t>
      </w:r>
      <w:r w:rsidR="006E193F">
        <w:t>with</w:t>
      </w:r>
      <w:r w:rsidR="009254CF">
        <w:t xml:space="preserve"> the regional calendar or keep it as </w:t>
      </w:r>
      <w:r w:rsidR="004F135D">
        <w:t xml:space="preserve">a separate system </w:t>
      </w:r>
      <w:r w:rsidR="006E193F">
        <w:t xml:space="preserve">as </w:t>
      </w:r>
      <w:r w:rsidR="003C79CB">
        <w:t xml:space="preserve">it </w:t>
      </w:r>
      <w:r w:rsidR="009254CF">
        <w:t xml:space="preserve">currently </w:t>
      </w:r>
      <w:r w:rsidR="003C79CB">
        <w:t xml:space="preserve">stands, </w:t>
      </w:r>
      <w:r w:rsidR="009254CF">
        <w:t xml:space="preserve">on </w:t>
      </w:r>
      <w:r w:rsidR="003C79CB">
        <w:t xml:space="preserve">a </w:t>
      </w:r>
      <w:r w:rsidR="009254CF">
        <w:t xml:space="preserve">quadrennial </w:t>
      </w:r>
      <w:r w:rsidR="004F135D">
        <w:t xml:space="preserve">and </w:t>
      </w:r>
      <w:r w:rsidR="009254CF">
        <w:t xml:space="preserve">inscription </w:t>
      </w:r>
      <w:r w:rsidR="003C79CB">
        <w:t>year-</w:t>
      </w:r>
      <w:r w:rsidR="009254CF">
        <w:t>based schedule.</w:t>
      </w:r>
    </w:p>
    <w:p w14:paraId="655C9E01" w14:textId="4B980AE1" w:rsidR="0031637C" w:rsidRDefault="006D0D0E" w:rsidP="0031637C">
      <w:pPr>
        <w:pStyle w:val="COMPara"/>
        <w:numPr>
          <w:ilvl w:val="0"/>
          <w:numId w:val="6"/>
        </w:numPr>
        <w:spacing w:before="120"/>
        <w:ind w:left="567" w:hanging="567"/>
        <w:jc w:val="both"/>
      </w:pPr>
      <w:r>
        <w:t xml:space="preserve">Moreover, no revision is proposed for </w:t>
      </w:r>
      <w:r w:rsidR="0031637C">
        <w:t xml:space="preserve">the procedure for </w:t>
      </w:r>
      <w:r w:rsidR="0031637C" w:rsidRPr="0031637C">
        <w:t>States non party to the Convention</w:t>
      </w:r>
      <w:r>
        <w:t xml:space="preserve"> reporting</w:t>
      </w:r>
      <w:r w:rsidR="0031637C" w:rsidRPr="0031637C">
        <w:t xml:space="preserve"> on elements inscribed on the Representative List</w:t>
      </w:r>
      <w:r w:rsidR="004D462C">
        <w:t xml:space="preserve">, which </w:t>
      </w:r>
      <w:r>
        <w:t>currently concerns</w:t>
      </w:r>
      <w:r w:rsidR="004D462C">
        <w:t xml:space="preserve"> only one State (</w:t>
      </w:r>
      <w:r>
        <w:t xml:space="preserve">the </w:t>
      </w:r>
      <w:r w:rsidR="004D462C">
        <w:t>Russian Federation).</w:t>
      </w:r>
      <w:r w:rsidR="0031637C">
        <w:t xml:space="preserve"> </w:t>
      </w:r>
      <w:r w:rsidR="004D462C">
        <w:t xml:space="preserve">This </w:t>
      </w:r>
      <w:r w:rsidR="0031637C">
        <w:t xml:space="preserve">will </w:t>
      </w:r>
      <w:r w:rsidR="004D462C">
        <w:t xml:space="preserve">remain a sexennial reporting </w:t>
      </w:r>
      <w:r>
        <w:t xml:space="preserve">process, </w:t>
      </w:r>
      <w:r w:rsidR="004D462C">
        <w:t xml:space="preserve">based on the year of incorporation of </w:t>
      </w:r>
      <w:r w:rsidR="004D462C" w:rsidRPr="0096363C">
        <w:t xml:space="preserve">Masterpieces </w:t>
      </w:r>
      <w:r>
        <w:t>on</w:t>
      </w:r>
      <w:r w:rsidRPr="0096363C">
        <w:t xml:space="preserve"> </w:t>
      </w:r>
      <w:r w:rsidR="004D462C" w:rsidRPr="0096363C">
        <w:t>the Representative List</w:t>
      </w:r>
      <w:r w:rsidR="004D462C">
        <w:t>.</w:t>
      </w:r>
    </w:p>
    <w:p w14:paraId="1B131BB9" w14:textId="66C04B52" w:rsidR="001437A5" w:rsidRDefault="001437A5" w:rsidP="006610D9">
      <w:pPr>
        <w:pStyle w:val="COMPara"/>
        <w:numPr>
          <w:ilvl w:val="0"/>
          <w:numId w:val="6"/>
        </w:numPr>
        <w:spacing w:before="120"/>
        <w:ind w:left="567" w:hanging="567"/>
        <w:jc w:val="both"/>
      </w:pPr>
      <w:r>
        <w:t xml:space="preserve">The </w:t>
      </w:r>
      <w:r w:rsidR="009254CF">
        <w:t xml:space="preserve">new </w:t>
      </w:r>
      <w:r w:rsidR="003C79CB">
        <w:t>approach to</w:t>
      </w:r>
      <w:r w:rsidR="00E816CD">
        <w:t xml:space="preserve"> periodic reporting as proposed in this document would require amendments to be made to the Operational Directives, as presented in its Annex</w:t>
      </w:r>
      <w:r w:rsidR="003C79CB">
        <w:t>,</w:t>
      </w:r>
      <w:r w:rsidR="00E816CD">
        <w:t xml:space="preserve"> </w:t>
      </w:r>
      <w:r w:rsidR="003C79CB">
        <w:t xml:space="preserve">which </w:t>
      </w:r>
      <w:r w:rsidR="00E816CD">
        <w:t>the Committee may decide to recommend to the General Assembly</w:t>
      </w:r>
      <w:r w:rsidR="00E238AF">
        <w:t xml:space="preserve"> for approval</w:t>
      </w:r>
      <w:r w:rsidR="00E816CD">
        <w:t>.</w:t>
      </w:r>
    </w:p>
    <w:p w14:paraId="173CB844" w14:textId="616E8DE2" w:rsidR="006572C8" w:rsidRPr="00385AED" w:rsidRDefault="00FE0A0B" w:rsidP="00B52653">
      <w:pPr>
        <w:pStyle w:val="COMPara"/>
        <w:numPr>
          <w:ilvl w:val="0"/>
          <w:numId w:val="6"/>
        </w:numPr>
        <w:spacing w:before="120"/>
        <w:ind w:left="567" w:hanging="567"/>
        <w:jc w:val="both"/>
      </w:pPr>
      <w:r w:rsidRPr="00385AED">
        <w:t xml:space="preserve">In addition to the </w:t>
      </w:r>
      <w:r w:rsidR="00A73B11" w:rsidRPr="00385AED">
        <w:t xml:space="preserve">above-mentioned </w:t>
      </w:r>
      <w:r w:rsidRPr="00385AED">
        <w:t xml:space="preserve">revisions </w:t>
      </w:r>
      <w:r w:rsidRPr="00385AED">
        <w:rPr>
          <w:lang w:val="en-US"/>
        </w:rPr>
        <w:t>to move towards a regional cycle of national reporting</w:t>
      </w:r>
      <w:r w:rsidRPr="00385AED">
        <w:t xml:space="preserve">, </w:t>
      </w:r>
      <w:r w:rsidR="00182528" w:rsidRPr="00385AED">
        <w:t>the Secretariat</w:t>
      </w:r>
      <w:r w:rsidR="00263DBF" w:rsidRPr="00385AED">
        <w:t xml:space="preserve"> propose</w:t>
      </w:r>
      <w:r w:rsidR="00182528" w:rsidRPr="00385AED">
        <w:t>s</w:t>
      </w:r>
      <w:r w:rsidR="00263DBF" w:rsidRPr="00385AED">
        <w:t xml:space="preserve"> </w:t>
      </w:r>
      <w:r w:rsidR="006D0D0E">
        <w:t>revising</w:t>
      </w:r>
      <w:r w:rsidR="00263DBF" w:rsidRPr="00385AED">
        <w:t xml:space="preserve"> the Operational Directives (paragraphs 152, 161 and 169) to take into account the fact that periodic report</w:t>
      </w:r>
      <w:r w:rsidR="006D0D0E">
        <w:t>s</w:t>
      </w:r>
      <w:r w:rsidR="00263DBF" w:rsidRPr="00385AED">
        <w:t xml:space="preserve"> </w:t>
      </w:r>
      <w:r w:rsidR="0065279D" w:rsidRPr="00385AED">
        <w:t xml:space="preserve">would </w:t>
      </w:r>
      <w:r w:rsidR="00263DBF" w:rsidRPr="00385AED">
        <w:t xml:space="preserve">be </w:t>
      </w:r>
      <w:r w:rsidR="004A3755" w:rsidRPr="00385AED">
        <w:t>submitted</w:t>
      </w:r>
      <w:r w:rsidR="00263DBF" w:rsidRPr="00385AED">
        <w:t xml:space="preserve"> online</w:t>
      </w:r>
      <w:r w:rsidR="00182528" w:rsidRPr="00385AED">
        <w:t xml:space="preserve"> from 2018 onwards. </w:t>
      </w:r>
      <w:r w:rsidR="0065279D" w:rsidRPr="00385AED">
        <w:t>T</w:t>
      </w:r>
      <w:r w:rsidR="00FF0FF4" w:rsidRPr="00385AED">
        <w:t>hanks to the generous contribution of the Republic of Korea</w:t>
      </w:r>
      <w:r w:rsidR="006D0D0E">
        <w:t>,</w:t>
      </w:r>
      <w:r w:rsidR="005A3D94" w:rsidRPr="00385AED">
        <w:t xml:space="preserve"> </w:t>
      </w:r>
      <w:r w:rsidR="0065279D" w:rsidRPr="00385AED">
        <w:t xml:space="preserve">as </w:t>
      </w:r>
      <w:r w:rsidR="005A3D94" w:rsidRPr="00385AED">
        <w:t>mentioned above</w:t>
      </w:r>
      <w:r w:rsidR="00FF0FF4" w:rsidRPr="00385AED">
        <w:t>,</w:t>
      </w:r>
      <w:r w:rsidRPr="00385AED">
        <w:t xml:space="preserve"> </w:t>
      </w:r>
      <w:r w:rsidR="00FF0FF4" w:rsidRPr="00385AED">
        <w:t xml:space="preserve">the Secretariat has been able to </w:t>
      </w:r>
      <w:r w:rsidR="00182528" w:rsidRPr="00385AED">
        <w:t xml:space="preserve">develop </w:t>
      </w:r>
      <w:r w:rsidR="00FF0FF4" w:rsidRPr="00385AED">
        <w:t xml:space="preserve">an online tool for States to complete </w:t>
      </w:r>
      <w:r w:rsidR="00182528" w:rsidRPr="00385AED">
        <w:t xml:space="preserve">their </w:t>
      </w:r>
      <w:r w:rsidR="00FF0FF4" w:rsidRPr="00385AED">
        <w:t xml:space="preserve">reports online. </w:t>
      </w:r>
      <w:r w:rsidR="00B52653" w:rsidRPr="00385AED">
        <w:t xml:space="preserve">This </w:t>
      </w:r>
      <w:r w:rsidR="0065279D" w:rsidRPr="00385AED">
        <w:t xml:space="preserve">new possibility </w:t>
      </w:r>
      <w:r w:rsidR="00B52653" w:rsidRPr="00385AED">
        <w:t xml:space="preserve">will simplify data entry, allow for a </w:t>
      </w:r>
      <w:r w:rsidR="0065279D" w:rsidRPr="00385AED">
        <w:t xml:space="preserve">timely </w:t>
      </w:r>
      <w:r w:rsidR="00B52653" w:rsidRPr="00385AED">
        <w:t xml:space="preserve">follow-up by the Secretariat </w:t>
      </w:r>
      <w:r w:rsidR="006D0D0E" w:rsidRPr="00385AED">
        <w:t>o</w:t>
      </w:r>
      <w:r w:rsidR="006D0D0E">
        <w:t>n the</w:t>
      </w:r>
      <w:r w:rsidR="006D0D0E" w:rsidRPr="00385AED">
        <w:t xml:space="preserve"> </w:t>
      </w:r>
      <w:r w:rsidR="00B52653" w:rsidRPr="00385AED">
        <w:t xml:space="preserve">reporting progress and improve the dissemination of the data contained in periodic reports. </w:t>
      </w:r>
      <w:r w:rsidR="006D0D0E" w:rsidRPr="00385AED">
        <w:t>Th</w:t>
      </w:r>
      <w:r w:rsidR="006D0D0E">
        <w:t>e plan is for this</w:t>
      </w:r>
      <w:r w:rsidR="006D0D0E" w:rsidRPr="00385AED">
        <w:t xml:space="preserve"> </w:t>
      </w:r>
      <w:r w:rsidR="0065279D" w:rsidRPr="00385AED">
        <w:t>tool to be made available</w:t>
      </w:r>
      <w:r w:rsidR="009545A9" w:rsidRPr="00385AED">
        <w:t>, on an experimental and voluntary basis,</w:t>
      </w:r>
      <w:r w:rsidR="0065279D" w:rsidRPr="00385AED">
        <w:t xml:space="preserve"> in time for the submission </w:t>
      </w:r>
      <w:r w:rsidR="009545A9" w:rsidRPr="00385AED">
        <w:t xml:space="preserve">deadline </w:t>
      </w:r>
      <w:r w:rsidR="0065279D" w:rsidRPr="00385AED">
        <w:t xml:space="preserve">of reports on </w:t>
      </w:r>
      <w:r w:rsidR="0065279D" w:rsidRPr="00385AED">
        <w:rPr>
          <w:lang w:val="en-US"/>
        </w:rPr>
        <w:t>elements inscribed on the Urgent Safeguarding List</w:t>
      </w:r>
      <w:r w:rsidR="009545A9" w:rsidRPr="00385AED">
        <w:rPr>
          <w:lang w:val="en-US"/>
        </w:rPr>
        <w:t>,</w:t>
      </w:r>
      <w:r w:rsidR="0065279D" w:rsidRPr="00385AED">
        <w:rPr>
          <w:lang w:val="en-US"/>
        </w:rPr>
        <w:t xml:space="preserve"> </w:t>
      </w:r>
      <w:r w:rsidR="009545A9" w:rsidRPr="00385AED">
        <w:rPr>
          <w:lang w:val="en-US"/>
        </w:rPr>
        <w:t>which is 15 December 2017</w:t>
      </w:r>
      <w:r w:rsidR="00FF0FF4" w:rsidRPr="00385AED">
        <w:t xml:space="preserve">. </w:t>
      </w:r>
      <w:r w:rsidR="009545A9" w:rsidRPr="00385AED">
        <w:t xml:space="preserve">The experience gained with Form ICH-11 will form </w:t>
      </w:r>
      <w:r w:rsidR="006D0D0E">
        <w:t>the</w:t>
      </w:r>
      <w:r w:rsidR="006D0D0E" w:rsidRPr="00385AED">
        <w:t xml:space="preserve"> </w:t>
      </w:r>
      <w:r w:rsidR="009545A9" w:rsidRPr="00385AED">
        <w:t xml:space="preserve">basis for </w:t>
      </w:r>
      <w:r w:rsidR="00670EA1" w:rsidRPr="00385AED">
        <w:t>fine-tun</w:t>
      </w:r>
      <w:r w:rsidR="009545A9" w:rsidRPr="00385AED">
        <w:t>ing</w:t>
      </w:r>
      <w:r w:rsidR="002F58B1">
        <w:t>, in 2018,</w:t>
      </w:r>
      <w:r w:rsidR="009545A9" w:rsidRPr="00385AED">
        <w:t xml:space="preserve"> the online tool for </w:t>
      </w:r>
      <w:r w:rsidR="00FF0FF4" w:rsidRPr="00385AED">
        <w:t>periodic reports on the implementation of the Convention</w:t>
      </w:r>
      <w:r w:rsidR="009545A9" w:rsidRPr="00385AED">
        <w:t xml:space="preserve"> (Form ICH-10)</w:t>
      </w:r>
      <w:r w:rsidR="00FF0FF4" w:rsidRPr="00385AED">
        <w:t>.</w:t>
      </w:r>
    </w:p>
    <w:p w14:paraId="4A7931F6" w14:textId="12DE2A28" w:rsidR="00FE0A0B" w:rsidRPr="00041A66" w:rsidRDefault="00670EA1" w:rsidP="006610D9">
      <w:pPr>
        <w:pStyle w:val="COMPara"/>
        <w:numPr>
          <w:ilvl w:val="0"/>
          <w:numId w:val="6"/>
        </w:numPr>
        <w:spacing w:before="120"/>
        <w:ind w:left="567" w:hanging="567"/>
        <w:jc w:val="both"/>
      </w:pPr>
      <w:r w:rsidRPr="00385AED">
        <w:t>Finally, t</w:t>
      </w:r>
      <w:r w:rsidR="00FE0A0B" w:rsidRPr="00385AED">
        <w:t xml:space="preserve">he text of paragraph 166 is revised to conform to the existing practice for the </w:t>
      </w:r>
      <w:r w:rsidR="009C56BB" w:rsidRPr="00385AED">
        <w:t>publication of reports and their overview</w:t>
      </w:r>
      <w:r w:rsidR="00F50FE4">
        <w:t>.</w:t>
      </w:r>
      <w:r w:rsidR="00FE0A0B" w:rsidRPr="00385AED">
        <w:t xml:space="preserve"> </w:t>
      </w:r>
      <w:r w:rsidR="00F50FE4">
        <w:t xml:space="preserve">It is also proposed that </w:t>
      </w:r>
      <w:r w:rsidR="00FE0A0B" w:rsidRPr="00385AED">
        <w:t xml:space="preserve">paragraph 167 </w:t>
      </w:r>
      <w:r w:rsidR="00F50FE4">
        <w:t>be deleted</w:t>
      </w:r>
      <w:r w:rsidR="009C56BB" w:rsidRPr="00385AED">
        <w:t xml:space="preserve"> since its second half </w:t>
      </w:r>
      <w:r w:rsidR="00F50FE4">
        <w:t>would</w:t>
      </w:r>
      <w:r w:rsidR="00F50FE4" w:rsidRPr="00385AED">
        <w:t xml:space="preserve"> </w:t>
      </w:r>
      <w:r w:rsidR="009C56BB" w:rsidRPr="00385AED">
        <w:t xml:space="preserve">now </w:t>
      </w:r>
      <w:r w:rsidR="00F50FE4">
        <w:t xml:space="preserve">be </w:t>
      </w:r>
      <w:r w:rsidR="009C56BB" w:rsidRPr="00385AED">
        <w:t xml:space="preserve">better placed </w:t>
      </w:r>
      <w:r w:rsidRPr="00385AED">
        <w:t>under</w:t>
      </w:r>
      <w:r w:rsidR="009C56BB" w:rsidRPr="00385AED">
        <w:t xml:space="preserve"> paragraph 166</w:t>
      </w:r>
      <w:r w:rsidR="00FE0A0B" w:rsidRPr="00385AED">
        <w:t>.</w:t>
      </w:r>
      <w:r w:rsidR="009C56BB" w:rsidRPr="00385AED">
        <w:t xml:space="preserve"> </w:t>
      </w:r>
      <w:r w:rsidRPr="00385AED">
        <w:t>I</w:t>
      </w:r>
      <w:r w:rsidR="009C56BB" w:rsidRPr="00385AED">
        <w:t xml:space="preserve">t is </w:t>
      </w:r>
      <w:r w:rsidRPr="00385AED">
        <w:t xml:space="preserve">also </w:t>
      </w:r>
      <w:r w:rsidR="009C56BB" w:rsidRPr="00385AED">
        <w:t xml:space="preserve">proposed </w:t>
      </w:r>
      <w:r w:rsidR="00F50FE4">
        <w:t xml:space="preserve">that </w:t>
      </w:r>
      <w:r w:rsidR="009C56BB" w:rsidRPr="00385AED">
        <w:t>paragraph 162</w:t>
      </w:r>
      <w:r w:rsidR="00F50FE4">
        <w:t>,</w:t>
      </w:r>
      <w:r w:rsidR="009C56BB" w:rsidRPr="00385AED">
        <w:t xml:space="preserve"> on </w:t>
      </w:r>
      <w:r w:rsidR="00F50FE4">
        <w:t>reports on the Urgent Safeguarding List,</w:t>
      </w:r>
      <w:r w:rsidR="009C56BB" w:rsidRPr="00385AED">
        <w:t xml:space="preserve"> </w:t>
      </w:r>
      <w:r w:rsidR="00F50FE4">
        <w:t xml:space="preserve">be revised </w:t>
      </w:r>
      <w:r w:rsidR="009C56BB" w:rsidRPr="00385AED">
        <w:t>in order to comply with the request</w:t>
      </w:r>
      <w:r w:rsidR="009C56BB">
        <w:t xml:space="preserve"> of the Committee </w:t>
      </w:r>
      <w:r w:rsidR="009F2853">
        <w:t xml:space="preserve">at its tenth session in 2015 to include the possibility for reporting States </w:t>
      </w:r>
      <w:r w:rsidR="00F50FE4">
        <w:t>to update</w:t>
      </w:r>
      <w:r w:rsidR="009F2853">
        <w:t xml:space="preserve"> their safeguarding plan</w:t>
      </w:r>
      <w:r w:rsidR="00F50FE4">
        <w:t>s</w:t>
      </w:r>
      <w:r w:rsidR="009F2853">
        <w:t xml:space="preserve"> </w:t>
      </w:r>
      <w:r w:rsidR="009C56BB">
        <w:t>(</w:t>
      </w:r>
      <w:hyperlink r:id="rId16" w:history="1">
        <w:r w:rsidR="009C56BB" w:rsidRPr="00555C73">
          <w:rPr>
            <w:rStyle w:val="Hyperlink"/>
          </w:rPr>
          <w:t>Decision 1</w:t>
        </w:r>
        <w:r w:rsidR="009C56BB" w:rsidRPr="00555C73">
          <w:rPr>
            <w:rStyle w:val="Hyperlink"/>
          </w:rPr>
          <w:t>0</w:t>
        </w:r>
        <w:r w:rsidR="009C56BB" w:rsidRPr="00555C73">
          <w:rPr>
            <w:rStyle w:val="Hyperlink"/>
          </w:rPr>
          <w:t>.COM 6.b</w:t>
        </w:r>
      </w:hyperlink>
      <w:r w:rsidR="009C56BB">
        <w:t>).</w:t>
      </w:r>
    </w:p>
    <w:p w14:paraId="471B4A12" w14:textId="77777777" w:rsidR="00D95C4C" w:rsidRPr="00EA528C" w:rsidRDefault="000B1C8F" w:rsidP="006610D9">
      <w:pPr>
        <w:pStyle w:val="COMPara"/>
        <w:keepNext/>
        <w:numPr>
          <w:ilvl w:val="0"/>
          <w:numId w:val="6"/>
        </w:numPr>
        <w:spacing w:before="120"/>
        <w:ind w:left="567" w:hanging="567"/>
        <w:jc w:val="both"/>
      </w:pPr>
      <w:r w:rsidRPr="000B1C8F">
        <w:t xml:space="preserve">The Committee may wish </w:t>
      </w:r>
      <w:r>
        <w:t>to adopt the following decision</w:t>
      </w:r>
      <w:r w:rsidR="00D95C4C" w:rsidRPr="00EA528C">
        <w:t>:</w:t>
      </w:r>
    </w:p>
    <w:p w14:paraId="7CF56169" w14:textId="7F2AFAE7" w:rsidR="00D95C4C" w:rsidRPr="00FD624F" w:rsidRDefault="004A34A0" w:rsidP="00041A66">
      <w:pPr>
        <w:pStyle w:val="COMTitleDecision"/>
        <w:rPr>
          <w:rFonts w:eastAsia="SimSun"/>
        </w:rPr>
      </w:pPr>
      <w:r>
        <w:t xml:space="preserve">DRAFT </w:t>
      </w:r>
      <w:r w:rsidR="00CB0542">
        <w:t>DECISION 1</w:t>
      </w:r>
      <w:r w:rsidR="00337CEB">
        <w:rPr>
          <w:rFonts w:eastAsiaTheme="minorEastAsia" w:hint="eastAsia"/>
          <w:lang w:eastAsia="ko-KR"/>
        </w:rPr>
        <w:t>2</w:t>
      </w:r>
      <w:r w:rsidR="00EC6F8D">
        <w:t>.COM</w:t>
      </w:r>
      <w:r w:rsidR="00E238AF">
        <w:t> 10</w:t>
      </w:r>
    </w:p>
    <w:p w14:paraId="6CA70748" w14:textId="77777777" w:rsidR="00D95C4C" w:rsidRPr="00285BB4" w:rsidRDefault="00285BB4" w:rsidP="00285BB4">
      <w:pPr>
        <w:pStyle w:val="COMPreambulaDecisions"/>
        <w:rPr>
          <w:rFonts w:eastAsia="SimSun"/>
        </w:rPr>
      </w:pPr>
      <w:r w:rsidRPr="00285BB4">
        <w:t>The Committee,</w:t>
      </w:r>
    </w:p>
    <w:p w14:paraId="5ECF4506" w14:textId="77777777" w:rsidR="0057439C" w:rsidRPr="00345CB4" w:rsidRDefault="00D95C4C" w:rsidP="00A94FE1">
      <w:pPr>
        <w:pStyle w:val="COMParaDecision"/>
        <w:ind w:left="1134" w:hanging="567"/>
      </w:pPr>
      <w:r w:rsidRPr="00345CB4">
        <w:t>Having examined</w:t>
      </w:r>
      <w:r w:rsidRPr="00F32C23">
        <w:rPr>
          <w:u w:val="none"/>
        </w:rPr>
        <w:t xml:space="preserve"> doc</w:t>
      </w:r>
      <w:r w:rsidR="00CB0542">
        <w:rPr>
          <w:u w:val="none"/>
        </w:rPr>
        <w:t>ument ITH/1</w:t>
      </w:r>
      <w:r w:rsidR="00337CEB">
        <w:rPr>
          <w:rFonts w:eastAsiaTheme="minorEastAsia" w:hint="eastAsia"/>
          <w:u w:val="none"/>
          <w:lang w:eastAsia="ko-KR"/>
        </w:rPr>
        <w:t>7</w:t>
      </w:r>
      <w:r w:rsidR="00337CEB">
        <w:rPr>
          <w:u w:val="none"/>
        </w:rPr>
        <w:t>/1</w:t>
      </w:r>
      <w:r w:rsidR="00337CEB">
        <w:rPr>
          <w:rFonts w:eastAsiaTheme="minorEastAsia" w:hint="eastAsia"/>
          <w:u w:val="none"/>
          <w:lang w:eastAsia="ko-KR"/>
        </w:rPr>
        <w:t>2</w:t>
      </w:r>
      <w:r w:rsidR="00EC6F8D" w:rsidRPr="00F32C23">
        <w:rPr>
          <w:u w:val="none"/>
        </w:rPr>
        <w:t>.COM</w:t>
      </w:r>
      <w:r w:rsidR="004A34A0" w:rsidRPr="002A591C">
        <w:rPr>
          <w:u w:val="none"/>
        </w:rPr>
        <w:t>/</w:t>
      </w:r>
      <w:r w:rsidR="00DC5074" w:rsidRPr="002A591C">
        <w:rPr>
          <w:u w:val="none"/>
        </w:rPr>
        <w:t>10</w:t>
      </w:r>
      <w:r w:rsidRPr="00F32C23">
        <w:rPr>
          <w:u w:val="none"/>
        </w:rPr>
        <w:t>,</w:t>
      </w:r>
    </w:p>
    <w:p w14:paraId="5097D85C" w14:textId="77777777" w:rsidR="0057439C" w:rsidRPr="00345CB4" w:rsidRDefault="0057439C" w:rsidP="00A94FE1">
      <w:pPr>
        <w:pStyle w:val="COMParaDecision"/>
        <w:ind w:left="1134" w:hanging="567"/>
      </w:pPr>
      <w:r w:rsidRPr="00345CB4">
        <w:t>Recalling</w:t>
      </w:r>
      <w:r w:rsidR="005B7A35" w:rsidRPr="00F32C23">
        <w:rPr>
          <w:u w:val="none"/>
        </w:rPr>
        <w:t xml:space="preserve"> </w:t>
      </w:r>
      <w:r w:rsidR="00915E20">
        <w:rPr>
          <w:u w:val="none"/>
        </w:rPr>
        <w:t>Articles 7(f), 29 and 30 of the Convention,</w:t>
      </w:r>
    </w:p>
    <w:p w14:paraId="6C5431D0" w14:textId="57CF1DA5" w:rsidR="00F96908" w:rsidRPr="00453F74" w:rsidRDefault="00D01765" w:rsidP="00A94FE1">
      <w:pPr>
        <w:pStyle w:val="COMParaDecision"/>
        <w:ind w:left="1134" w:hanging="567"/>
      </w:pPr>
      <w:r>
        <w:t>Taking note</w:t>
      </w:r>
      <w:r w:rsidR="005B7A35" w:rsidRPr="00F32C23">
        <w:rPr>
          <w:u w:val="none"/>
        </w:rPr>
        <w:t xml:space="preserve"> </w:t>
      </w:r>
      <w:r w:rsidR="00915E20">
        <w:rPr>
          <w:u w:val="none"/>
        </w:rPr>
        <w:t>of</w:t>
      </w:r>
      <w:r w:rsidR="00864F67">
        <w:rPr>
          <w:u w:val="none"/>
        </w:rPr>
        <w:t xml:space="preserve"> the discussion of the open-</w:t>
      </w:r>
      <w:r w:rsidR="007E1CC5">
        <w:rPr>
          <w:u w:val="none"/>
        </w:rPr>
        <w:t xml:space="preserve">ended intergovernmental working group on </w:t>
      </w:r>
      <w:r w:rsidR="00F50FE4">
        <w:rPr>
          <w:u w:val="none"/>
        </w:rPr>
        <w:t xml:space="preserve">the development of </w:t>
      </w:r>
      <w:r w:rsidR="007E1CC5">
        <w:rPr>
          <w:u w:val="none"/>
        </w:rPr>
        <w:t>an overall results framework for the Convention</w:t>
      </w:r>
      <w:r w:rsidR="00C41382">
        <w:rPr>
          <w:u w:val="none"/>
        </w:rPr>
        <w:t>,</w:t>
      </w:r>
      <w:r w:rsidR="007E1CC5">
        <w:rPr>
          <w:u w:val="none"/>
        </w:rPr>
        <w:t xml:space="preserve"> as reflected in </w:t>
      </w:r>
      <w:r w:rsidR="00E238AF" w:rsidRPr="00453F74">
        <w:rPr>
          <w:u w:val="none"/>
        </w:rPr>
        <w:t>document </w:t>
      </w:r>
      <w:hyperlink r:id="rId17" w:history="1">
        <w:r w:rsidR="007E1CC5" w:rsidRPr="00453F74">
          <w:rPr>
            <w:rStyle w:val="Hyperlink"/>
          </w:rPr>
          <w:t>ITH/17/12.C</w:t>
        </w:r>
        <w:r w:rsidR="007E1CC5" w:rsidRPr="00453F74">
          <w:rPr>
            <w:rStyle w:val="Hyperlink"/>
          </w:rPr>
          <w:t>O</w:t>
        </w:r>
        <w:r w:rsidR="007E1CC5" w:rsidRPr="00453F74">
          <w:rPr>
            <w:rStyle w:val="Hyperlink"/>
          </w:rPr>
          <w:t>M/9</w:t>
        </w:r>
      </w:hyperlink>
      <w:r w:rsidR="00915E20" w:rsidRPr="00453F74">
        <w:rPr>
          <w:u w:val="none"/>
        </w:rPr>
        <w:t>,</w:t>
      </w:r>
    </w:p>
    <w:p w14:paraId="7507E415" w14:textId="22BE4B65" w:rsidR="00E24948" w:rsidRDefault="0057439C" w:rsidP="00A94FE1">
      <w:pPr>
        <w:pStyle w:val="COMParaDecision"/>
        <w:ind w:left="1134" w:hanging="567"/>
      </w:pPr>
      <w:r w:rsidRPr="00345CB4">
        <w:t>Decides</w:t>
      </w:r>
      <w:r w:rsidR="000D22BC">
        <w:rPr>
          <w:u w:val="none"/>
        </w:rPr>
        <w:t xml:space="preserve"> </w:t>
      </w:r>
      <w:r w:rsidR="00E24948">
        <w:rPr>
          <w:u w:val="none"/>
        </w:rPr>
        <w:t xml:space="preserve">to reform the periodic reporting process with </w:t>
      </w:r>
      <w:r w:rsidR="009102F7">
        <w:rPr>
          <w:u w:val="none"/>
        </w:rPr>
        <w:t xml:space="preserve">the </w:t>
      </w:r>
      <w:r w:rsidR="00E24948">
        <w:rPr>
          <w:u w:val="none"/>
        </w:rPr>
        <w:t xml:space="preserve">aim </w:t>
      </w:r>
      <w:r w:rsidR="009102F7">
        <w:rPr>
          <w:u w:val="none"/>
        </w:rPr>
        <w:t>of</w:t>
      </w:r>
      <w:r w:rsidR="00E24948">
        <w:rPr>
          <w:u w:val="none"/>
        </w:rPr>
        <w:t xml:space="preserve"> enhanc</w:t>
      </w:r>
      <w:r w:rsidR="009102F7">
        <w:rPr>
          <w:u w:val="none"/>
        </w:rPr>
        <w:t>ing</w:t>
      </w:r>
      <w:r w:rsidR="00E24948">
        <w:rPr>
          <w:u w:val="none"/>
        </w:rPr>
        <w:t xml:space="preserve"> its quality, usefulness and timeliness, </w:t>
      </w:r>
      <w:r w:rsidR="00F62C28">
        <w:rPr>
          <w:u w:val="none"/>
        </w:rPr>
        <w:t>and ensuring that it is clearly in line with the overarching goals of implementing the 2003 Convention and allowing for more effective monito</w:t>
      </w:r>
      <w:r w:rsidR="002D2CDF">
        <w:rPr>
          <w:u w:val="none"/>
        </w:rPr>
        <w:t>r</w:t>
      </w:r>
      <w:r w:rsidR="00F62C28">
        <w:rPr>
          <w:u w:val="none"/>
        </w:rPr>
        <w:t>ing with a view to achieving these goals;</w:t>
      </w:r>
      <w:r w:rsidR="00E24948" w:rsidRPr="00E24948">
        <w:t xml:space="preserve"> </w:t>
      </w:r>
    </w:p>
    <w:p w14:paraId="0218E4AA" w14:textId="24867F21" w:rsidR="00417A0F" w:rsidRPr="00904DA3" w:rsidRDefault="00417A0F" w:rsidP="00A94FE1">
      <w:pPr>
        <w:pStyle w:val="COMParaDecision"/>
        <w:ind w:left="1134" w:hanging="567"/>
      </w:pPr>
      <w:r>
        <w:t>Also decides</w:t>
      </w:r>
      <w:r>
        <w:rPr>
          <w:u w:val="none"/>
        </w:rPr>
        <w:t xml:space="preserve"> to </w:t>
      </w:r>
      <w:r w:rsidR="000906EA">
        <w:rPr>
          <w:u w:val="none"/>
        </w:rPr>
        <w:t>amend the periodicity of the submission of national reports under Article 29 of the Convention in order for States Parties to submit their report every six years on the basis of a regional rotation</w:t>
      </w:r>
      <w:r>
        <w:rPr>
          <w:u w:val="none"/>
        </w:rPr>
        <w:t>;</w:t>
      </w:r>
    </w:p>
    <w:p w14:paraId="6C64F22B" w14:textId="5A05ED4A" w:rsidR="000906EA" w:rsidRDefault="000906EA" w:rsidP="00A94FE1">
      <w:pPr>
        <w:pStyle w:val="COMParaDecision"/>
        <w:ind w:left="1134" w:hanging="567"/>
      </w:pPr>
      <w:r>
        <w:t>Takes note</w:t>
      </w:r>
      <w:r w:rsidRPr="00904DA3">
        <w:rPr>
          <w:u w:val="none"/>
        </w:rPr>
        <w:t xml:space="preserve"> that the</w:t>
      </w:r>
      <w:r w:rsidR="00C2108B">
        <w:rPr>
          <w:u w:val="none"/>
        </w:rPr>
        <w:t xml:space="preserve"> </w:t>
      </w:r>
      <w:r w:rsidR="00C2108B" w:rsidRPr="00C051B5">
        <w:rPr>
          <w:u w:val="none"/>
          <w:lang w:val="en-US"/>
        </w:rPr>
        <w:t xml:space="preserve">calendar for the first regional cycle of national reporting </w:t>
      </w:r>
      <w:r w:rsidR="00C2108B">
        <w:rPr>
          <w:u w:val="none"/>
          <w:lang w:val="en-US"/>
        </w:rPr>
        <w:t xml:space="preserve">will </w:t>
      </w:r>
      <w:r w:rsidR="00C2108B" w:rsidRPr="00C051B5">
        <w:rPr>
          <w:u w:val="none"/>
          <w:lang w:val="en-US"/>
        </w:rPr>
        <w:t xml:space="preserve">be established </w:t>
      </w:r>
      <w:r w:rsidR="00C2108B">
        <w:rPr>
          <w:u w:val="none"/>
          <w:lang w:val="en-US"/>
        </w:rPr>
        <w:t xml:space="preserve">by the Committee </w:t>
      </w:r>
      <w:r w:rsidR="00C2108B" w:rsidRPr="00C051B5">
        <w:rPr>
          <w:u w:val="none"/>
          <w:lang w:val="en-US"/>
        </w:rPr>
        <w:t>at its thirteenth session in 2018</w:t>
      </w:r>
      <w:r w:rsidR="00BC68B1" w:rsidRPr="00C051B5">
        <w:rPr>
          <w:u w:val="none"/>
          <w:lang w:val="en-US"/>
        </w:rPr>
        <w:t>,</w:t>
      </w:r>
      <w:r w:rsidR="00BC68B1">
        <w:rPr>
          <w:u w:val="none"/>
          <w:lang w:val="en-US"/>
        </w:rPr>
        <w:t xml:space="preserve"> </w:t>
      </w:r>
      <w:r w:rsidR="00C2108B">
        <w:rPr>
          <w:u w:val="none"/>
        </w:rPr>
        <w:t xml:space="preserve">and that a transition period </w:t>
      </w:r>
      <w:r w:rsidR="00BC68B1">
        <w:rPr>
          <w:u w:val="none"/>
        </w:rPr>
        <w:t xml:space="preserve">necessary for </w:t>
      </w:r>
      <w:r w:rsidR="00C2108B">
        <w:rPr>
          <w:u w:val="none"/>
        </w:rPr>
        <w:t>reform</w:t>
      </w:r>
      <w:r w:rsidR="00BC68B1">
        <w:rPr>
          <w:u w:val="none"/>
        </w:rPr>
        <w:t>ing</w:t>
      </w:r>
      <w:r w:rsidR="00C2108B">
        <w:rPr>
          <w:u w:val="none"/>
        </w:rPr>
        <w:t xml:space="preserve"> the periodic reporting mechanism will </w:t>
      </w:r>
      <w:r w:rsidR="00BC68B1">
        <w:rPr>
          <w:u w:val="none"/>
        </w:rPr>
        <w:t>be followed by</w:t>
      </w:r>
      <w:r w:rsidR="00C2108B">
        <w:rPr>
          <w:u w:val="none"/>
        </w:rPr>
        <w:t xml:space="preserve"> the submission of </w:t>
      </w:r>
      <w:r>
        <w:rPr>
          <w:u w:val="none"/>
        </w:rPr>
        <w:t xml:space="preserve">national reports </w:t>
      </w:r>
      <w:r w:rsidR="00C2108B">
        <w:rPr>
          <w:u w:val="none"/>
        </w:rPr>
        <w:t xml:space="preserve">from the first region </w:t>
      </w:r>
      <w:r>
        <w:rPr>
          <w:u w:val="none"/>
        </w:rPr>
        <w:t xml:space="preserve">on 15 December 2020 </w:t>
      </w:r>
      <w:r w:rsidR="00BC68B1">
        <w:rPr>
          <w:u w:val="none"/>
        </w:rPr>
        <w:t xml:space="preserve">for examination </w:t>
      </w:r>
      <w:r>
        <w:rPr>
          <w:u w:val="none"/>
        </w:rPr>
        <w:t>by the Committee at its sixteenth session in 2021</w:t>
      </w:r>
      <w:r w:rsidR="00C2108B">
        <w:rPr>
          <w:u w:val="none"/>
        </w:rPr>
        <w:t>;</w:t>
      </w:r>
    </w:p>
    <w:p w14:paraId="4AC5ECA5" w14:textId="49CDEF41" w:rsidR="00E24948" w:rsidRPr="00E24948" w:rsidRDefault="00E24948" w:rsidP="00A94FE1">
      <w:pPr>
        <w:pStyle w:val="COMParaDecision"/>
        <w:ind w:left="1134" w:hanging="567"/>
      </w:pPr>
      <w:r>
        <w:t>Request</w:t>
      </w:r>
      <w:r w:rsidR="005A757A">
        <w:t>s</w:t>
      </w:r>
      <w:r>
        <w:rPr>
          <w:u w:val="none"/>
        </w:rPr>
        <w:t xml:space="preserve"> </w:t>
      </w:r>
      <w:r w:rsidR="009102F7">
        <w:rPr>
          <w:u w:val="none"/>
        </w:rPr>
        <w:t xml:space="preserve">that </w:t>
      </w:r>
      <w:r>
        <w:rPr>
          <w:u w:val="none"/>
        </w:rPr>
        <w:t xml:space="preserve">the Secretariat </w:t>
      </w:r>
      <w:r w:rsidR="000906EA">
        <w:rPr>
          <w:u w:val="none"/>
        </w:rPr>
        <w:t xml:space="preserve">inform </w:t>
      </w:r>
      <w:r w:rsidR="007F5B89">
        <w:rPr>
          <w:u w:val="none"/>
        </w:rPr>
        <w:t xml:space="preserve">the Committee on the transition towards </w:t>
      </w:r>
      <w:r w:rsidR="00F50FE4">
        <w:rPr>
          <w:u w:val="none"/>
        </w:rPr>
        <w:t xml:space="preserve">a reform of the </w:t>
      </w:r>
      <w:r>
        <w:rPr>
          <w:u w:val="none"/>
        </w:rPr>
        <w:t xml:space="preserve">periodic </w:t>
      </w:r>
      <w:r w:rsidR="00F50FE4">
        <w:rPr>
          <w:u w:val="none"/>
        </w:rPr>
        <w:t>reporting mechanism</w:t>
      </w:r>
      <w:r>
        <w:rPr>
          <w:u w:val="none"/>
        </w:rPr>
        <w:t xml:space="preserve"> at its thirteenth session;</w:t>
      </w:r>
    </w:p>
    <w:p w14:paraId="240EB149" w14:textId="20A5B672" w:rsidR="009C6614" w:rsidRPr="00EE49F4" w:rsidRDefault="009C6614" w:rsidP="009C6614">
      <w:pPr>
        <w:pStyle w:val="COMParaDecision"/>
        <w:ind w:left="1134" w:hanging="567"/>
      </w:pPr>
      <w:r w:rsidRPr="007E1CC5">
        <w:t>Recommends</w:t>
      </w:r>
      <w:r>
        <w:rPr>
          <w:u w:val="none"/>
        </w:rPr>
        <w:t xml:space="preserve"> </w:t>
      </w:r>
      <w:r w:rsidRPr="00402755">
        <w:rPr>
          <w:u w:val="none"/>
        </w:rPr>
        <w:t>t</w:t>
      </w:r>
      <w:r>
        <w:rPr>
          <w:u w:val="none"/>
        </w:rPr>
        <w:t>hat</w:t>
      </w:r>
      <w:r w:rsidRPr="00402755">
        <w:rPr>
          <w:u w:val="none"/>
        </w:rPr>
        <w:t xml:space="preserve"> the General Assembly </w:t>
      </w:r>
      <w:r w:rsidR="000906EA">
        <w:rPr>
          <w:u w:val="none"/>
        </w:rPr>
        <w:t xml:space="preserve">approve </w:t>
      </w:r>
      <w:r>
        <w:rPr>
          <w:u w:val="none"/>
        </w:rPr>
        <w:t>the</w:t>
      </w:r>
      <w:r w:rsidRPr="00402755">
        <w:rPr>
          <w:u w:val="none"/>
        </w:rPr>
        <w:t xml:space="preserve"> </w:t>
      </w:r>
      <w:r w:rsidR="000906EA">
        <w:rPr>
          <w:u w:val="none"/>
        </w:rPr>
        <w:t xml:space="preserve">amendments to the </w:t>
      </w:r>
      <w:r w:rsidRPr="00402755">
        <w:rPr>
          <w:u w:val="none"/>
        </w:rPr>
        <w:t xml:space="preserve">Operational Directives </w:t>
      </w:r>
      <w:r>
        <w:rPr>
          <w:u w:val="none"/>
        </w:rPr>
        <w:t xml:space="preserve">for the </w:t>
      </w:r>
      <w:r w:rsidR="000906EA">
        <w:rPr>
          <w:u w:val="none"/>
        </w:rPr>
        <w:t>I</w:t>
      </w:r>
      <w:r>
        <w:rPr>
          <w:u w:val="none"/>
        </w:rPr>
        <w:t>mplementation of the Convention, as annexed to this decision;</w:t>
      </w:r>
    </w:p>
    <w:p w14:paraId="3B8AFABD" w14:textId="60DE4503" w:rsidR="003942C4" w:rsidRDefault="00864F67" w:rsidP="00A94FE1">
      <w:pPr>
        <w:pStyle w:val="COMParaDecision"/>
        <w:ind w:left="1134" w:hanging="567"/>
        <w:rPr>
          <w:u w:val="none"/>
        </w:rPr>
        <w:sectPr w:rsidR="003942C4" w:rsidSect="00655736">
          <w:headerReference w:type="even" r:id="rId18"/>
          <w:headerReference w:type="default" r:id="rId19"/>
          <w:headerReference w:type="first" r:id="rId20"/>
          <w:pgSz w:w="11906" w:h="16838" w:code="9"/>
          <w:pgMar w:top="1418" w:right="1134" w:bottom="1134" w:left="1134" w:header="397" w:footer="284" w:gutter="0"/>
          <w:cols w:space="708"/>
          <w:titlePg/>
          <w:docGrid w:linePitch="360"/>
        </w:sectPr>
      </w:pPr>
      <w:r>
        <w:t>Further decides</w:t>
      </w:r>
      <w:r>
        <w:rPr>
          <w:u w:val="none"/>
        </w:rPr>
        <w:t xml:space="preserve"> to examine</w:t>
      </w:r>
      <w:r w:rsidR="009102F7">
        <w:rPr>
          <w:u w:val="none"/>
        </w:rPr>
        <w:t>,</w:t>
      </w:r>
      <w:r>
        <w:rPr>
          <w:u w:val="none"/>
        </w:rPr>
        <w:t xml:space="preserve"> at its thirteen session in 2018</w:t>
      </w:r>
      <w:r w:rsidR="009102F7">
        <w:rPr>
          <w:u w:val="none"/>
        </w:rPr>
        <w:t>,</w:t>
      </w:r>
      <w:r>
        <w:rPr>
          <w:u w:val="none"/>
        </w:rPr>
        <w:t xml:space="preserve"> </w:t>
      </w:r>
      <w:r w:rsidR="009102F7">
        <w:rPr>
          <w:u w:val="none"/>
        </w:rPr>
        <w:t xml:space="preserve">the </w:t>
      </w:r>
      <w:r>
        <w:rPr>
          <w:u w:val="none"/>
        </w:rPr>
        <w:t xml:space="preserve">periodic reports </w:t>
      </w:r>
      <w:r w:rsidR="00747180">
        <w:rPr>
          <w:u w:val="none"/>
        </w:rPr>
        <w:t xml:space="preserve">on the implementation of the Convention </w:t>
      </w:r>
      <w:r>
        <w:rPr>
          <w:u w:val="none"/>
        </w:rPr>
        <w:t xml:space="preserve">to </w:t>
      </w:r>
      <w:proofErr w:type="gramStart"/>
      <w:r>
        <w:rPr>
          <w:u w:val="none"/>
        </w:rPr>
        <w:t>be submitted</w:t>
      </w:r>
      <w:proofErr w:type="gramEnd"/>
      <w:r>
        <w:rPr>
          <w:u w:val="none"/>
        </w:rPr>
        <w:t xml:space="preserve"> </w:t>
      </w:r>
      <w:r w:rsidR="005A757A">
        <w:rPr>
          <w:u w:val="none"/>
        </w:rPr>
        <w:t xml:space="preserve">by </w:t>
      </w:r>
      <w:r>
        <w:rPr>
          <w:u w:val="none"/>
        </w:rPr>
        <w:t xml:space="preserve">the deadline of 15 December 2017 as the last batch under the system </w:t>
      </w:r>
      <w:r w:rsidR="009102F7">
        <w:rPr>
          <w:u w:val="none"/>
        </w:rPr>
        <w:t xml:space="preserve">that has </w:t>
      </w:r>
      <w:r>
        <w:rPr>
          <w:u w:val="none"/>
        </w:rPr>
        <w:t>existed so far</w:t>
      </w:r>
      <w:r w:rsidR="009C6614" w:rsidRPr="00582B88">
        <w:rPr>
          <w:u w:val="none"/>
        </w:rPr>
        <w:t>.</w:t>
      </w:r>
      <w:r w:rsidR="00A73B11">
        <w:rPr>
          <w:u w:val="none"/>
        </w:rPr>
        <w:tab/>
      </w:r>
    </w:p>
    <w:p w14:paraId="147BB56C" w14:textId="77777777" w:rsidR="003942C4" w:rsidRPr="00EB77E6" w:rsidRDefault="003942C4" w:rsidP="003942C4">
      <w:pPr>
        <w:pStyle w:val="Marge"/>
        <w:jc w:val="center"/>
        <w:rPr>
          <w:b/>
          <w:bCs/>
          <w:lang w:val="en-GB"/>
        </w:rPr>
      </w:pPr>
      <w:r w:rsidRPr="00EB77E6">
        <w:rPr>
          <w:b/>
          <w:bCs/>
          <w:lang w:val="en-GB"/>
        </w:rPr>
        <w:t>ANNEX</w:t>
      </w:r>
    </w:p>
    <w:tbl>
      <w:tblPr>
        <w:tblW w:w="15451" w:type="dxa"/>
        <w:tblInd w:w="-602" w:type="dxa"/>
        <w:tblLayout w:type="fixed"/>
        <w:tblCellMar>
          <w:top w:w="57" w:type="dxa"/>
          <w:bottom w:w="57" w:type="dxa"/>
        </w:tblCellMar>
        <w:tblLook w:val="04A0" w:firstRow="1" w:lastRow="0" w:firstColumn="1" w:lastColumn="0" w:noHBand="0" w:noVBand="1"/>
      </w:tblPr>
      <w:tblGrid>
        <w:gridCol w:w="284"/>
        <w:gridCol w:w="796"/>
        <w:gridCol w:w="170"/>
        <w:gridCol w:w="6661"/>
        <w:gridCol w:w="29"/>
        <w:gridCol w:w="821"/>
        <w:gridCol w:w="29"/>
        <w:gridCol w:w="6633"/>
        <w:gridCol w:w="28"/>
      </w:tblGrid>
      <w:tr w:rsidR="003942C4" w:rsidRPr="00EB77E6" w14:paraId="1374FA9E" w14:textId="77777777" w:rsidTr="00196F2F">
        <w:trPr>
          <w:gridBefore w:val="1"/>
          <w:gridAfter w:val="1"/>
          <w:wBefore w:w="284" w:type="dxa"/>
          <w:wAfter w:w="28" w:type="dxa"/>
          <w:cantSplit/>
        </w:trPr>
        <w:tc>
          <w:tcPr>
            <w:tcW w:w="966" w:type="dxa"/>
            <w:gridSpan w:val="2"/>
            <w:shd w:val="clear" w:color="auto" w:fill="auto"/>
          </w:tcPr>
          <w:p w14:paraId="68EBA5DD" w14:textId="77777777" w:rsidR="003942C4" w:rsidRPr="009D2FCA" w:rsidRDefault="003942C4" w:rsidP="00196F2F">
            <w:pPr>
              <w:spacing w:before="120" w:after="120"/>
              <w:jc w:val="right"/>
              <w:rPr>
                <w:rFonts w:ascii="Arial" w:hAnsi="Arial" w:cs="Arial"/>
                <w:b/>
                <w:bCs/>
                <w:sz w:val="22"/>
                <w:szCs w:val="22"/>
                <w:lang w:val="en-GB"/>
              </w:rPr>
            </w:pPr>
          </w:p>
        </w:tc>
        <w:tc>
          <w:tcPr>
            <w:tcW w:w="6661" w:type="dxa"/>
            <w:shd w:val="clear" w:color="auto" w:fill="auto"/>
          </w:tcPr>
          <w:p w14:paraId="3346F312" w14:textId="59FEECF5" w:rsidR="003942C4" w:rsidRPr="009D2FCA" w:rsidRDefault="003942C4" w:rsidP="00F50FE4">
            <w:pPr>
              <w:spacing w:before="120" w:after="120"/>
              <w:jc w:val="both"/>
              <w:rPr>
                <w:rFonts w:ascii="Arial" w:hAnsi="Arial" w:cs="Arial"/>
                <w:b/>
                <w:bCs/>
                <w:sz w:val="22"/>
                <w:szCs w:val="22"/>
                <w:lang w:val="en-GB"/>
              </w:rPr>
            </w:pPr>
            <w:r w:rsidRPr="009D2FCA">
              <w:rPr>
                <w:rFonts w:ascii="Arial" w:hAnsi="Arial" w:cs="Arial"/>
                <w:b/>
                <w:bCs/>
                <w:sz w:val="22"/>
                <w:szCs w:val="22"/>
                <w:u w:val="single"/>
                <w:lang w:val="en-GB"/>
              </w:rPr>
              <w:t xml:space="preserve">Operational </w:t>
            </w:r>
            <w:r w:rsidR="00F50FE4">
              <w:rPr>
                <w:rFonts w:ascii="Arial" w:hAnsi="Arial" w:cs="Arial"/>
                <w:b/>
                <w:bCs/>
                <w:sz w:val="22"/>
                <w:szCs w:val="22"/>
                <w:u w:val="single"/>
                <w:lang w:val="en-GB"/>
              </w:rPr>
              <w:t>D</w:t>
            </w:r>
            <w:r w:rsidR="00F50FE4" w:rsidRPr="009D2FCA">
              <w:rPr>
                <w:rFonts w:ascii="Arial" w:hAnsi="Arial" w:cs="Arial"/>
                <w:b/>
                <w:bCs/>
                <w:sz w:val="22"/>
                <w:szCs w:val="22"/>
                <w:u w:val="single"/>
                <w:lang w:val="en-GB"/>
              </w:rPr>
              <w:t>irectives</w:t>
            </w:r>
          </w:p>
        </w:tc>
        <w:tc>
          <w:tcPr>
            <w:tcW w:w="850" w:type="dxa"/>
            <w:gridSpan w:val="2"/>
          </w:tcPr>
          <w:p w14:paraId="43E7D926" w14:textId="77777777" w:rsidR="003942C4" w:rsidRPr="009D2FCA" w:rsidRDefault="003942C4" w:rsidP="00196F2F">
            <w:pPr>
              <w:spacing w:before="120" w:after="120"/>
              <w:jc w:val="right"/>
              <w:rPr>
                <w:rFonts w:ascii="Arial" w:hAnsi="Arial" w:cs="Arial"/>
                <w:b/>
                <w:bCs/>
                <w:sz w:val="22"/>
                <w:szCs w:val="22"/>
                <w:lang w:val="en-GB"/>
              </w:rPr>
            </w:pPr>
          </w:p>
        </w:tc>
        <w:tc>
          <w:tcPr>
            <w:tcW w:w="6662" w:type="dxa"/>
            <w:gridSpan w:val="2"/>
          </w:tcPr>
          <w:p w14:paraId="308257F4" w14:textId="77777777" w:rsidR="003942C4" w:rsidRPr="00DD7D44" w:rsidRDefault="003942C4" w:rsidP="00196F2F">
            <w:pPr>
              <w:spacing w:before="120" w:after="120"/>
              <w:jc w:val="both"/>
              <w:rPr>
                <w:rFonts w:ascii="Arial" w:hAnsi="Arial" w:cs="Arial"/>
                <w:sz w:val="22"/>
                <w:szCs w:val="22"/>
                <w:lang w:val="en-GB"/>
              </w:rPr>
            </w:pPr>
            <w:r w:rsidRPr="009D2FCA">
              <w:rPr>
                <w:rFonts w:ascii="Arial" w:hAnsi="Arial" w:cs="Arial"/>
                <w:b/>
                <w:bCs/>
                <w:sz w:val="22"/>
                <w:szCs w:val="22"/>
                <w:u w:val="single"/>
                <w:lang w:val="en-GB"/>
              </w:rPr>
              <w:t>Proposed amendments</w:t>
            </w:r>
          </w:p>
        </w:tc>
      </w:tr>
      <w:tr w:rsidR="003942C4" w:rsidRPr="00EB77E6" w14:paraId="43667671" w14:textId="77777777" w:rsidTr="00196F2F">
        <w:trPr>
          <w:gridBefore w:val="1"/>
          <w:gridAfter w:val="1"/>
          <w:wBefore w:w="284" w:type="dxa"/>
          <w:wAfter w:w="28" w:type="dxa"/>
          <w:cantSplit/>
        </w:trPr>
        <w:tc>
          <w:tcPr>
            <w:tcW w:w="966" w:type="dxa"/>
            <w:gridSpan w:val="2"/>
            <w:shd w:val="clear" w:color="auto" w:fill="auto"/>
          </w:tcPr>
          <w:p w14:paraId="09BF441C" w14:textId="77777777" w:rsidR="003942C4" w:rsidRPr="00B36C17" w:rsidRDefault="003942C4" w:rsidP="00196F2F">
            <w:pPr>
              <w:spacing w:before="120" w:after="120"/>
              <w:jc w:val="right"/>
              <w:rPr>
                <w:rFonts w:ascii="Arial" w:hAnsi="Arial" w:cs="Arial"/>
                <w:sz w:val="22"/>
                <w:szCs w:val="22"/>
                <w:lang w:val="en-GB"/>
              </w:rPr>
            </w:pPr>
            <w:r w:rsidRPr="00B36C17">
              <w:rPr>
                <w:rFonts w:ascii="Arial" w:hAnsi="Arial" w:cs="Arial"/>
                <w:b/>
                <w:bCs/>
                <w:sz w:val="22"/>
                <w:szCs w:val="22"/>
                <w:lang w:val="en-GB"/>
              </w:rPr>
              <w:t>V.1</w:t>
            </w:r>
          </w:p>
        </w:tc>
        <w:tc>
          <w:tcPr>
            <w:tcW w:w="6661" w:type="dxa"/>
            <w:shd w:val="clear" w:color="auto" w:fill="auto"/>
          </w:tcPr>
          <w:p w14:paraId="09A4AF4E" w14:textId="77777777" w:rsidR="003942C4" w:rsidRPr="00E717A3" w:rsidRDefault="003942C4" w:rsidP="00196F2F">
            <w:pPr>
              <w:spacing w:before="120" w:after="120"/>
              <w:jc w:val="both"/>
              <w:rPr>
                <w:rFonts w:ascii="Arial" w:hAnsi="Arial" w:cs="Arial"/>
                <w:lang w:val="en-GB"/>
              </w:rPr>
            </w:pPr>
            <w:r w:rsidRPr="00E717A3">
              <w:rPr>
                <w:rFonts w:ascii="Arial" w:hAnsi="Arial" w:cs="Arial"/>
                <w:b/>
                <w:bCs/>
                <w:lang w:val="en-GB"/>
              </w:rPr>
              <w:t>Reports by States Parties on the implementation of the Convention</w:t>
            </w:r>
          </w:p>
        </w:tc>
        <w:tc>
          <w:tcPr>
            <w:tcW w:w="850" w:type="dxa"/>
            <w:gridSpan w:val="2"/>
          </w:tcPr>
          <w:p w14:paraId="0DE6019B" w14:textId="77777777" w:rsidR="003942C4" w:rsidRPr="00B36C17" w:rsidRDefault="003942C4" w:rsidP="00196F2F">
            <w:pPr>
              <w:spacing w:before="120" w:after="120"/>
              <w:jc w:val="right"/>
              <w:rPr>
                <w:rFonts w:ascii="Arial" w:hAnsi="Arial" w:cs="Arial"/>
                <w:sz w:val="22"/>
                <w:szCs w:val="22"/>
                <w:lang w:val="en-GB"/>
              </w:rPr>
            </w:pPr>
            <w:r w:rsidRPr="00B36C17">
              <w:rPr>
                <w:rFonts w:ascii="Arial" w:hAnsi="Arial" w:cs="Arial"/>
                <w:b/>
                <w:bCs/>
                <w:sz w:val="22"/>
                <w:szCs w:val="22"/>
                <w:lang w:val="en-GB"/>
              </w:rPr>
              <w:t>V.1</w:t>
            </w:r>
          </w:p>
        </w:tc>
        <w:tc>
          <w:tcPr>
            <w:tcW w:w="6662" w:type="dxa"/>
            <w:gridSpan w:val="2"/>
          </w:tcPr>
          <w:p w14:paraId="4BD8489C"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BE4D6B" w:rsidRPr="00EB77E6" w14:paraId="65CEA122" w14:textId="77777777" w:rsidTr="00196F2F">
        <w:trPr>
          <w:gridBefore w:val="1"/>
          <w:gridAfter w:val="1"/>
          <w:wBefore w:w="284" w:type="dxa"/>
          <w:wAfter w:w="28" w:type="dxa"/>
          <w:cantSplit/>
        </w:trPr>
        <w:tc>
          <w:tcPr>
            <w:tcW w:w="966" w:type="dxa"/>
            <w:gridSpan w:val="2"/>
            <w:shd w:val="clear" w:color="auto" w:fill="auto"/>
          </w:tcPr>
          <w:p w14:paraId="4CDAAADC" w14:textId="77777777" w:rsidR="00BE4D6B" w:rsidRPr="00A1056C" w:rsidRDefault="00BE4D6B" w:rsidP="00BE4D6B">
            <w:pPr>
              <w:spacing w:before="120" w:after="120"/>
              <w:jc w:val="right"/>
              <w:rPr>
                <w:rFonts w:ascii="Arial" w:hAnsi="Arial" w:cs="Arial"/>
                <w:sz w:val="22"/>
                <w:szCs w:val="22"/>
                <w:lang w:val="en-GB"/>
              </w:rPr>
            </w:pPr>
            <w:r>
              <w:rPr>
                <w:rFonts w:ascii="Arial" w:hAnsi="Arial" w:cs="Arial"/>
                <w:sz w:val="22"/>
                <w:szCs w:val="22"/>
                <w:lang w:val="en-GB"/>
              </w:rPr>
              <w:t>151</w:t>
            </w:r>
            <w:r w:rsidRPr="00A1056C">
              <w:rPr>
                <w:rFonts w:ascii="Arial" w:hAnsi="Arial" w:cs="Arial"/>
                <w:sz w:val="22"/>
                <w:szCs w:val="22"/>
                <w:lang w:val="en-GB"/>
              </w:rPr>
              <w:t>.</w:t>
            </w:r>
          </w:p>
        </w:tc>
        <w:tc>
          <w:tcPr>
            <w:tcW w:w="6661" w:type="dxa"/>
            <w:shd w:val="clear" w:color="auto" w:fill="auto"/>
          </w:tcPr>
          <w:p w14:paraId="7BD9A3A4" w14:textId="7598EEC8" w:rsidR="00BE4D6B" w:rsidRPr="00710CE9" w:rsidRDefault="00BE4D6B" w:rsidP="00BE4D6B">
            <w:pPr>
              <w:spacing w:before="120" w:after="120"/>
              <w:jc w:val="both"/>
              <w:rPr>
                <w:rFonts w:ascii="Arial" w:hAnsi="Arial" w:cs="Arial"/>
                <w:sz w:val="22"/>
                <w:szCs w:val="22"/>
                <w:lang w:val="en-GB"/>
              </w:rPr>
            </w:pPr>
            <w:r w:rsidRPr="003942C4">
              <w:rPr>
                <w:rFonts w:ascii="Arial" w:hAnsi="Arial" w:cs="Arial"/>
                <w:sz w:val="22"/>
                <w:szCs w:val="22"/>
                <w:lang w:val="en-GB"/>
              </w:rPr>
              <w:t>Each State Party to the Convention periodically submits to the Committee reports on the legislative, regulatory and other measures taken for the implementation of the Convention. States Parties are encouraged to complement the data gathered on the implementation of the Convention with information provided by relevant non-governmental organizations.</w:t>
            </w:r>
          </w:p>
        </w:tc>
        <w:tc>
          <w:tcPr>
            <w:tcW w:w="850" w:type="dxa"/>
            <w:gridSpan w:val="2"/>
          </w:tcPr>
          <w:p w14:paraId="6767D618" w14:textId="77777777" w:rsidR="00BE4D6B" w:rsidRPr="00BA4171" w:rsidRDefault="00BE4D6B" w:rsidP="00BE4D6B">
            <w:pPr>
              <w:spacing w:before="120" w:after="120"/>
              <w:jc w:val="right"/>
              <w:rPr>
                <w:rFonts w:ascii="Arial" w:hAnsi="Arial" w:cs="Arial"/>
                <w:sz w:val="22"/>
                <w:szCs w:val="22"/>
                <w:lang w:val="en-GB"/>
              </w:rPr>
            </w:pPr>
            <w:r>
              <w:rPr>
                <w:rFonts w:ascii="Arial" w:hAnsi="Arial" w:cs="Arial"/>
                <w:sz w:val="22"/>
                <w:szCs w:val="22"/>
                <w:lang w:val="en-GB"/>
              </w:rPr>
              <w:t>151</w:t>
            </w:r>
            <w:r w:rsidRPr="00BA4171">
              <w:rPr>
                <w:rFonts w:ascii="Arial" w:hAnsi="Arial" w:cs="Arial"/>
                <w:sz w:val="22"/>
                <w:szCs w:val="22"/>
                <w:lang w:val="en-GB"/>
              </w:rPr>
              <w:t>.</w:t>
            </w:r>
          </w:p>
        </w:tc>
        <w:tc>
          <w:tcPr>
            <w:tcW w:w="6662" w:type="dxa"/>
            <w:gridSpan w:val="2"/>
          </w:tcPr>
          <w:p w14:paraId="158D38F4" w14:textId="534E2695" w:rsidR="00BE4D6B" w:rsidRPr="004815DD" w:rsidRDefault="00BE4D6B" w:rsidP="00BE4D6B">
            <w:pPr>
              <w:spacing w:before="120" w:after="120"/>
              <w:ind w:right="175"/>
              <w:jc w:val="both"/>
              <w:rPr>
                <w:rFonts w:ascii="Arial" w:hAnsi="Arial" w:cs="Arial"/>
                <w:sz w:val="22"/>
                <w:szCs w:val="22"/>
                <w:lang w:val="en-US"/>
              </w:rPr>
            </w:pPr>
            <w:r>
              <w:rPr>
                <w:rFonts w:ascii="Arial" w:hAnsi="Arial" w:cs="Arial"/>
                <w:sz w:val="22"/>
                <w:szCs w:val="22"/>
                <w:lang w:val="en-GB"/>
              </w:rPr>
              <w:t>No change.</w:t>
            </w:r>
          </w:p>
        </w:tc>
      </w:tr>
      <w:tr w:rsidR="00BE4D6B" w:rsidRPr="00453F74" w14:paraId="05700783" w14:textId="77777777" w:rsidTr="00196F2F">
        <w:trPr>
          <w:gridBefore w:val="1"/>
          <w:gridAfter w:val="1"/>
          <w:wBefore w:w="284" w:type="dxa"/>
          <w:wAfter w:w="28" w:type="dxa"/>
          <w:cantSplit/>
        </w:trPr>
        <w:tc>
          <w:tcPr>
            <w:tcW w:w="966" w:type="dxa"/>
            <w:gridSpan w:val="2"/>
            <w:shd w:val="clear" w:color="auto" w:fill="auto"/>
          </w:tcPr>
          <w:p w14:paraId="430893E8" w14:textId="77777777" w:rsidR="00BE4D6B" w:rsidRPr="00A1056C" w:rsidRDefault="00BE4D6B" w:rsidP="00BE4D6B">
            <w:pPr>
              <w:spacing w:before="120" w:after="120"/>
              <w:jc w:val="right"/>
              <w:rPr>
                <w:rFonts w:ascii="Arial" w:hAnsi="Arial" w:cs="Arial"/>
                <w:sz w:val="22"/>
                <w:szCs w:val="22"/>
                <w:lang w:val="en-GB"/>
              </w:rPr>
            </w:pPr>
            <w:r>
              <w:rPr>
                <w:rFonts w:ascii="Arial" w:hAnsi="Arial" w:cs="Arial"/>
                <w:sz w:val="22"/>
                <w:szCs w:val="22"/>
                <w:lang w:val="en-GB"/>
              </w:rPr>
              <w:t>152</w:t>
            </w:r>
            <w:r w:rsidRPr="00A1056C">
              <w:rPr>
                <w:rFonts w:ascii="Arial" w:hAnsi="Arial" w:cs="Arial"/>
                <w:sz w:val="22"/>
                <w:szCs w:val="22"/>
                <w:lang w:val="en-GB"/>
              </w:rPr>
              <w:t>.</w:t>
            </w:r>
          </w:p>
        </w:tc>
        <w:tc>
          <w:tcPr>
            <w:tcW w:w="6661" w:type="dxa"/>
            <w:shd w:val="clear" w:color="auto" w:fill="auto"/>
          </w:tcPr>
          <w:p w14:paraId="3B1EFD1B" w14:textId="2BF9D44D" w:rsidR="00BE4D6B" w:rsidRPr="00E336A1" w:rsidRDefault="00BE4D6B" w:rsidP="00F96432">
            <w:pPr>
              <w:spacing w:before="120" w:after="120"/>
              <w:jc w:val="both"/>
              <w:rPr>
                <w:rFonts w:ascii="Arial" w:hAnsi="Arial" w:cs="Arial"/>
                <w:color w:val="000000"/>
                <w:sz w:val="22"/>
                <w:szCs w:val="22"/>
                <w:lang w:val="en-GB"/>
              </w:rPr>
            </w:pPr>
            <w:r w:rsidRPr="003942C4">
              <w:rPr>
                <w:rFonts w:ascii="Arial" w:hAnsi="Arial" w:cs="Arial"/>
                <w:color w:val="000000"/>
                <w:sz w:val="22"/>
                <w:szCs w:val="22"/>
                <w:lang w:val="en-GB"/>
              </w:rPr>
              <w:t xml:space="preserve">The State Party submits its periodic report to the Committee by 15 December of the sixth year following the year in which it deposited its instrument of ratification, acceptance or approval, and every sixth year thereafter. Form ICH-10 </w:t>
            </w:r>
            <w:proofErr w:type="gramStart"/>
            <w:r w:rsidRPr="003942C4">
              <w:rPr>
                <w:rFonts w:ascii="Arial" w:hAnsi="Arial" w:cs="Arial"/>
                <w:color w:val="000000"/>
                <w:sz w:val="22"/>
                <w:szCs w:val="22"/>
                <w:lang w:val="en-GB"/>
              </w:rPr>
              <w:t>is used</w:t>
            </w:r>
            <w:proofErr w:type="gramEnd"/>
            <w:r w:rsidRPr="003942C4">
              <w:rPr>
                <w:rFonts w:ascii="Arial" w:hAnsi="Arial" w:cs="Arial"/>
                <w:color w:val="000000"/>
                <w:sz w:val="22"/>
                <w:szCs w:val="22"/>
                <w:lang w:val="en-GB"/>
              </w:rPr>
              <w:t xml:space="preserve"> for such reports, available at </w:t>
            </w:r>
            <w:hyperlink r:id="rId21" w:history="1">
              <w:r w:rsidR="00F96432" w:rsidRPr="00FB2BF4">
                <w:rPr>
                  <w:rStyle w:val="Hyperlink"/>
                  <w:rFonts w:ascii="Arial" w:hAnsi="Arial" w:cs="Arial"/>
                  <w:sz w:val="22"/>
                  <w:szCs w:val="22"/>
                  <w:lang w:val="en-GB"/>
                </w:rPr>
                <w:t>www.unesco.org/culture/ich</w:t>
              </w:r>
            </w:hyperlink>
            <w:r w:rsidR="00F96432">
              <w:rPr>
                <w:rFonts w:ascii="Arial" w:hAnsi="Arial" w:cs="Arial"/>
                <w:color w:val="000000"/>
                <w:sz w:val="22"/>
                <w:szCs w:val="22"/>
                <w:lang w:val="en-GB"/>
              </w:rPr>
              <w:t xml:space="preserve"> </w:t>
            </w:r>
            <w:r w:rsidRPr="003942C4">
              <w:rPr>
                <w:rFonts w:ascii="Arial" w:hAnsi="Arial" w:cs="Arial"/>
                <w:color w:val="000000"/>
                <w:sz w:val="22"/>
                <w:szCs w:val="22"/>
                <w:lang w:val="en-GB"/>
              </w:rPr>
              <w:t>or on request from the Secretariat. The reports shall include only the information requested in the form.</w:t>
            </w:r>
          </w:p>
        </w:tc>
        <w:tc>
          <w:tcPr>
            <w:tcW w:w="850" w:type="dxa"/>
            <w:gridSpan w:val="2"/>
          </w:tcPr>
          <w:p w14:paraId="2EE0B5C6" w14:textId="77777777" w:rsidR="00BE4D6B" w:rsidRPr="00DB7B2C" w:rsidRDefault="00BE4D6B" w:rsidP="00BE4D6B">
            <w:pPr>
              <w:spacing w:before="120" w:after="120"/>
              <w:jc w:val="right"/>
              <w:rPr>
                <w:rFonts w:ascii="Arial" w:hAnsi="Arial" w:cs="Arial"/>
                <w:sz w:val="22"/>
                <w:szCs w:val="22"/>
                <w:lang w:val="en-GB"/>
              </w:rPr>
            </w:pPr>
            <w:r w:rsidRPr="00DB7B2C">
              <w:rPr>
                <w:rFonts w:ascii="Arial" w:hAnsi="Arial" w:cs="Arial"/>
                <w:sz w:val="22"/>
                <w:szCs w:val="22"/>
                <w:lang w:val="en-GB"/>
              </w:rPr>
              <w:t>152.</w:t>
            </w:r>
          </w:p>
        </w:tc>
        <w:tc>
          <w:tcPr>
            <w:tcW w:w="6662" w:type="dxa"/>
            <w:gridSpan w:val="2"/>
          </w:tcPr>
          <w:p w14:paraId="7DAA32E9" w14:textId="41032092" w:rsidR="00BE4D6B" w:rsidRPr="006865E2" w:rsidRDefault="0069105E" w:rsidP="0069105E">
            <w:pPr>
              <w:spacing w:before="120" w:after="120"/>
              <w:jc w:val="both"/>
              <w:rPr>
                <w:rFonts w:ascii="Arial" w:hAnsi="Arial" w:cs="Arial"/>
                <w:strike/>
                <w:color w:val="000000"/>
                <w:sz w:val="22"/>
                <w:szCs w:val="22"/>
                <w:lang w:val="en-GB"/>
              </w:rPr>
            </w:pPr>
            <w:r w:rsidRPr="00C12E01">
              <w:rPr>
                <w:rFonts w:ascii="Arial" w:hAnsi="Arial" w:cs="Arial"/>
                <w:strike/>
                <w:color w:val="000000"/>
                <w:sz w:val="22"/>
                <w:szCs w:val="22"/>
                <w:lang w:val="en-GB"/>
              </w:rPr>
              <w:t xml:space="preserve">The State Party submits its periodic report </w:t>
            </w:r>
            <w:r w:rsidRPr="0069105E">
              <w:rPr>
                <w:rFonts w:ascii="Arial" w:hAnsi="Arial" w:cs="Arial"/>
                <w:b/>
                <w:color w:val="000000"/>
                <w:sz w:val="22"/>
                <w:szCs w:val="22"/>
                <w:u w:val="single"/>
                <w:lang w:val="en-GB"/>
              </w:rPr>
              <w:t xml:space="preserve">States Parties submit </w:t>
            </w:r>
            <w:r w:rsidRPr="006865E2">
              <w:rPr>
                <w:rFonts w:ascii="Arial" w:hAnsi="Arial" w:cs="Arial"/>
                <w:b/>
                <w:color w:val="000000"/>
                <w:sz w:val="22"/>
                <w:szCs w:val="22"/>
                <w:u w:val="single"/>
                <w:lang w:val="en-GB"/>
              </w:rPr>
              <w:t xml:space="preserve">their </w:t>
            </w:r>
            <w:r w:rsidR="006865E2" w:rsidRPr="006865E2">
              <w:rPr>
                <w:rFonts w:ascii="Arial" w:hAnsi="Arial" w:cs="Arial"/>
                <w:b/>
                <w:color w:val="000000"/>
                <w:sz w:val="22"/>
                <w:szCs w:val="22"/>
                <w:u w:val="single"/>
                <w:lang w:val="en-GB"/>
              </w:rPr>
              <w:t xml:space="preserve">national </w:t>
            </w:r>
            <w:r w:rsidRPr="006865E2">
              <w:rPr>
                <w:rFonts w:ascii="Arial" w:hAnsi="Arial" w:cs="Arial"/>
                <w:b/>
                <w:color w:val="000000"/>
                <w:sz w:val="22"/>
                <w:szCs w:val="22"/>
                <w:u w:val="single"/>
                <w:lang w:val="en-GB"/>
              </w:rPr>
              <w:t>periodic report</w:t>
            </w:r>
            <w:r w:rsidR="006865E2" w:rsidRPr="006865E2">
              <w:rPr>
                <w:rFonts w:ascii="Arial" w:hAnsi="Arial" w:cs="Arial"/>
                <w:b/>
                <w:color w:val="000000"/>
                <w:sz w:val="22"/>
                <w:szCs w:val="22"/>
                <w:u w:val="single"/>
                <w:lang w:val="en-GB"/>
              </w:rPr>
              <w:t>s</w:t>
            </w:r>
            <w:r w:rsidRPr="003942C4">
              <w:rPr>
                <w:rFonts w:ascii="Arial" w:hAnsi="Arial" w:cs="Arial"/>
                <w:color w:val="000000"/>
                <w:sz w:val="22"/>
                <w:szCs w:val="22"/>
                <w:lang w:val="en-GB"/>
              </w:rPr>
              <w:t xml:space="preserve"> to the Committee by 15 December </w:t>
            </w:r>
            <w:r w:rsidRPr="0069105E">
              <w:rPr>
                <w:rFonts w:ascii="Arial" w:hAnsi="Arial" w:cs="Arial"/>
                <w:b/>
                <w:color w:val="000000"/>
                <w:sz w:val="22"/>
                <w:szCs w:val="22"/>
                <w:u w:val="single"/>
                <w:lang w:val="en-GB"/>
              </w:rPr>
              <w:t>ever</w:t>
            </w:r>
            <w:r>
              <w:rPr>
                <w:rFonts w:ascii="Arial" w:hAnsi="Arial" w:cs="Arial"/>
                <w:b/>
                <w:color w:val="000000"/>
                <w:sz w:val="22"/>
                <w:szCs w:val="22"/>
                <w:u w:val="single"/>
                <w:lang w:val="en-GB"/>
              </w:rPr>
              <w:t xml:space="preserve">y six years </w:t>
            </w:r>
            <w:r w:rsidR="006865E2">
              <w:rPr>
                <w:rFonts w:ascii="Arial" w:hAnsi="Arial" w:cs="Arial"/>
                <w:b/>
                <w:color w:val="000000"/>
                <w:sz w:val="22"/>
                <w:szCs w:val="22"/>
                <w:u w:val="single"/>
                <w:lang w:val="en-GB"/>
              </w:rPr>
              <w:t>on the basis of a rotation region by region</w:t>
            </w:r>
            <w:r>
              <w:rPr>
                <w:rFonts w:ascii="Arial" w:hAnsi="Arial" w:cs="Arial"/>
                <w:b/>
                <w:color w:val="000000"/>
                <w:sz w:val="22"/>
                <w:szCs w:val="22"/>
                <w:u w:val="single"/>
                <w:lang w:val="en-GB"/>
              </w:rPr>
              <w:t>. T</w:t>
            </w:r>
            <w:r w:rsidRPr="00C12E01">
              <w:rPr>
                <w:rFonts w:ascii="Arial" w:hAnsi="Arial" w:cs="Arial"/>
                <w:b/>
                <w:color w:val="000000"/>
                <w:sz w:val="22"/>
                <w:szCs w:val="22"/>
                <w:u w:val="single"/>
                <w:lang w:val="en-GB"/>
              </w:rPr>
              <w:t xml:space="preserve">he order of </w:t>
            </w:r>
            <w:r w:rsidR="006865E2">
              <w:rPr>
                <w:rFonts w:ascii="Arial" w:hAnsi="Arial" w:cs="Arial"/>
                <w:b/>
                <w:color w:val="000000"/>
                <w:sz w:val="22"/>
                <w:szCs w:val="22"/>
                <w:u w:val="single"/>
                <w:lang w:val="en-GB"/>
              </w:rPr>
              <w:t xml:space="preserve">such </w:t>
            </w:r>
            <w:r w:rsidRPr="00C12E01">
              <w:rPr>
                <w:rFonts w:ascii="Arial" w:hAnsi="Arial" w:cs="Arial"/>
                <w:b/>
                <w:color w:val="000000"/>
                <w:sz w:val="22"/>
                <w:szCs w:val="22"/>
                <w:u w:val="single"/>
                <w:lang w:val="en-GB"/>
              </w:rPr>
              <w:t>rotation is established by the Committee</w:t>
            </w:r>
            <w:r>
              <w:rPr>
                <w:rFonts w:ascii="Arial" w:hAnsi="Arial" w:cs="Arial"/>
                <w:b/>
                <w:color w:val="000000"/>
                <w:sz w:val="22"/>
                <w:szCs w:val="22"/>
                <w:u w:val="single"/>
                <w:lang w:val="en-GB"/>
              </w:rPr>
              <w:t xml:space="preserve"> at the beginning of the six-year p</w:t>
            </w:r>
            <w:r w:rsidRPr="00C12E01">
              <w:rPr>
                <w:rFonts w:ascii="Arial" w:hAnsi="Arial" w:cs="Arial"/>
                <w:b/>
                <w:color w:val="000000"/>
                <w:sz w:val="22"/>
                <w:szCs w:val="22"/>
                <w:u w:val="single"/>
                <w:lang w:val="en-GB"/>
              </w:rPr>
              <w:t xml:space="preserve">eriodic </w:t>
            </w:r>
            <w:r>
              <w:rPr>
                <w:rFonts w:ascii="Arial" w:hAnsi="Arial" w:cs="Arial"/>
                <w:b/>
                <w:color w:val="000000"/>
                <w:sz w:val="22"/>
                <w:szCs w:val="22"/>
                <w:u w:val="single"/>
                <w:lang w:val="en-GB"/>
              </w:rPr>
              <w:t>r</w:t>
            </w:r>
            <w:r w:rsidRPr="00C12E01">
              <w:rPr>
                <w:rFonts w:ascii="Arial" w:hAnsi="Arial" w:cs="Arial"/>
                <w:b/>
                <w:color w:val="000000"/>
                <w:sz w:val="22"/>
                <w:szCs w:val="22"/>
                <w:u w:val="single"/>
                <w:lang w:val="en-GB"/>
              </w:rPr>
              <w:t>eporting cycle</w:t>
            </w:r>
            <w:r>
              <w:rPr>
                <w:rFonts w:ascii="Arial" w:hAnsi="Arial" w:cs="Arial"/>
                <w:b/>
                <w:color w:val="000000"/>
                <w:sz w:val="22"/>
                <w:szCs w:val="22"/>
                <w:u w:val="single"/>
                <w:lang w:val="en-GB"/>
              </w:rPr>
              <w:t>.</w:t>
            </w:r>
            <w:r w:rsidRPr="0069105E">
              <w:rPr>
                <w:rFonts w:ascii="Arial" w:hAnsi="Arial" w:cs="Arial"/>
                <w:strike/>
                <w:color w:val="000000"/>
                <w:sz w:val="22"/>
                <w:szCs w:val="22"/>
                <w:lang w:val="en-GB"/>
              </w:rPr>
              <w:t xml:space="preserve"> </w:t>
            </w:r>
            <w:proofErr w:type="gramStart"/>
            <w:r w:rsidRPr="0069105E">
              <w:rPr>
                <w:rFonts w:ascii="Arial" w:hAnsi="Arial" w:cs="Arial"/>
                <w:strike/>
                <w:color w:val="000000"/>
                <w:sz w:val="22"/>
                <w:szCs w:val="22"/>
                <w:lang w:val="en-GB"/>
              </w:rPr>
              <w:t>of</w:t>
            </w:r>
            <w:proofErr w:type="gramEnd"/>
            <w:r w:rsidRPr="0069105E">
              <w:rPr>
                <w:rFonts w:ascii="Arial" w:hAnsi="Arial" w:cs="Arial"/>
                <w:strike/>
                <w:color w:val="000000"/>
                <w:sz w:val="22"/>
                <w:szCs w:val="22"/>
                <w:lang w:val="en-GB"/>
              </w:rPr>
              <w:t xml:space="preserve"> the sixth year following the year in which it deposited its instrument of ratification, acceptance or approval, and every sixth year thereafter</w:t>
            </w:r>
            <w:r w:rsidRPr="003942C4">
              <w:rPr>
                <w:rFonts w:ascii="Arial" w:hAnsi="Arial" w:cs="Arial"/>
                <w:color w:val="000000"/>
                <w:sz w:val="22"/>
                <w:szCs w:val="22"/>
                <w:lang w:val="en-GB"/>
              </w:rPr>
              <w:t>.</w:t>
            </w:r>
            <w:r w:rsidR="006865E2">
              <w:rPr>
                <w:rFonts w:ascii="Arial" w:hAnsi="Arial" w:cs="Arial"/>
                <w:strike/>
                <w:color w:val="000000"/>
                <w:sz w:val="22"/>
                <w:szCs w:val="22"/>
                <w:lang w:val="en-GB"/>
              </w:rPr>
              <w:t xml:space="preserve"> </w:t>
            </w:r>
            <w:r w:rsidR="000A2E3E" w:rsidRPr="00AC76DD">
              <w:rPr>
                <w:rFonts w:ascii="Arial" w:hAnsi="Arial" w:cs="Arial"/>
                <w:b/>
                <w:sz w:val="22"/>
                <w:szCs w:val="22"/>
                <w:u w:val="single"/>
                <w:lang w:val="en-GB"/>
              </w:rPr>
              <w:t xml:space="preserve">States Parties </w:t>
            </w:r>
            <w:r w:rsidR="000A2E3E" w:rsidRPr="000A2E3E">
              <w:rPr>
                <w:rFonts w:ascii="Arial" w:hAnsi="Arial" w:cs="Arial"/>
                <w:b/>
                <w:sz w:val="22"/>
                <w:szCs w:val="22"/>
                <w:u w:val="single"/>
                <w:lang w:val="en-GB"/>
              </w:rPr>
              <w:t xml:space="preserve">use the periodic reporting process </w:t>
            </w:r>
            <w:r w:rsidR="00112A4A">
              <w:rPr>
                <w:rFonts w:ascii="Arial" w:hAnsi="Arial" w:cs="Arial"/>
                <w:b/>
                <w:sz w:val="22"/>
                <w:szCs w:val="22"/>
                <w:u w:val="single"/>
                <w:lang w:val="en-GB"/>
              </w:rPr>
              <w:t xml:space="preserve">to enhance active </w:t>
            </w:r>
            <w:r w:rsidR="000A2E3E" w:rsidRPr="000A2E3E">
              <w:rPr>
                <w:rFonts w:ascii="Arial" w:hAnsi="Arial" w:cs="Arial"/>
                <w:b/>
                <w:sz w:val="22"/>
                <w:szCs w:val="22"/>
                <w:u w:val="single"/>
                <w:lang w:val="en-GB"/>
              </w:rPr>
              <w:t>regional exchange and cooperation.</w:t>
            </w:r>
            <w:r w:rsidR="000A2E3E" w:rsidRPr="000A2E3E">
              <w:rPr>
                <w:rFonts w:ascii="Arial" w:hAnsi="Arial" w:cs="Arial"/>
                <w:strike/>
                <w:color w:val="000000"/>
                <w:sz w:val="22"/>
                <w:szCs w:val="22"/>
                <w:lang w:val="en-GB"/>
              </w:rPr>
              <w:t xml:space="preserve"> </w:t>
            </w:r>
            <w:r w:rsidR="00BE4D6B" w:rsidRPr="000A2E3E">
              <w:rPr>
                <w:rFonts w:ascii="Arial" w:hAnsi="Arial" w:cs="Arial"/>
                <w:color w:val="000000"/>
                <w:sz w:val="22"/>
                <w:szCs w:val="22"/>
                <w:lang w:val="en-GB"/>
              </w:rPr>
              <w:t>Form ICH-1</w:t>
            </w:r>
            <w:r w:rsidR="000A2E3E">
              <w:rPr>
                <w:rFonts w:ascii="Arial" w:hAnsi="Arial" w:cs="Arial"/>
                <w:color w:val="000000"/>
                <w:sz w:val="22"/>
                <w:szCs w:val="22"/>
                <w:lang w:val="en-GB"/>
              </w:rPr>
              <w:t>0</w:t>
            </w:r>
            <w:r w:rsidR="000A2E3E" w:rsidRPr="000A2E3E">
              <w:rPr>
                <w:rFonts w:ascii="Arial" w:hAnsi="Arial" w:cs="Arial"/>
                <w:strike/>
                <w:color w:val="000000"/>
                <w:sz w:val="22"/>
                <w:szCs w:val="22"/>
                <w:lang w:val="en-GB"/>
              </w:rPr>
              <w:t xml:space="preserve">is used for such reports, available at </w:t>
            </w:r>
            <w:hyperlink r:id="rId22" w:history="1">
              <w:r w:rsidR="000A2E3E" w:rsidRPr="000A2E3E">
                <w:rPr>
                  <w:rStyle w:val="Hyperlink"/>
                  <w:rFonts w:ascii="Arial" w:hAnsi="Arial" w:cs="Arial"/>
                  <w:strike/>
                  <w:sz w:val="22"/>
                  <w:szCs w:val="22"/>
                  <w:lang w:val="en-GB"/>
                </w:rPr>
                <w:t>www.unesco.org/culture/ich</w:t>
              </w:r>
            </w:hyperlink>
            <w:r w:rsidR="000A2E3E" w:rsidRPr="000A2E3E">
              <w:rPr>
                <w:rFonts w:ascii="Arial" w:hAnsi="Arial" w:cs="Arial"/>
                <w:strike/>
                <w:color w:val="000000"/>
                <w:sz w:val="22"/>
                <w:szCs w:val="22"/>
                <w:lang w:val="en-GB"/>
              </w:rPr>
              <w:t xml:space="preserve"> or on request from the Secretariat. The reports shall include only the information requested in the form.</w:t>
            </w:r>
            <w:r w:rsidR="000A2E3E">
              <w:rPr>
                <w:rFonts w:ascii="Arial" w:hAnsi="Arial" w:cs="Arial"/>
                <w:color w:val="000000"/>
                <w:sz w:val="22"/>
                <w:szCs w:val="22"/>
                <w:lang w:val="en-GB"/>
              </w:rPr>
              <w:t xml:space="preserve"> </w:t>
            </w:r>
            <w:proofErr w:type="gramStart"/>
            <w:r w:rsidR="00284E34" w:rsidRPr="000A2E3E">
              <w:rPr>
                <w:rFonts w:ascii="Arial" w:hAnsi="Arial" w:cs="Arial"/>
                <w:b/>
                <w:color w:val="000000"/>
                <w:sz w:val="22"/>
                <w:szCs w:val="22"/>
                <w:u w:val="single"/>
                <w:lang w:val="en-GB"/>
              </w:rPr>
              <w:t>has</w:t>
            </w:r>
            <w:proofErr w:type="gramEnd"/>
            <w:r w:rsidR="00284E34" w:rsidRPr="000A2E3E">
              <w:rPr>
                <w:rFonts w:ascii="Arial" w:hAnsi="Arial" w:cs="Arial"/>
                <w:b/>
                <w:color w:val="000000"/>
                <w:sz w:val="22"/>
                <w:szCs w:val="22"/>
                <w:u w:val="single"/>
                <w:lang w:val="en-GB"/>
              </w:rPr>
              <w:t xml:space="preserve"> to be completed </w:t>
            </w:r>
            <w:r w:rsidR="00AC76DD" w:rsidRPr="000A2E3E">
              <w:rPr>
                <w:rFonts w:ascii="Arial" w:hAnsi="Arial" w:cs="Arial"/>
                <w:b/>
                <w:color w:val="000000"/>
                <w:sz w:val="22"/>
                <w:szCs w:val="22"/>
                <w:u w:val="single"/>
                <w:lang w:val="en-GB"/>
              </w:rPr>
              <w:t xml:space="preserve">online by each State Party </w:t>
            </w:r>
            <w:r w:rsidR="00284E34" w:rsidRPr="000A2E3E">
              <w:rPr>
                <w:rFonts w:ascii="Arial" w:hAnsi="Arial" w:cs="Arial"/>
                <w:b/>
                <w:color w:val="000000"/>
                <w:sz w:val="22"/>
                <w:szCs w:val="22"/>
                <w:u w:val="single"/>
                <w:lang w:val="en-GB"/>
              </w:rPr>
              <w:t>(</w:t>
            </w:r>
            <w:hyperlink r:id="rId23" w:history="1">
              <w:r w:rsidR="00AC76DD" w:rsidRPr="000A2E3E">
                <w:rPr>
                  <w:rStyle w:val="Hyperlink"/>
                  <w:rFonts w:ascii="Arial" w:hAnsi="Arial" w:cs="Arial"/>
                  <w:b/>
                  <w:sz w:val="22"/>
                  <w:szCs w:val="22"/>
                  <w:lang w:val="en-GB"/>
                </w:rPr>
                <w:t>https://ich.unesco.org/</w:t>
              </w:r>
            </w:hyperlink>
            <w:r w:rsidR="000A2E3E">
              <w:rPr>
                <w:rFonts w:ascii="Arial" w:hAnsi="Arial" w:cs="Arial"/>
                <w:b/>
                <w:color w:val="000000"/>
                <w:sz w:val="22"/>
                <w:szCs w:val="22"/>
                <w:u w:val="single"/>
                <w:lang w:val="en-GB"/>
              </w:rPr>
              <w:t>) and</w:t>
            </w:r>
            <w:r w:rsidR="002B69B1" w:rsidRPr="000A2E3E">
              <w:rPr>
                <w:rFonts w:ascii="Arial" w:hAnsi="Arial" w:cs="Arial"/>
                <w:b/>
                <w:color w:val="000000"/>
                <w:sz w:val="22"/>
                <w:szCs w:val="22"/>
                <w:u w:val="single"/>
                <w:lang w:val="en-GB"/>
              </w:rPr>
              <w:t xml:space="preserve"> is </w:t>
            </w:r>
            <w:r w:rsidR="00AC76DD" w:rsidRPr="000A2E3E">
              <w:rPr>
                <w:rFonts w:ascii="Arial" w:hAnsi="Arial" w:cs="Arial"/>
                <w:b/>
                <w:color w:val="000000"/>
                <w:sz w:val="22"/>
                <w:szCs w:val="22"/>
                <w:u w:val="single"/>
                <w:lang w:val="en-GB"/>
              </w:rPr>
              <w:t>revised at appropriate intervals</w:t>
            </w:r>
            <w:r w:rsidR="000A2E3E">
              <w:rPr>
                <w:rFonts w:ascii="Arial" w:hAnsi="Arial" w:cs="Arial"/>
                <w:b/>
                <w:color w:val="000000"/>
                <w:sz w:val="22"/>
                <w:szCs w:val="22"/>
                <w:u w:val="single"/>
                <w:lang w:val="en-GB"/>
              </w:rPr>
              <w:t xml:space="preserve"> </w:t>
            </w:r>
            <w:r w:rsidR="000A2E3E" w:rsidRPr="000A2E3E">
              <w:rPr>
                <w:rFonts w:ascii="Arial" w:hAnsi="Arial" w:cs="Arial"/>
                <w:b/>
                <w:color w:val="000000"/>
                <w:sz w:val="22"/>
                <w:szCs w:val="22"/>
                <w:u w:val="single"/>
                <w:lang w:val="en-GB"/>
              </w:rPr>
              <w:t>by the Secretariat</w:t>
            </w:r>
            <w:r w:rsidR="00BE4D6B" w:rsidRPr="000A2E3E">
              <w:rPr>
                <w:rFonts w:ascii="Arial" w:hAnsi="Arial" w:cs="Arial"/>
                <w:b/>
                <w:color w:val="000000"/>
                <w:sz w:val="22"/>
                <w:szCs w:val="22"/>
                <w:u w:val="single"/>
                <w:lang w:val="en-GB"/>
              </w:rPr>
              <w:t>.</w:t>
            </w:r>
          </w:p>
        </w:tc>
      </w:tr>
      <w:tr w:rsidR="003942C4" w:rsidRPr="00EB77E6" w14:paraId="52681E51" w14:textId="77777777" w:rsidTr="00196F2F">
        <w:trPr>
          <w:cantSplit/>
        </w:trPr>
        <w:tc>
          <w:tcPr>
            <w:tcW w:w="1080" w:type="dxa"/>
            <w:gridSpan w:val="2"/>
            <w:shd w:val="clear" w:color="auto" w:fill="auto"/>
          </w:tcPr>
          <w:p w14:paraId="35DCF19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153</w:t>
            </w:r>
            <w:r w:rsidRPr="00A1056C">
              <w:rPr>
                <w:rFonts w:ascii="Arial" w:hAnsi="Arial" w:cs="Arial"/>
                <w:sz w:val="22"/>
                <w:szCs w:val="22"/>
                <w:lang w:val="en-GB"/>
              </w:rPr>
              <w:t>.</w:t>
            </w:r>
          </w:p>
        </w:tc>
        <w:tc>
          <w:tcPr>
            <w:tcW w:w="6860" w:type="dxa"/>
            <w:gridSpan w:val="3"/>
            <w:shd w:val="clear" w:color="auto" w:fill="auto"/>
          </w:tcPr>
          <w:p w14:paraId="782D5F95" w14:textId="7EA2CA52" w:rsidR="003942C4" w:rsidRDefault="006610D9" w:rsidP="00196F2F">
            <w:pPr>
              <w:spacing w:before="120" w:after="120"/>
              <w:jc w:val="both"/>
              <w:rPr>
                <w:rFonts w:ascii="Arial" w:hAnsi="Arial" w:cs="Arial"/>
                <w:color w:val="000000"/>
                <w:sz w:val="22"/>
                <w:szCs w:val="22"/>
                <w:lang w:val="en-GB"/>
              </w:rPr>
            </w:pPr>
            <w:r w:rsidRPr="006610D9">
              <w:rPr>
                <w:rFonts w:ascii="Arial" w:hAnsi="Arial" w:cs="Arial"/>
                <w:color w:val="000000"/>
                <w:sz w:val="22"/>
                <w:szCs w:val="22"/>
                <w:lang w:val="en-GB"/>
              </w:rPr>
              <w:t>The State Party reports on the legislative, regulatory and other measures taken for implementation of the Convention at the national level, including:</w:t>
            </w:r>
          </w:p>
          <w:p w14:paraId="7FB8D1A2" w14:textId="77777777" w:rsidR="003942C4" w:rsidRPr="008D7946" w:rsidRDefault="003942C4" w:rsidP="006610D9">
            <w:pPr>
              <w:pStyle w:val="U1"/>
              <w:widowControl/>
              <w:numPr>
                <w:ilvl w:val="0"/>
                <w:numId w:val="7"/>
              </w:numPr>
              <w:tabs>
                <w:tab w:val="clear" w:pos="1701"/>
              </w:tabs>
              <w:ind w:left="656" w:hanging="656"/>
              <w:jc w:val="both"/>
              <w:rPr>
                <w:lang w:val="en-GB"/>
              </w:rPr>
            </w:pPr>
            <w:r w:rsidRPr="008D7946">
              <w:rPr>
                <w:lang w:val="en-GB"/>
              </w:rPr>
              <w:t>drawing up of inventories of the intangible cultural heritage present in its territory, as described in Articles 11 and 12 of the Convention;</w:t>
            </w:r>
          </w:p>
          <w:p w14:paraId="704F3374" w14:textId="77777777" w:rsidR="003942C4" w:rsidRPr="008D7946" w:rsidRDefault="003942C4" w:rsidP="006610D9">
            <w:pPr>
              <w:pStyle w:val="U1"/>
              <w:widowControl/>
              <w:numPr>
                <w:ilvl w:val="0"/>
                <w:numId w:val="7"/>
              </w:numPr>
              <w:tabs>
                <w:tab w:val="clear" w:pos="1701"/>
              </w:tabs>
              <w:ind w:left="656" w:hanging="656"/>
              <w:jc w:val="both"/>
              <w:rPr>
                <w:lang w:val="en-GB"/>
              </w:rPr>
            </w:pPr>
            <w:r w:rsidRPr="008D7946">
              <w:rPr>
                <w:lang w:val="en-GB"/>
              </w:rPr>
              <w:t>other safeguarding measures as referred to in Articles 11 and 13 of the Convention, including:</w:t>
            </w:r>
          </w:p>
          <w:p w14:paraId="2975CFDE" w14:textId="24E70CC9" w:rsidR="003942C4" w:rsidRPr="00F3280F" w:rsidRDefault="006610D9" w:rsidP="006610D9">
            <w:pPr>
              <w:pStyle w:val="i"/>
              <w:numPr>
                <w:ilvl w:val="0"/>
                <w:numId w:val="9"/>
              </w:numPr>
              <w:tabs>
                <w:tab w:val="left" w:pos="1223"/>
              </w:tabs>
              <w:ind w:left="1223" w:hanging="567"/>
              <w:rPr>
                <w:w w:val="100"/>
              </w:rPr>
            </w:pPr>
            <w:r w:rsidRPr="006610D9">
              <w:rPr>
                <w:w w:val="100"/>
                <w:lang w:val="en-GB"/>
              </w:rPr>
              <w:t>adopting a general policy aimed at promoting the function of intangible cultural heritage in society and integrating its safeguarding into planning programmes;</w:t>
            </w:r>
          </w:p>
          <w:p w14:paraId="27B452B0" w14:textId="77777777" w:rsidR="003942C4" w:rsidRPr="00F3280F" w:rsidRDefault="003942C4" w:rsidP="006610D9">
            <w:pPr>
              <w:pStyle w:val="i"/>
              <w:numPr>
                <w:ilvl w:val="0"/>
                <w:numId w:val="9"/>
              </w:numPr>
              <w:tabs>
                <w:tab w:val="left" w:pos="1223"/>
              </w:tabs>
              <w:ind w:left="1223" w:hanging="567"/>
              <w:rPr>
                <w:w w:val="100"/>
              </w:rPr>
            </w:pPr>
            <w:r w:rsidRPr="00F3280F">
              <w:rPr>
                <w:w w:val="100"/>
              </w:rPr>
              <w:t>fostering scientific, technical and artistic studies with a view to effective safeguarding;</w:t>
            </w:r>
          </w:p>
          <w:p w14:paraId="4BD4F803" w14:textId="77777777" w:rsidR="003942C4" w:rsidRPr="00F3280F" w:rsidRDefault="003942C4" w:rsidP="006610D9">
            <w:pPr>
              <w:pStyle w:val="i"/>
              <w:numPr>
                <w:ilvl w:val="0"/>
                <w:numId w:val="9"/>
              </w:numPr>
              <w:tabs>
                <w:tab w:val="left" w:pos="1223"/>
              </w:tabs>
              <w:ind w:left="1223" w:hanging="567"/>
              <w:rPr>
                <w:color w:val="000000"/>
              </w:rPr>
            </w:pPr>
            <w:proofErr w:type="gramStart"/>
            <w:r w:rsidRPr="00F3280F">
              <w:rPr>
                <w:w w:val="100"/>
              </w:rPr>
              <w:t>facilitating</w:t>
            </w:r>
            <w:proofErr w:type="gramEnd"/>
            <w:r w:rsidRPr="00F3280F">
              <w:rPr>
                <w:w w:val="100"/>
              </w:rPr>
              <w:t>, to the extent possible, access to information relating to intangible cultural heritage while respecting customary practices governing access to specific aspects of it.</w:t>
            </w:r>
          </w:p>
        </w:tc>
        <w:tc>
          <w:tcPr>
            <w:tcW w:w="850" w:type="dxa"/>
            <w:gridSpan w:val="2"/>
          </w:tcPr>
          <w:p w14:paraId="443B6F45" w14:textId="77777777" w:rsidR="003942C4" w:rsidRPr="003B7AFE" w:rsidRDefault="003942C4" w:rsidP="00196F2F">
            <w:pPr>
              <w:spacing w:before="120" w:after="120"/>
              <w:jc w:val="right"/>
              <w:rPr>
                <w:rFonts w:ascii="Arial" w:hAnsi="Arial" w:cs="Arial"/>
                <w:sz w:val="22"/>
                <w:szCs w:val="22"/>
                <w:lang w:val="en-GB"/>
              </w:rPr>
            </w:pPr>
            <w:r w:rsidRPr="003B7AFE">
              <w:rPr>
                <w:rFonts w:ascii="Arial" w:hAnsi="Arial" w:cs="Arial"/>
                <w:sz w:val="22"/>
                <w:szCs w:val="22"/>
                <w:lang w:val="en-GB"/>
              </w:rPr>
              <w:t>153.</w:t>
            </w:r>
          </w:p>
        </w:tc>
        <w:tc>
          <w:tcPr>
            <w:tcW w:w="6661" w:type="dxa"/>
            <w:gridSpan w:val="2"/>
          </w:tcPr>
          <w:p w14:paraId="0876D8CE" w14:textId="64531D01" w:rsidR="003942C4" w:rsidRPr="00F3280F" w:rsidRDefault="00AC76DD" w:rsidP="00AC76DD">
            <w:pPr>
              <w:spacing w:before="120" w:after="120"/>
              <w:jc w:val="both"/>
            </w:pPr>
            <w:r>
              <w:rPr>
                <w:rFonts w:ascii="Arial" w:hAnsi="Arial" w:cs="Arial"/>
                <w:sz w:val="22"/>
                <w:szCs w:val="22"/>
                <w:lang w:val="en-GB"/>
              </w:rPr>
              <w:t>No change.</w:t>
            </w:r>
          </w:p>
        </w:tc>
      </w:tr>
      <w:tr w:rsidR="003942C4" w:rsidRPr="00EB77E6" w14:paraId="7D8350EE" w14:textId="77777777" w:rsidTr="00196F2F">
        <w:trPr>
          <w:cantSplit/>
        </w:trPr>
        <w:tc>
          <w:tcPr>
            <w:tcW w:w="1080" w:type="dxa"/>
            <w:gridSpan w:val="2"/>
            <w:shd w:val="clear" w:color="auto" w:fill="auto"/>
          </w:tcPr>
          <w:p w14:paraId="7F5FEE33"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154.</w:t>
            </w:r>
          </w:p>
        </w:tc>
        <w:tc>
          <w:tcPr>
            <w:tcW w:w="6860" w:type="dxa"/>
            <w:gridSpan w:val="3"/>
            <w:shd w:val="clear" w:color="auto" w:fill="auto"/>
          </w:tcPr>
          <w:p w14:paraId="1E42267F" w14:textId="1BF2CCB1" w:rsidR="003942C4" w:rsidRPr="00E8549D"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The State Party reports on the legislative, regulatory and other measures taken at the national level to strengthen institutional capacities for safeguarding intangible cultural heritage, as described in Article 13 of the Convention, including:</w:t>
            </w:r>
          </w:p>
          <w:p w14:paraId="6ACB954D" w14:textId="77777777" w:rsidR="003942C4" w:rsidRPr="008D7946" w:rsidRDefault="003942C4" w:rsidP="006610D9">
            <w:pPr>
              <w:pStyle w:val="U1"/>
              <w:widowControl/>
              <w:numPr>
                <w:ilvl w:val="0"/>
                <w:numId w:val="13"/>
              </w:numPr>
              <w:tabs>
                <w:tab w:val="clear" w:pos="1701"/>
              </w:tabs>
              <w:ind w:left="656" w:hanging="656"/>
              <w:jc w:val="both"/>
              <w:rPr>
                <w:lang w:val="en-GB"/>
              </w:rPr>
            </w:pPr>
            <w:r w:rsidRPr="008D7946">
              <w:rPr>
                <w:lang w:val="en-GB"/>
              </w:rPr>
              <w:t>designating or establishing one or more competent bodies for safeguarding its intangible cultural heritage;</w:t>
            </w:r>
          </w:p>
          <w:p w14:paraId="1F2B8989" w14:textId="77777777" w:rsidR="003942C4" w:rsidRPr="008D7946" w:rsidRDefault="003942C4" w:rsidP="006610D9">
            <w:pPr>
              <w:pStyle w:val="U1"/>
              <w:widowControl/>
              <w:numPr>
                <w:ilvl w:val="0"/>
                <w:numId w:val="13"/>
              </w:numPr>
              <w:tabs>
                <w:tab w:val="clear" w:pos="1701"/>
              </w:tabs>
              <w:ind w:left="656" w:hanging="656"/>
              <w:jc w:val="both"/>
              <w:rPr>
                <w:lang w:val="en-GB"/>
              </w:rPr>
            </w:pPr>
            <w:r w:rsidRPr="008D7946">
              <w:rPr>
                <w:lang w:val="en-GB"/>
              </w:rPr>
              <w:t>strengthening institutions for training in intangible cultural heritage management and transmission of this heritage;</w:t>
            </w:r>
          </w:p>
          <w:p w14:paraId="6448093C" w14:textId="77777777" w:rsidR="003942C4" w:rsidRPr="00334D1B" w:rsidRDefault="003942C4" w:rsidP="006610D9">
            <w:pPr>
              <w:pStyle w:val="U1"/>
              <w:widowControl/>
              <w:numPr>
                <w:ilvl w:val="0"/>
                <w:numId w:val="13"/>
              </w:numPr>
              <w:tabs>
                <w:tab w:val="clear" w:pos="1701"/>
              </w:tabs>
              <w:ind w:left="656" w:hanging="656"/>
              <w:jc w:val="both"/>
              <w:rPr>
                <w:lang w:val="en-GB"/>
              </w:rPr>
            </w:pPr>
            <w:proofErr w:type="gramStart"/>
            <w:r w:rsidRPr="008D7946">
              <w:rPr>
                <w:lang w:val="en-GB"/>
              </w:rPr>
              <w:t>establishing</w:t>
            </w:r>
            <w:proofErr w:type="gramEnd"/>
            <w:r w:rsidRPr="008D7946">
              <w:rPr>
                <w:lang w:val="en-GB"/>
              </w:rPr>
              <w:t xml:space="preserve"> documentation institutions for intangible cultural heritage and, to the extent possible, facilitating access to them.</w:t>
            </w:r>
          </w:p>
        </w:tc>
        <w:tc>
          <w:tcPr>
            <w:tcW w:w="850" w:type="dxa"/>
            <w:gridSpan w:val="2"/>
          </w:tcPr>
          <w:p w14:paraId="3A97330A" w14:textId="77777777" w:rsidR="003942C4" w:rsidRPr="00BA4171" w:rsidRDefault="003942C4" w:rsidP="00196F2F">
            <w:pPr>
              <w:spacing w:before="120" w:after="120"/>
              <w:jc w:val="right"/>
              <w:rPr>
                <w:rFonts w:ascii="Arial" w:hAnsi="Arial" w:cs="Arial"/>
                <w:sz w:val="22"/>
                <w:szCs w:val="22"/>
                <w:lang w:val="en-GB"/>
              </w:rPr>
            </w:pPr>
            <w:r w:rsidRPr="00710CE9">
              <w:rPr>
                <w:rFonts w:ascii="Arial" w:hAnsi="Arial" w:cs="Arial"/>
                <w:sz w:val="22"/>
                <w:szCs w:val="22"/>
                <w:lang w:val="en-GB"/>
              </w:rPr>
              <w:t>15</w:t>
            </w:r>
            <w:r>
              <w:rPr>
                <w:rFonts w:ascii="Arial" w:hAnsi="Arial" w:cs="Arial"/>
                <w:sz w:val="22"/>
                <w:szCs w:val="22"/>
                <w:lang w:val="en-GB"/>
              </w:rPr>
              <w:t>4</w:t>
            </w:r>
            <w:r w:rsidRPr="00710CE9">
              <w:rPr>
                <w:rFonts w:ascii="Arial" w:hAnsi="Arial" w:cs="Arial"/>
                <w:sz w:val="22"/>
                <w:szCs w:val="22"/>
                <w:lang w:val="en-GB"/>
              </w:rPr>
              <w:t>.</w:t>
            </w:r>
          </w:p>
        </w:tc>
        <w:tc>
          <w:tcPr>
            <w:tcW w:w="6661" w:type="dxa"/>
            <w:gridSpan w:val="2"/>
          </w:tcPr>
          <w:p w14:paraId="2DF3D01A" w14:textId="46B9C919" w:rsidR="003942C4" w:rsidRPr="00D47CFC" w:rsidRDefault="00AC76DD" w:rsidP="00AC76DD">
            <w:pPr>
              <w:spacing w:before="120" w:after="120"/>
              <w:jc w:val="both"/>
              <w:rPr>
                <w:u w:val="single"/>
                <w:lang w:val="en-GB"/>
              </w:rPr>
            </w:pPr>
            <w:r>
              <w:rPr>
                <w:rFonts w:ascii="Arial" w:hAnsi="Arial" w:cs="Arial"/>
                <w:sz w:val="22"/>
                <w:szCs w:val="22"/>
                <w:lang w:val="en-GB"/>
              </w:rPr>
              <w:t>No change.</w:t>
            </w:r>
          </w:p>
        </w:tc>
      </w:tr>
      <w:tr w:rsidR="003942C4" w:rsidRPr="00EB77E6" w14:paraId="593F8DC9" w14:textId="77777777" w:rsidTr="00196F2F">
        <w:trPr>
          <w:cantSplit/>
        </w:trPr>
        <w:tc>
          <w:tcPr>
            <w:tcW w:w="1080" w:type="dxa"/>
            <w:gridSpan w:val="2"/>
            <w:shd w:val="clear" w:color="auto" w:fill="auto"/>
          </w:tcPr>
          <w:p w14:paraId="31C4B25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155</w:t>
            </w:r>
            <w:r w:rsidRPr="00A1056C">
              <w:rPr>
                <w:rFonts w:ascii="Arial" w:hAnsi="Arial" w:cs="Arial"/>
                <w:sz w:val="22"/>
                <w:szCs w:val="22"/>
                <w:lang w:val="en-GB"/>
              </w:rPr>
              <w:t>.</w:t>
            </w:r>
          </w:p>
        </w:tc>
        <w:tc>
          <w:tcPr>
            <w:tcW w:w="6860" w:type="dxa"/>
            <w:gridSpan w:val="3"/>
            <w:shd w:val="clear" w:color="auto" w:fill="auto"/>
          </w:tcPr>
          <w:p w14:paraId="61FACBC8" w14:textId="41F6BC37" w:rsidR="003942C4" w:rsidRPr="0096363C"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The State Party reports on the legislative, regulatory and other measures taken at the national level to ensure greater recognition of, respect for and enhancement of intangible cultural heritage, in particular those referred to in Article 14 of the Convention:</w:t>
            </w:r>
          </w:p>
          <w:p w14:paraId="6D68B47C" w14:textId="77777777" w:rsidR="003942C4" w:rsidRDefault="003942C4" w:rsidP="006610D9">
            <w:pPr>
              <w:pStyle w:val="U1"/>
              <w:widowControl/>
              <w:numPr>
                <w:ilvl w:val="0"/>
                <w:numId w:val="15"/>
              </w:numPr>
              <w:tabs>
                <w:tab w:val="clear" w:pos="1701"/>
              </w:tabs>
              <w:ind w:left="656" w:hanging="656"/>
              <w:jc w:val="both"/>
              <w:rPr>
                <w:lang w:val="en-GB"/>
              </w:rPr>
            </w:pPr>
            <w:r w:rsidRPr="00C16210">
              <w:rPr>
                <w:lang w:val="en-GB"/>
              </w:rPr>
              <w:t>educational, awareness-raising and information programmes;</w:t>
            </w:r>
          </w:p>
          <w:p w14:paraId="64E0EA69" w14:textId="77777777" w:rsidR="003942C4" w:rsidRPr="00C16210" w:rsidRDefault="003942C4" w:rsidP="006610D9">
            <w:pPr>
              <w:pStyle w:val="U1"/>
              <w:widowControl/>
              <w:numPr>
                <w:ilvl w:val="0"/>
                <w:numId w:val="15"/>
              </w:numPr>
              <w:tabs>
                <w:tab w:val="clear" w:pos="1701"/>
              </w:tabs>
              <w:ind w:left="656" w:hanging="656"/>
              <w:jc w:val="both"/>
              <w:rPr>
                <w:lang w:val="en-GB"/>
              </w:rPr>
            </w:pPr>
            <w:r w:rsidRPr="00C16210">
              <w:rPr>
                <w:lang w:val="en-GB"/>
              </w:rPr>
              <w:t>educational and training programmes within the communities and groups concerned;</w:t>
            </w:r>
          </w:p>
          <w:p w14:paraId="238DB79B" w14:textId="77777777" w:rsidR="003942C4" w:rsidRPr="0096363C" w:rsidRDefault="003942C4" w:rsidP="006610D9">
            <w:pPr>
              <w:pStyle w:val="U1"/>
              <w:widowControl/>
              <w:numPr>
                <w:ilvl w:val="0"/>
                <w:numId w:val="15"/>
              </w:numPr>
              <w:tabs>
                <w:tab w:val="clear" w:pos="1701"/>
              </w:tabs>
              <w:ind w:left="656" w:hanging="656"/>
              <w:jc w:val="both"/>
              <w:rPr>
                <w:lang w:val="en-GB"/>
              </w:rPr>
            </w:pPr>
            <w:r w:rsidRPr="0096363C">
              <w:rPr>
                <w:lang w:val="en-GB"/>
              </w:rPr>
              <w:t>capacity-building activities for the safeguarding of the intangible cultural heritage;</w:t>
            </w:r>
          </w:p>
          <w:p w14:paraId="0EC979A6" w14:textId="77777777" w:rsidR="003942C4" w:rsidRDefault="003942C4" w:rsidP="006610D9">
            <w:pPr>
              <w:pStyle w:val="U1"/>
              <w:widowControl/>
              <w:numPr>
                <w:ilvl w:val="0"/>
                <w:numId w:val="15"/>
              </w:numPr>
              <w:tabs>
                <w:tab w:val="clear" w:pos="1701"/>
              </w:tabs>
              <w:ind w:left="656" w:hanging="656"/>
              <w:jc w:val="both"/>
              <w:rPr>
                <w:lang w:val="en-GB"/>
              </w:rPr>
            </w:pPr>
            <w:r w:rsidRPr="0096363C">
              <w:rPr>
                <w:lang w:val="en-GB"/>
              </w:rPr>
              <w:t>non-formal means of transmitting knowledge;</w:t>
            </w:r>
          </w:p>
          <w:p w14:paraId="624C7B97" w14:textId="77777777" w:rsidR="003942C4" w:rsidRPr="00334D1B" w:rsidRDefault="003942C4" w:rsidP="006610D9">
            <w:pPr>
              <w:pStyle w:val="U1"/>
              <w:widowControl/>
              <w:numPr>
                <w:ilvl w:val="0"/>
                <w:numId w:val="15"/>
              </w:numPr>
              <w:tabs>
                <w:tab w:val="clear" w:pos="1701"/>
              </w:tabs>
              <w:ind w:left="656" w:hanging="656"/>
              <w:jc w:val="both"/>
              <w:rPr>
                <w:lang w:val="en-GB"/>
              </w:rPr>
            </w:pPr>
            <w:proofErr w:type="gramStart"/>
            <w:r w:rsidRPr="00334D1B">
              <w:rPr>
                <w:lang w:val="en-GB"/>
              </w:rPr>
              <w:t>education</w:t>
            </w:r>
            <w:proofErr w:type="gramEnd"/>
            <w:r w:rsidRPr="00334D1B">
              <w:rPr>
                <w:lang w:val="en-GB"/>
              </w:rPr>
              <w:t xml:space="preserve"> for the protection of natural spaces and places of memory.</w:t>
            </w:r>
          </w:p>
        </w:tc>
        <w:tc>
          <w:tcPr>
            <w:tcW w:w="850" w:type="dxa"/>
            <w:gridSpan w:val="2"/>
          </w:tcPr>
          <w:p w14:paraId="2B2E4917"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155</w:t>
            </w:r>
            <w:r w:rsidRPr="00BA4171">
              <w:rPr>
                <w:rFonts w:ascii="Arial" w:hAnsi="Arial" w:cs="Arial"/>
                <w:sz w:val="22"/>
                <w:szCs w:val="22"/>
                <w:lang w:val="en-GB"/>
              </w:rPr>
              <w:t>.</w:t>
            </w:r>
          </w:p>
        </w:tc>
        <w:tc>
          <w:tcPr>
            <w:tcW w:w="6661" w:type="dxa"/>
            <w:gridSpan w:val="2"/>
          </w:tcPr>
          <w:p w14:paraId="59A63B58" w14:textId="249F88EE" w:rsidR="003942C4" w:rsidRPr="00BA4171" w:rsidRDefault="00AC76DD" w:rsidP="00AC76DD">
            <w:pPr>
              <w:spacing w:before="120" w:after="120"/>
              <w:jc w:val="both"/>
              <w:rPr>
                <w:lang w:val="en-GB"/>
              </w:rPr>
            </w:pPr>
            <w:r>
              <w:rPr>
                <w:rFonts w:ascii="Arial" w:hAnsi="Arial" w:cs="Arial"/>
                <w:sz w:val="22"/>
                <w:szCs w:val="22"/>
                <w:lang w:val="en-GB"/>
              </w:rPr>
              <w:t>No change.</w:t>
            </w:r>
          </w:p>
        </w:tc>
      </w:tr>
      <w:tr w:rsidR="003942C4" w:rsidRPr="000536A2" w14:paraId="63A86855" w14:textId="77777777" w:rsidTr="00196F2F">
        <w:trPr>
          <w:cantSplit/>
        </w:trPr>
        <w:tc>
          <w:tcPr>
            <w:tcW w:w="1080" w:type="dxa"/>
            <w:gridSpan w:val="2"/>
            <w:shd w:val="clear" w:color="auto" w:fill="auto"/>
          </w:tcPr>
          <w:p w14:paraId="762F4AA8"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156</w:t>
            </w:r>
            <w:r w:rsidRPr="00A1056C">
              <w:rPr>
                <w:rFonts w:ascii="Arial" w:hAnsi="Arial" w:cs="Arial"/>
                <w:sz w:val="22"/>
                <w:szCs w:val="22"/>
                <w:lang w:val="en-GB"/>
              </w:rPr>
              <w:t>.</w:t>
            </w:r>
          </w:p>
        </w:tc>
        <w:tc>
          <w:tcPr>
            <w:tcW w:w="6860" w:type="dxa"/>
            <w:gridSpan w:val="3"/>
            <w:shd w:val="clear" w:color="auto" w:fill="auto"/>
          </w:tcPr>
          <w:p w14:paraId="0F500BCA"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reports on the measures taken by it at the bilateral, </w:t>
            </w:r>
            <w:proofErr w:type="spellStart"/>
            <w:r w:rsidRPr="0096363C">
              <w:rPr>
                <w:rFonts w:ascii="Arial" w:hAnsi="Arial" w:cs="Arial"/>
                <w:sz w:val="22"/>
                <w:szCs w:val="22"/>
                <w:lang w:val="en-GB"/>
              </w:rPr>
              <w:t>subregional</w:t>
            </w:r>
            <w:proofErr w:type="spellEnd"/>
            <w:r w:rsidRPr="0096363C">
              <w:rPr>
                <w:rFonts w:ascii="Arial" w:hAnsi="Arial" w:cs="Arial"/>
                <w:sz w:val="22"/>
                <w:szCs w:val="22"/>
                <w:lang w:val="en-GB"/>
              </w:rPr>
              <w:t>, regional and international levels for the implementation of the Convention, including measures of international cooperation such as the exchange of information and experience, and other joint initiatives, as referred to in Article 19 of the Convention.</w:t>
            </w:r>
          </w:p>
        </w:tc>
        <w:tc>
          <w:tcPr>
            <w:tcW w:w="850" w:type="dxa"/>
            <w:gridSpan w:val="2"/>
          </w:tcPr>
          <w:p w14:paraId="0CE1087F"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156</w:t>
            </w:r>
            <w:r w:rsidRPr="00BA4171">
              <w:rPr>
                <w:rFonts w:ascii="Arial" w:hAnsi="Arial" w:cs="Arial"/>
                <w:sz w:val="22"/>
                <w:szCs w:val="22"/>
                <w:lang w:val="en-GB"/>
              </w:rPr>
              <w:t>.</w:t>
            </w:r>
          </w:p>
        </w:tc>
        <w:tc>
          <w:tcPr>
            <w:tcW w:w="6661" w:type="dxa"/>
            <w:gridSpan w:val="2"/>
          </w:tcPr>
          <w:p w14:paraId="300FA7E2" w14:textId="2E7DDEE6" w:rsidR="003942C4" w:rsidRPr="00BA4171" w:rsidRDefault="00713B9D" w:rsidP="00713B9D">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EB77E6" w14:paraId="48B4DAA3" w14:textId="77777777" w:rsidTr="00196F2F">
        <w:trPr>
          <w:cantSplit/>
        </w:trPr>
        <w:tc>
          <w:tcPr>
            <w:tcW w:w="1080" w:type="dxa"/>
            <w:gridSpan w:val="2"/>
            <w:shd w:val="clear" w:color="auto" w:fill="auto"/>
          </w:tcPr>
          <w:p w14:paraId="4EB77FE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157</w:t>
            </w:r>
            <w:r w:rsidRPr="00A1056C">
              <w:rPr>
                <w:rFonts w:ascii="Arial" w:hAnsi="Arial" w:cs="Arial"/>
                <w:sz w:val="22"/>
                <w:szCs w:val="22"/>
                <w:lang w:val="en-GB"/>
              </w:rPr>
              <w:t>.</w:t>
            </w:r>
          </w:p>
        </w:tc>
        <w:tc>
          <w:tcPr>
            <w:tcW w:w="6860" w:type="dxa"/>
            <w:gridSpan w:val="3"/>
            <w:shd w:val="clear" w:color="auto" w:fill="auto"/>
          </w:tcPr>
          <w:p w14:paraId="70B2F139" w14:textId="00C0FB9B" w:rsidR="003942C4" w:rsidRPr="0096363C"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The State Party reports on the current status of all elements of intangible cultural heritage present in its territory that have been inscribed on the Representative List of the Intangible Cultural Heritage of Humanity. 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such reports, which shall address, for each element concerned:</w:t>
            </w:r>
          </w:p>
          <w:p w14:paraId="1BDD00E9"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element’s social and cultural functions;</w:t>
            </w:r>
          </w:p>
          <w:p w14:paraId="08789F06"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an assessment of its viability and the current risks it faces, if any;</w:t>
            </w:r>
          </w:p>
          <w:p w14:paraId="16795B62" w14:textId="77777777" w:rsidR="003942C4" w:rsidRPr="0096363C"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its contribution to the goals of the List;</w:t>
            </w:r>
          </w:p>
          <w:p w14:paraId="48B38CE7" w14:textId="77777777" w:rsidR="003942C4" w:rsidRDefault="003942C4" w:rsidP="006610D9">
            <w:pPr>
              <w:numPr>
                <w:ilvl w:val="0"/>
                <w:numId w:val="10"/>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efforts to promote or reinforce the element, particularly the implementation of any measures that might have been necessary as a consequence of its inscription;</w:t>
            </w:r>
          </w:p>
          <w:p w14:paraId="2B314CA4" w14:textId="6E9AC389" w:rsidR="003942C4" w:rsidRPr="00710CE9" w:rsidRDefault="006610D9" w:rsidP="006610D9">
            <w:pPr>
              <w:numPr>
                <w:ilvl w:val="0"/>
                <w:numId w:val="10"/>
              </w:numPr>
              <w:spacing w:before="120" w:after="120"/>
              <w:ind w:left="656" w:hanging="656"/>
              <w:jc w:val="both"/>
              <w:rPr>
                <w:rFonts w:ascii="Arial" w:hAnsi="Arial" w:cs="Arial"/>
                <w:sz w:val="22"/>
                <w:szCs w:val="22"/>
                <w:lang w:val="en-GB"/>
              </w:rPr>
            </w:pPr>
            <w:proofErr w:type="gramStart"/>
            <w:r w:rsidRPr="006610D9">
              <w:rPr>
                <w:rFonts w:ascii="Arial" w:hAnsi="Arial" w:cs="Arial"/>
                <w:sz w:val="22"/>
                <w:szCs w:val="22"/>
                <w:lang w:val="en-GB"/>
              </w:rPr>
              <w:t>the</w:t>
            </w:r>
            <w:proofErr w:type="gramEnd"/>
            <w:r w:rsidRPr="006610D9">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c>
          <w:tcPr>
            <w:tcW w:w="850" w:type="dxa"/>
            <w:gridSpan w:val="2"/>
          </w:tcPr>
          <w:p w14:paraId="1D55F770"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157</w:t>
            </w:r>
            <w:r w:rsidRPr="00BA4171">
              <w:rPr>
                <w:rFonts w:ascii="Arial" w:hAnsi="Arial" w:cs="Arial"/>
                <w:sz w:val="22"/>
                <w:szCs w:val="22"/>
                <w:lang w:val="en-GB"/>
              </w:rPr>
              <w:t>.</w:t>
            </w:r>
          </w:p>
        </w:tc>
        <w:tc>
          <w:tcPr>
            <w:tcW w:w="6661" w:type="dxa"/>
            <w:gridSpan w:val="2"/>
          </w:tcPr>
          <w:p w14:paraId="3603BEA0" w14:textId="2AF5E848" w:rsidR="003942C4" w:rsidRPr="00BA4171" w:rsidRDefault="00AC76DD" w:rsidP="00AC76DD">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BA4171" w14:paraId="4E165BFA" w14:textId="77777777" w:rsidTr="00196F2F">
        <w:trPr>
          <w:cantSplit/>
        </w:trPr>
        <w:tc>
          <w:tcPr>
            <w:tcW w:w="1080" w:type="dxa"/>
            <w:gridSpan w:val="2"/>
            <w:shd w:val="clear" w:color="auto" w:fill="auto"/>
          </w:tcPr>
          <w:p w14:paraId="5D34893D"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158</w:t>
            </w:r>
            <w:r w:rsidRPr="00A1056C">
              <w:rPr>
                <w:rFonts w:ascii="Arial" w:hAnsi="Arial" w:cs="Arial"/>
                <w:sz w:val="22"/>
                <w:szCs w:val="22"/>
                <w:lang w:val="en-GB"/>
              </w:rPr>
              <w:t>.</w:t>
            </w:r>
          </w:p>
        </w:tc>
        <w:tc>
          <w:tcPr>
            <w:tcW w:w="6860" w:type="dxa"/>
            <w:gridSpan w:val="3"/>
            <w:shd w:val="clear" w:color="auto" w:fill="auto"/>
          </w:tcPr>
          <w:p w14:paraId="4381C3D3" w14:textId="77777777"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The State Party reports on the institutional context for the element inscribed on the Representative List of the Intangible Cultural Heritage of Humanity, including:</w:t>
            </w:r>
          </w:p>
          <w:p w14:paraId="6442473F" w14:textId="77777777" w:rsidR="003942C4" w:rsidRDefault="003942C4" w:rsidP="006610D9">
            <w:pPr>
              <w:numPr>
                <w:ilvl w:val="0"/>
                <w:numId w:val="18"/>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competent body(</w:t>
            </w:r>
            <w:proofErr w:type="spellStart"/>
            <w:r w:rsidRPr="0096363C">
              <w:rPr>
                <w:rFonts w:ascii="Arial" w:hAnsi="Arial" w:cs="Arial"/>
                <w:sz w:val="22"/>
                <w:szCs w:val="22"/>
                <w:lang w:val="en-GB"/>
              </w:rPr>
              <w:t>ies</w:t>
            </w:r>
            <w:proofErr w:type="spellEnd"/>
            <w:r w:rsidRPr="0096363C">
              <w:rPr>
                <w:rFonts w:ascii="Arial" w:hAnsi="Arial" w:cs="Arial"/>
                <w:sz w:val="22"/>
                <w:szCs w:val="22"/>
                <w:lang w:val="en-GB"/>
              </w:rPr>
              <w:t>) involved in its management and/or safeguarding;</w:t>
            </w:r>
          </w:p>
          <w:p w14:paraId="5DB434AB" w14:textId="77777777" w:rsidR="003942C4" w:rsidRPr="00710CE9" w:rsidRDefault="003942C4" w:rsidP="006610D9">
            <w:pPr>
              <w:numPr>
                <w:ilvl w:val="0"/>
                <w:numId w:val="18"/>
              </w:numPr>
              <w:spacing w:before="120" w:after="120"/>
              <w:ind w:left="656" w:hanging="656"/>
              <w:jc w:val="both"/>
              <w:rPr>
                <w:rFonts w:ascii="Arial" w:hAnsi="Arial" w:cs="Arial"/>
                <w:sz w:val="22"/>
                <w:szCs w:val="22"/>
                <w:lang w:val="en-GB"/>
              </w:rPr>
            </w:pPr>
            <w:proofErr w:type="gramStart"/>
            <w:r w:rsidRPr="0096363C">
              <w:rPr>
                <w:rFonts w:ascii="Arial" w:hAnsi="Arial" w:cs="Arial"/>
                <w:sz w:val="22"/>
                <w:szCs w:val="22"/>
                <w:lang w:val="en-GB"/>
              </w:rPr>
              <w:t>the</w:t>
            </w:r>
            <w:proofErr w:type="gramEnd"/>
            <w:r w:rsidRPr="0096363C">
              <w:rPr>
                <w:rFonts w:ascii="Arial" w:hAnsi="Arial" w:cs="Arial"/>
                <w:sz w:val="22"/>
                <w:szCs w:val="22"/>
                <w:lang w:val="en-GB"/>
              </w:rPr>
              <w:t xml:space="preserve"> organization(s) of the community or group concerned with the element and its safeguarding.</w:t>
            </w:r>
          </w:p>
        </w:tc>
        <w:tc>
          <w:tcPr>
            <w:tcW w:w="850" w:type="dxa"/>
            <w:gridSpan w:val="2"/>
          </w:tcPr>
          <w:p w14:paraId="65557CD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158</w:t>
            </w:r>
            <w:r w:rsidRPr="00BA4171">
              <w:rPr>
                <w:rFonts w:ascii="Arial" w:hAnsi="Arial" w:cs="Arial"/>
                <w:sz w:val="22"/>
                <w:szCs w:val="22"/>
                <w:lang w:val="en-GB"/>
              </w:rPr>
              <w:t>.</w:t>
            </w:r>
          </w:p>
        </w:tc>
        <w:tc>
          <w:tcPr>
            <w:tcW w:w="6661" w:type="dxa"/>
            <w:gridSpan w:val="2"/>
          </w:tcPr>
          <w:p w14:paraId="1BA2C2C2"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453F74" w14:paraId="302A18E8" w14:textId="77777777" w:rsidTr="00196F2F">
        <w:trPr>
          <w:cantSplit/>
        </w:trPr>
        <w:tc>
          <w:tcPr>
            <w:tcW w:w="1080" w:type="dxa"/>
            <w:gridSpan w:val="2"/>
            <w:shd w:val="clear" w:color="auto" w:fill="auto"/>
          </w:tcPr>
          <w:p w14:paraId="4AD354F2"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159</w:t>
            </w:r>
            <w:r w:rsidRPr="00A1056C">
              <w:rPr>
                <w:rFonts w:ascii="Arial" w:hAnsi="Arial" w:cs="Arial"/>
                <w:sz w:val="22"/>
                <w:szCs w:val="22"/>
                <w:lang w:val="en-GB"/>
              </w:rPr>
              <w:t>.</w:t>
            </w:r>
          </w:p>
        </w:tc>
        <w:tc>
          <w:tcPr>
            <w:tcW w:w="6860" w:type="dxa"/>
            <w:gridSpan w:val="3"/>
            <w:shd w:val="clear" w:color="auto" w:fill="auto"/>
          </w:tcPr>
          <w:p w14:paraId="286E9A90"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States Parties shall respond, in a timely manner, to specific requests addressed to them by the Committee for additional information, if needed between the deadlines set out in paragraph 152 above.</w:t>
            </w:r>
          </w:p>
        </w:tc>
        <w:tc>
          <w:tcPr>
            <w:tcW w:w="850" w:type="dxa"/>
            <w:gridSpan w:val="2"/>
          </w:tcPr>
          <w:p w14:paraId="362C473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159</w:t>
            </w:r>
            <w:r w:rsidRPr="00BA4171">
              <w:rPr>
                <w:rFonts w:ascii="Arial" w:hAnsi="Arial" w:cs="Arial"/>
                <w:sz w:val="22"/>
                <w:szCs w:val="22"/>
                <w:lang w:val="en-GB"/>
              </w:rPr>
              <w:t>.</w:t>
            </w:r>
          </w:p>
        </w:tc>
        <w:tc>
          <w:tcPr>
            <w:tcW w:w="6661" w:type="dxa"/>
            <w:gridSpan w:val="2"/>
          </w:tcPr>
          <w:p w14:paraId="5BB454E7" w14:textId="23D56007" w:rsidR="003942C4" w:rsidRPr="00BA4171" w:rsidRDefault="00266661" w:rsidP="00126174">
            <w:pPr>
              <w:spacing w:before="120" w:after="120"/>
              <w:jc w:val="both"/>
              <w:rPr>
                <w:rFonts w:ascii="Arial" w:hAnsi="Arial" w:cs="Arial"/>
                <w:sz w:val="22"/>
                <w:szCs w:val="22"/>
                <w:lang w:val="en-GB"/>
              </w:rPr>
            </w:pPr>
            <w:r w:rsidRPr="0096363C">
              <w:rPr>
                <w:rFonts w:ascii="Arial" w:hAnsi="Arial" w:cs="Arial"/>
                <w:sz w:val="22"/>
                <w:szCs w:val="22"/>
                <w:lang w:val="en-GB"/>
              </w:rPr>
              <w:t xml:space="preserve">States Parties shall respond, in a timely manner, to specific requests addressed to them by the Committee for additional information, if needed </w:t>
            </w:r>
            <w:r w:rsidRPr="00266661">
              <w:rPr>
                <w:rFonts w:ascii="Arial" w:hAnsi="Arial" w:cs="Arial"/>
                <w:b/>
                <w:sz w:val="22"/>
                <w:szCs w:val="22"/>
                <w:u w:val="single"/>
                <w:lang w:val="en-GB"/>
              </w:rPr>
              <w:t xml:space="preserve">and independently </w:t>
            </w:r>
            <w:r w:rsidR="00126174">
              <w:rPr>
                <w:rFonts w:ascii="Arial" w:hAnsi="Arial" w:cs="Arial"/>
                <w:b/>
                <w:sz w:val="22"/>
                <w:szCs w:val="22"/>
                <w:u w:val="single"/>
                <w:lang w:val="en-GB"/>
              </w:rPr>
              <w:t>of</w:t>
            </w:r>
            <w:r w:rsidR="00126174" w:rsidRPr="00266661">
              <w:rPr>
                <w:rFonts w:ascii="Arial" w:hAnsi="Arial" w:cs="Arial"/>
                <w:b/>
                <w:sz w:val="22"/>
                <w:szCs w:val="22"/>
                <w:u w:val="single"/>
                <w:lang w:val="en-GB"/>
              </w:rPr>
              <w:t xml:space="preserve"> </w:t>
            </w:r>
            <w:r w:rsidRPr="00266661">
              <w:rPr>
                <w:rFonts w:ascii="Arial" w:hAnsi="Arial" w:cs="Arial"/>
                <w:b/>
                <w:sz w:val="22"/>
                <w:szCs w:val="22"/>
                <w:u w:val="single"/>
                <w:lang w:val="en-GB"/>
              </w:rPr>
              <w:t>the regional cycle set out by the Committee</w:t>
            </w:r>
            <w:r w:rsidR="00126174">
              <w:rPr>
                <w:rFonts w:ascii="Arial" w:hAnsi="Arial" w:cs="Arial"/>
                <w:b/>
                <w:sz w:val="22"/>
                <w:szCs w:val="22"/>
                <w:u w:val="single"/>
                <w:lang w:val="en-GB"/>
              </w:rPr>
              <w:t>,</w:t>
            </w:r>
            <w:r>
              <w:rPr>
                <w:rFonts w:ascii="Arial" w:hAnsi="Arial" w:cs="Arial"/>
                <w:sz w:val="22"/>
                <w:szCs w:val="22"/>
                <w:lang w:val="en-GB"/>
              </w:rPr>
              <w:t xml:space="preserve"> </w:t>
            </w:r>
            <w:r w:rsidRPr="00266661">
              <w:rPr>
                <w:rFonts w:ascii="Arial" w:hAnsi="Arial" w:cs="Arial"/>
                <w:strike/>
                <w:sz w:val="22"/>
                <w:szCs w:val="22"/>
                <w:lang w:val="en-GB"/>
              </w:rPr>
              <w:t>between the deadlines</w:t>
            </w:r>
            <w:r w:rsidRPr="0096363C">
              <w:rPr>
                <w:rFonts w:ascii="Arial" w:hAnsi="Arial" w:cs="Arial"/>
                <w:sz w:val="22"/>
                <w:szCs w:val="22"/>
                <w:lang w:val="en-GB"/>
              </w:rPr>
              <w:t xml:space="preserve"> </w:t>
            </w:r>
            <w:r w:rsidRPr="00266661">
              <w:rPr>
                <w:rFonts w:ascii="Arial" w:hAnsi="Arial" w:cs="Arial"/>
                <w:b/>
                <w:sz w:val="22"/>
                <w:szCs w:val="22"/>
                <w:u w:val="single"/>
                <w:lang w:val="en-GB"/>
              </w:rPr>
              <w:t>in compliance with</w:t>
            </w:r>
            <w:r>
              <w:rPr>
                <w:rFonts w:ascii="Arial" w:hAnsi="Arial" w:cs="Arial"/>
                <w:sz w:val="22"/>
                <w:szCs w:val="22"/>
                <w:lang w:val="en-GB"/>
              </w:rPr>
              <w:t xml:space="preserve"> </w:t>
            </w:r>
            <w:r w:rsidRPr="0096363C">
              <w:rPr>
                <w:rFonts w:ascii="Arial" w:hAnsi="Arial" w:cs="Arial"/>
                <w:sz w:val="22"/>
                <w:szCs w:val="22"/>
                <w:lang w:val="en-GB"/>
              </w:rPr>
              <w:t>paragraph 152 above.</w:t>
            </w:r>
          </w:p>
        </w:tc>
      </w:tr>
      <w:tr w:rsidR="003942C4" w:rsidRPr="00BA4171" w14:paraId="2C5C2A37" w14:textId="77777777" w:rsidTr="00196F2F">
        <w:trPr>
          <w:cantSplit/>
        </w:trPr>
        <w:tc>
          <w:tcPr>
            <w:tcW w:w="1080" w:type="dxa"/>
            <w:gridSpan w:val="2"/>
            <w:shd w:val="clear" w:color="auto" w:fill="auto"/>
          </w:tcPr>
          <w:p w14:paraId="5A0A40D7"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V.2</w:t>
            </w:r>
          </w:p>
        </w:tc>
        <w:tc>
          <w:tcPr>
            <w:tcW w:w="6860" w:type="dxa"/>
            <w:gridSpan w:val="3"/>
            <w:shd w:val="clear" w:color="auto" w:fill="auto"/>
          </w:tcPr>
          <w:p w14:paraId="566659A9" w14:textId="77777777" w:rsidR="003942C4" w:rsidRPr="00E717A3" w:rsidRDefault="003942C4" w:rsidP="00196F2F">
            <w:pPr>
              <w:spacing w:before="120" w:after="120"/>
              <w:jc w:val="both"/>
              <w:rPr>
                <w:rFonts w:ascii="Arial" w:hAnsi="Arial" w:cs="Arial"/>
                <w:lang w:val="en-GB"/>
              </w:rPr>
            </w:pPr>
            <w:r w:rsidRPr="0096363C">
              <w:rPr>
                <w:rFonts w:ascii="Arial" w:hAnsi="Arial" w:cs="Arial"/>
                <w:b/>
                <w:bCs/>
                <w:lang w:val="en-GB"/>
              </w:rPr>
              <w:t>Reports by States Parties on elements inscribed on the List of Intangible Cultural Heritage in Need of Urgent Safeguarding</w:t>
            </w:r>
          </w:p>
        </w:tc>
        <w:tc>
          <w:tcPr>
            <w:tcW w:w="850" w:type="dxa"/>
            <w:gridSpan w:val="2"/>
          </w:tcPr>
          <w:p w14:paraId="2F8A9544"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V.2</w:t>
            </w:r>
          </w:p>
        </w:tc>
        <w:tc>
          <w:tcPr>
            <w:tcW w:w="6661" w:type="dxa"/>
            <w:gridSpan w:val="2"/>
          </w:tcPr>
          <w:p w14:paraId="728D289E"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BA4171" w14:paraId="38ABCA2A" w14:textId="77777777" w:rsidTr="00196F2F">
        <w:trPr>
          <w:cantSplit/>
        </w:trPr>
        <w:tc>
          <w:tcPr>
            <w:tcW w:w="1080" w:type="dxa"/>
            <w:gridSpan w:val="2"/>
            <w:shd w:val="clear" w:color="auto" w:fill="auto"/>
          </w:tcPr>
          <w:p w14:paraId="66CC3A59"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160</w:t>
            </w:r>
            <w:r w:rsidRPr="00A1056C">
              <w:rPr>
                <w:rFonts w:ascii="Arial" w:hAnsi="Arial" w:cs="Arial"/>
                <w:sz w:val="22"/>
                <w:szCs w:val="22"/>
                <w:lang w:val="en-GB"/>
              </w:rPr>
              <w:t>.</w:t>
            </w:r>
          </w:p>
        </w:tc>
        <w:tc>
          <w:tcPr>
            <w:tcW w:w="6860" w:type="dxa"/>
            <w:gridSpan w:val="3"/>
            <w:shd w:val="clear" w:color="auto" w:fill="auto"/>
          </w:tcPr>
          <w:p w14:paraId="43E75547" w14:textId="7C304B20"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Each State Party shall submit to the Committee reports on the status of elements of intangible cultural heritage present in its territory that have been inscribed on the List of Intangible Cultural Heritage in Need of Urgent Safeguarding at its request or, in cases of extreme urgency, after consultation with it. The State Party shall endeavour to involve as broadly as possible the communities, groups and, where applicable, individuals concerned as well as relevant non-governmental organizations during the process of preparation of such reports.</w:t>
            </w:r>
          </w:p>
        </w:tc>
        <w:tc>
          <w:tcPr>
            <w:tcW w:w="850" w:type="dxa"/>
            <w:gridSpan w:val="2"/>
          </w:tcPr>
          <w:p w14:paraId="1CBF62AE"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160</w:t>
            </w:r>
            <w:r w:rsidRPr="00BA4171">
              <w:rPr>
                <w:rFonts w:ascii="Arial" w:hAnsi="Arial" w:cs="Arial"/>
                <w:sz w:val="22"/>
                <w:szCs w:val="22"/>
                <w:lang w:val="en-GB"/>
              </w:rPr>
              <w:t>.</w:t>
            </w:r>
          </w:p>
        </w:tc>
        <w:tc>
          <w:tcPr>
            <w:tcW w:w="6661" w:type="dxa"/>
            <w:gridSpan w:val="2"/>
          </w:tcPr>
          <w:p w14:paraId="75397789" w14:textId="23BD49AB" w:rsidR="003942C4" w:rsidRPr="00BA4171" w:rsidRDefault="00266661" w:rsidP="00266661">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453F74" w14:paraId="62C63FE9" w14:textId="77777777" w:rsidTr="00196F2F">
        <w:trPr>
          <w:cantSplit/>
        </w:trPr>
        <w:tc>
          <w:tcPr>
            <w:tcW w:w="1080" w:type="dxa"/>
            <w:gridSpan w:val="2"/>
            <w:shd w:val="clear" w:color="auto" w:fill="auto"/>
          </w:tcPr>
          <w:p w14:paraId="31778FC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161</w:t>
            </w:r>
            <w:r w:rsidRPr="00A1056C">
              <w:rPr>
                <w:rFonts w:ascii="Arial" w:hAnsi="Arial" w:cs="Arial"/>
                <w:sz w:val="22"/>
                <w:szCs w:val="22"/>
                <w:lang w:val="en-GB"/>
              </w:rPr>
              <w:t>.</w:t>
            </w:r>
          </w:p>
        </w:tc>
        <w:tc>
          <w:tcPr>
            <w:tcW w:w="6860" w:type="dxa"/>
            <w:gridSpan w:val="3"/>
            <w:shd w:val="clear" w:color="auto" w:fill="auto"/>
          </w:tcPr>
          <w:p w14:paraId="52D40CC0" w14:textId="256F8AB6" w:rsidR="003942C4" w:rsidRPr="00710CE9" w:rsidRDefault="006610D9" w:rsidP="00480371">
            <w:pPr>
              <w:spacing w:before="120" w:after="120"/>
              <w:jc w:val="both"/>
              <w:rPr>
                <w:rFonts w:ascii="Arial" w:hAnsi="Arial" w:cs="Arial"/>
                <w:sz w:val="22"/>
                <w:szCs w:val="22"/>
                <w:lang w:val="en-GB"/>
              </w:rPr>
            </w:pPr>
            <w:r w:rsidRPr="006610D9">
              <w:rPr>
                <w:rFonts w:ascii="Arial" w:hAnsi="Arial" w:cs="Arial"/>
                <w:sz w:val="22"/>
                <w:szCs w:val="22"/>
                <w:lang w:val="en-GB"/>
              </w:rPr>
              <w:t>Such reports shall normally be submitted to the Committee by 15</w:t>
            </w:r>
            <w:r w:rsidR="00480371">
              <w:rPr>
                <w:rFonts w:ascii="Arial" w:hAnsi="Arial" w:cs="Arial"/>
                <w:sz w:val="22"/>
                <w:szCs w:val="22"/>
                <w:lang w:val="en-GB"/>
              </w:rPr>
              <w:t> </w:t>
            </w:r>
            <w:r w:rsidRPr="006610D9">
              <w:rPr>
                <w:rFonts w:ascii="Arial" w:hAnsi="Arial" w:cs="Arial"/>
                <w:sz w:val="22"/>
                <w:szCs w:val="22"/>
                <w:lang w:val="en-GB"/>
              </w:rPr>
              <w:t xml:space="preserve">December of the fourth year following the year in which the element was inscribed, and every fourth year thereafter. Form ICH-11 </w:t>
            </w:r>
            <w:proofErr w:type="gramStart"/>
            <w:r w:rsidRPr="006610D9">
              <w:rPr>
                <w:rFonts w:ascii="Arial" w:hAnsi="Arial" w:cs="Arial"/>
                <w:sz w:val="22"/>
                <w:szCs w:val="22"/>
                <w:lang w:val="en-GB"/>
              </w:rPr>
              <w:t>is used</w:t>
            </w:r>
            <w:proofErr w:type="gramEnd"/>
            <w:r w:rsidRPr="006610D9">
              <w:rPr>
                <w:rFonts w:ascii="Arial" w:hAnsi="Arial" w:cs="Arial"/>
                <w:sz w:val="22"/>
                <w:szCs w:val="22"/>
                <w:lang w:val="en-GB"/>
              </w:rPr>
              <w:t xml:space="preserve"> for such reports, available at </w:t>
            </w:r>
            <w:hyperlink r:id="rId24" w:history="1">
              <w:r w:rsidR="00480371" w:rsidRPr="0005136F">
                <w:rPr>
                  <w:rStyle w:val="Hyperlink"/>
                  <w:rFonts w:ascii="Arial" w:hAnsi="Arial" w:cs="Arial"/>
                  <w:sz w:val="22"/>
                  <w:szCs w:val="22"/>
                  <w:lang w:val="en-GB"/>
                </w:rPr>
                <w:t>www.unesco.org/culture/ich</w:t>
              </w:r>
            </w:hyperlink>
            <w:r w:rsidR="00480371">
              <w:rPr>
                <w:rFonts w:ascii="Arial" w:hAnsi="Arial" w:cs="Arial"/>
                <w:sz w:val="22"/>
                <w:szCs w:val="22"/>
                <w:lang w:val="en-GB"/>
              </w:rPr>
              <w:t xml:space="preserve"> </w:t>
            </w:r>
            <w:r w:rsidRPr="006610D9">
              <w:rPr>
                <w:rFonts w:ascii="Arial" w:hAnsi="Arial" w:cs="Arial"/>
                <w:sz w:val="22"/>
                <w:szCs w:val="22"/>
                <w:lang w:val="en-GB"/>
              </w:rPr>
              <w:t>or on request from the Secretariat. The reports shall include only the information requested in the form. At the time of inscription the Committee may on a case-by-case basis establish a specific timetable for reporting that will take precedence over the normal four-year cycle.</w:t>
            </w:r>
          </w:p>
        </w:tc>
        <w:tc>
          <w:tcPr>
            <w:tcW w:w="850" w:type="dxa"/>
            <w:gridSpan w:val="2"/>
          </w:tcPr>
          <w:p w14:paraId="2BFA0FD2"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161</w:t>
            </w:r>
            <w:r w:rsidRPr="00BA4171">
              <w:rPr>
                <w:rFonts w:ascii="Arial" w:hAnsi="Arial" w:cs="Arial"/>
                <w:sz w:val="22"/>
                <w:szCs w:val="22"/>
                <w:lang w:val="en-GB"/>
              </w:rPr>
              <w:t>.</w:t>
            </w:r>
          </w:p>
        </w:tc>
        <w:tc>
          <w:tcPr>
            <w:tcW w:w="6661" w:type="dxa"/>
            <w:gridSpan w:val="2"/>
          </w:tcPr>
          <w:p w14:paraId="333DBE9C" w14:textId="6FB8AFB9" w:rsidR="003942C4" w:rsidRPr="00BA4171" w:rsidRDefault="00480371" w:rsidP="00126174">
            <w:pPr>
              <w:spacing w:before="120" w:after="120"/>
              <w:jc w:val="both"/>
              <w:rPr>
                <w:rFonts w:ascii="Arial" w:hAnsi="Arial" w:cs="Arial"/>
                <w:sz w:val="22"/>
                <w:szCs w:val="22"/>
                <w:lang w:val="en-GB"/>
              </w:rPr>
            </w:pPr>
            <w:r w:rsidRPr="006610D9">
              <w:rPr>
                <w:rFonts w:ascii="Arial" w:hAnsi="Arial" w:cs="Arial"/>
                <w:sz w:val="22"/>
                <w:szCs w:val="22"/>
                <w:lang w:val="en-GB"/>
              </w:rPr>
              <w:t>Such reports shall normally be submitted to the Committee by 15</w:t>
            </w:r>
            <w:r>
              <w:rPr>
                <w:rFonts w:ascii="Arial" w:hAnsi="Arial" w:cs="Arial"/>
                <w:sz w:val="22"/>
                <w:szCs w:val="22"/>
                <w:lang w:val="en-GB"/>
              </w:rPr>
              <w:t xml:space="preserve"> </w:t>
            </w:r>
            <w:r w:rsidRPr="006610D9">
              <w:rPr>
                <w:rFonts w:ascii="Arial" w:hAnsi="Arial" w:cs="Arial"/>
                <w:sz w:val="22"/>
                <w:szCs w:val="22"/>
                <w:lang w:val="en-GB"/>
              </w:rPr>
              <w:t xml:space="preserve">December of the fourth year following the year in which the element was inscribed, and every fourth year thereafter. </w:t>
            </w:r>
            <w:r w:rsidRPr="000A2E3E">
              <w:rPr>
                <w:rFonts w:ascii="Arial" w:hAnsi="Arial" w:cs="Arial"/>
                <w:sz w:val="22"/>
                <w:szCs w:val="22"/>
                <w:lang w:val="en-GB"/>
              </w:rPr>
              <w:t xml:space="preserve">Form ICH-11 </w:t>
            </w:r>
            <w:proofErr w:type="gramStart"/>
            <w:r w:rsidRPr="000A2E3E">
              <w:rPr>
                <w:rFonts w:ascii="Arial" w:hAnsi="Arial" w:cs="Arial"/>
                <w:strike/>
                <w:sz w:val="22"/>
                <w:szCs w:val="22"/>
                <w:lang w:val="en-GB"/>
              </w:rPr>
              <w:t>is used</w:t>
            </w:r>
            <w:proofErr w:type="gramEnd"/>
            <w:r w:rsidRPr="000A2E3E">
              <w:rPr>
                <w:rFonts w:ascii="Arial" w:hAnsi="Arial" w:cs="Arial"/>
                <w:strike/>
                <w:sz w:val="22"/>
                <w:szCs w:val="22"/>
                <w:lang w:val="en-GB"/>
              </w:rPr>
              <w:t xml:space="preserve"> for such reports, available at </w:t>
            </w:r>
            <w:hyperlink r:id="rId25" w:history="1">
              <w:r w:rsidR="000A2E3E" w:rsidRPr="000A2E3E">
                <w:rPr>
                  <w:rStyle w:val="Hyperlink"/>
                  <w:rFonts w:ascii="Arial" w:hAnsi="Arial" w:cs="Arial"/>
                  <w:strike/>
                  <w:sz w:val="22"/>
                  <w:szCs w:val="22"/>
                  <w:lang w:val="en-GB"/>
                </w:rPr>
                <w:t>www.unesco.org/culture/ich</w:t>
              </w:r>
            </w:hyperlink>
            <w:r w:rsidRPr="000A2E3E">
              <w:rPr>
                <w:rFonts w:ascii="Arial" w:hAnsi="Arial" w:cs="Arial"/>
                <w:strike/>
                <w:sz w:val="22"/>
                <w:szCs w:val="22"/>
                <w:lang w:val="en-GB"/>
              </w:rPr>
              <w:t xml:space="preserve"> or on request from the Secretariat. The reports shall include only the information requested in the form.</w:t>
            </w:r>
            <w:r w:rsidR="000A2E3E">
              <w:rPr>
                <w:rFonts w:ascii="Arial" w:hAnsi="Arial" w:cs="Arial"/>
                <w:sz w:val="22"/>
                <w:szCs w:val="22"/>
                <w:lang w:val="en-GB"/>
              </w:rPr>
              <w:t xml:space="preserve"> </w:t>
            </w:r>
            <w:proofErr w:type="gramStart"/>
            <w:r w:rsidR="00126174">
              <w:rPr>
                <w:rFonts w:ascii="Arial" w:hAnsi="Arial" w:cs="Arial"/>
                <w:b/>
                <w:color w:val="000000"/>
                <w:sz w:val="22"/>
                <w:szCs w:val="22"/>
                <w:u w:val="single"/>
                <w:lang w:val="en-GB"/>
              </w:rPr>
              <w:t>must</w:t>
            </w:r>
            <w:proofErr w:type="gramEnd"/>
            <w:r w:rsidR="000A2E3E" w:rsidRPr="000A2E3E">
              <w:rPr>
                <w:rFonts w:ascii="Arial" w:hAnsi="Arial" w:cs="Arial"/>
                <w:b/>
                <w:color w:val="000000"/>
                <w:sz w:val="22"/>
                <w:szCs w:val="22"/>
                <w:u w:val="single"/>
                <w:lang w:val="en-GB"/>
              </w:rPr>
              <w:t xml:space="preserve"> be completed online by each State Party (</w:t>
            </w:r>
            <w:hyperlink r:id="rId26" w:history="1">
              <w:r w:rsidR="000A2E3E" w:rsidRPr="000A2E3E">
                <w:rPr>
                  <w:rStyle w:val="Hyperlink"/>
                  <w:rFonts w:ascii="Arial" w:hAnsi="Arial" w:cs="Arial"/>
                  <w:b/>
                  <w:sz w:val="22"/>
                  <w:szCs w:val="22"/>
                  <w:lang w:val="en-GB"/>
                </w:rPr>
                <w:t>https://ich.unesco.org/</w:t>
              </w:r>
            </w:hyperlink>
            <w:r w:rsidR="000A2E3E">
              <w:rPr>
                <w:rFonts w:ascii="Arial" w:hAnsi="Arial" w:cs="Arial"/>
                <w:b/>
                <w:color w:val="000000"/>
                <w:sz w:val="22"/>
                <w:szCs w:val="22"/>
                <w:u w:val="single"/>
                <w:lang w:val="en-GB"/>
              </w:rPr>
              <w:t>) and</w:t>
            </w:r>
            <w:r w:rsidR="000A2E3E" w:rsidRPr="000A2E3E">
              <w:rPr>
                <w:rFonts w:ascii="Arial" w:hAnsi="Arial" w:cs="Arial"/>
                <w:b/>
                <w:color w:val="000000"/>
                <w:sz w:val="22"/>
                <w:szCs w:val="22"/>
                <w:u w:val="single"/>
                <w:lang w:val="en-GB"/>
              </w:rPr>
              <w:t xml:space="preserve"> is revised at appropriate intervals</w:t>
            </w:r>
            <w:r w:rsidR="000A2E3E">
              <w:rPr>
                <w:rFonts w:ascii="Arial" w:hAnsi="Arial" w:cs="Arial"/>
                <w:b/>
                <w:color w:val="000000"/>
                <w:sz w:val="22"/>
                <w:szCs w:val="22"/>
                <w:u w:val="single"/>
                <w:lang w:val="en-GB"/>
              </w:rPr>
              <w:t xml:space="preserve"> </w:t>
            </w:r>
            <w:r w:rsidR="000A2E3E" w:rsidRPr="000A2E3E">
              <w:rPr>
                <w:rFonts w:ascii="Arial" w:hAnsi="Arial" w:cs="Arial"/>
                <w:b/>
                <w:color w:val="000000"/>
                <w:sz w:val="22"/>
                <w:szCs w:val="22"/>
                <w:u w:val="single"/>
                <w:lang w:val="en-GB"/>
              </w:rPr>
              <w:t>by the Secretariat.</w:t>
            </w:r>
            <w:r w:rsidRPr="000A2E3E">
              <w:rPr>
                <w:rFonts w:ascii="Arial" w:hAnsi="Arial" w:cs="Arial"/>
                <w:sz w:val="22"/>
                <w:szCs w:val="22"/>
                <w:lang w:val="en-GB"/>
              </w:rPr>
              <w:t xml:space="preserve"> At the time of inscription</w:t>
            </w:r>
            <w:r w:rsidR="00126174">
              <w:rPr>
                <w:rFonts w:ascii="Arial" w:hAnsi="Arial" w:cs="Arial"/>
                <w:sz w:val="22"/>
                <w:szCs w:val="22"/>
                <w:lang w:val="en-GB"/>
              </w:rPr>
              <w:t>,</w:t>
            </w:r>
            <w:r w:rsidRPr="000A2E3E">
              <w:rPr>
                <w:rFonts w:ascii="Arial" w:hAnsi="Arial" w:cs="Arial"/>
                <w:sz w:val="22"/>
                <w:szCs w:val="22"/>
                <w:lang w:val="en-GB"/>
              </w:rPr>
              <w:t xml:space="preserve"> the Committee may establish a specific timetable for reporting </w:t>
            </w:r>
            <w:r w:rsidR="00126174" w:rsidRPr="000A2E3E">
              <w:rPr>
                <w:rFonts w:ascii="Arial" w:hAnsi="Arial" w:cs="Arial"/>
                <w:sz w:val="22"/>
                <w:szCs w:val="22"/>
                <w:lang w:val="en-GB"/>
              </w:rPr>
              <w:t>on a case-by-case basis</w:t>
            </w:r>
            <w:r w:rsidR="00126174">
              <w:rPr>
                <w:rFonts w:ascii="Arial" w:hAnsi="Arial" w:cs="Arial"/>
                <w:sz w:val="22"/>
                <w:szCs w:val="22"/>
                <w:lang w:val="en-GB"/>
              </w:rPr>
              <w:t>,</w:t>
            </w:r>
            <w:r w:rsidR="00126174" w:rsidRPr="000A2E3E">
              <w:rPr>
                <w:rFonts w:ascii="Arial" w:hAnsi="Arial" w:cs="Arial"/>
                <w:sz w:val="22"/>
                <w:szCs w:val="22"/>
                <w:lang w:val="en-GB"/>
              </w:rPr>
              <w:t xml:space="preserve"> </w:t>
            </w:r>
            <w:r w:rsidR="00126174">
              <w:rPr>
                <w:rFonts w:ascii="Arial" w:hAnsi="Arial" w:cs="Arial"/>
                <w:sz w:val="22"/>
                <w:szCs w:val="22"/>
                <w:lang w:val="en-GB"/>
              </w:rPr>
              <w:t>which</w:t>
            </w:r>
            <w:r w:rsidR="00126174" w:rsidRPr="000A2E3E">
              <w:rPr>
                <w:rFonts w:ascii="Arial" w:hAnsi="Arial" w:cs="Arial"/>
                <w:sz w:val="22"/>
                <w:szCs w:val="22"/>
                <w:lang w:val="en-GB"/>
              </w:rPr>
              <w:t xml:space="preserve"> </w:t>
            </w:r>
            <w:r w:rsidRPr="000A2E3E">
              <w:rPr>
                <w:rFonts w:ascii="Arial" w:hAnsi="Arial" w:cs="Arial"/>
                <w:sz w:val="22"/>
                <w:szCs w:val="22"/>
                <w:lang w:val="en-GB"/>
              </w:rPr>
              <w:t>will take precedence over the normal four-year cycle.</w:t>
            </w:r>
          </w:p>
        </w:tc>
      </w:tr>
      <w:tr w:rsidR="003942C4" w:rsidRPr="00453F74" w14:paraId="58F91AE2" w14:textId="77777777" w:rsidTr="00196F2F">
        <w:trPr>
          <w:cantSplit/>
        </w:trPr>
        <w:tc>
          <w:tcPr>
            <w:tcW w:w="1080" w:type="dxa"/>
            <w:gridSpan w:val="2"/>
            <w:shd w:val="clear" w:color="auto" w:fill="auto"/>
          </w:tcPr>
          <w:p w14:paraId="6A8EB44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162</w:t>
            </w:r>
            <w:r w:rsidRPr="00A1056C">
              <w:rPr>
                <w:rFonts w:ascii="Arial" w:hAnsi="Arial" w:cs="Arial"/>
                <w:sz w:val="22"/>
                <w:szCs w:val="22"/>
                <w:lang w:val="en-GB"/>
              </w:rPr>
              <w:t>.</w:t>
            </w:r>
          </w:p>
        </w:tc>
        <w:tc>
          <w:tcPr>
            <w:tcW w:w="6860" w:type="dxa"/>
            <w:gridSpan w:val="3"/>
            <w:shd w:val="clear" w:color="auto" w:fill="auto"/>
          </w:tcPr>
          <w:p w14:paraId="7FA79B9A" w14:textId="46CC54C0"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w:t>
            </w:r>
            <w:r w:rsidR="00D166F8">
              <w:rPr>
                <w:rFonts w:ascii="Arial" w:hAnsi="Arial" w:cs="Arial"/>
                <w:sz w:val="22"/>
                <w:szCs w:val="22"/>
                <w:lang w:val="en-GB"/>
              </w:rPr>
              <w:t xml:space="preserve">shall pay special attention to the role of gender and shall </w:t>
            </w:r>
            <w:r w:rsidRPr="0096363C">
              <w:rPr>
                <w:rFonts w:ascii="Arial" w:hAnsi="Arial" w:cs="Arial"/>
                <w:sz w:val="22"/>
                <w:szCs w:val="22"/>
                <w:lang w:val="en-GB"/>
              </w:rPr>
              <w:t>report on the current status of the element, including:</w:t>
            </w:r>
          </w:p>
          <w:p w14:paraId="5C095489" w14:textId="77777777" w:rsidR="003942C4" w:rsidRPr="0096363C"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its social and cultural functions;</w:t>
            </w:r>
          </w:p>
          <w:p w14:paraId="6CFCF3B1" w14:textId="77777777" w:rsidR="003942C4" w:rsidRPr="0096363C"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an assessment of its viability and the current risks it faces;</w:t>
            </w:r>
          </w:p>
          <w:p w14:paraId="3F1DCB08" w14:textId="77777777" w:rsidR="003942C4" w:rsidRDefault="003942C4" w:rsidP="00555C73">
            <w:pPr>
              <w:numPr>
                <w:ilvl w:val="0"/>
                <w:numId w:val="19"/>
              </w:numPr>
              <w:spacing w:before="120" w:after="120"/>
              <w:ind w:left="493" w:hanging="493"/>
              <w:jc w:val="both"/>
              <w:rPr>
                <w:rFonts w:ascii="Arial" w:hAnsi="Arial" w:cs="Arial"/>
                <w:sz w:val="22"/>
                <w:szCs w:val="22"/>
                <w:lang w:val="en-GB"/>
              </w:rPr>
            </w:pPr>
            <w:r w:rsidRPr="0096363C">
              <w:rPr>
                <w:rFonts w:ascii="Arial" w:hAnsi="Arial" w:cs="Arial"/>
                <w:sz w:val="22"/>
                <w:szCs w:val="22"/>
                <w:lang w:val="en-GB"/>
              </w:rPr>
              <w:t>the impacts of the efforts to safeguard the element, particularly the implementation of the safeguarding plan that was submitted at the time of nomination;</w:t>
            </w:r>
          </w:p>
          <w:p w14:paraId="7502C3F3" w14:textId="77B2112B" w:rsidR="003942C4" w:rsidRPr="00710CE9" w:rsidRDefault="006610D9" w:rsidP="00555C73">
            <w:pPr>
              <w:numPr>
                <w:ilvl w:val="0"/>
                <w:numId w:val="19"/>
              </w:numPr>
              <w:spacing w:before="120" w:after="120"/>
              <w:ind w:left="493" w:hanging="493"/>
              <w:jc w:val="both"/>
              <w:rPr>
                <w:rFonts w:ascii="Arial" w:hAnsi="Arial" w:cs="Arial"/>
                <w:sz w:val="22"/>
                <w:szCs w:val="22"/>
                <w:lang w:val="en-GB"/>
              </w:rPr>
            </w:pPr>
            <w:proofErr w:type="gramStart"/>
            <w:r w:rsidRPr="006610D9">
              <w:rPr>
                <w:rFonts w:ascii="Arial" w:hAnsi="Arial" w:cs="Arial"/>
                <w:sz w:val="22"/>
                <w:szCs w:val="22"/>
                <w:lang w:val="en-GB"/>
              </w:rPr>
              <w:t>the</w:t>
            </w:r>
            <w:proofErr w:type="gramEnd"/>
            <w:r w:rsidRPr="006610D9">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c>
          <w:tcPr>
            <w:tcW w:w="850" w:type="dxa"/>
            <w:gridSpan w:val="2"/>
          </w:tcPr>
          <w:p w14:paraId="06243D83"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162</w:t>
            </w:r>
            <w:r w:rsidRPr="00BA4171">
              <w:rPr>
                <w:rFonts w:ascii="Arial" w:hAnsi="Arial" w:cs="Arial"/>
                <w:sz w:val="22"/>
                <w:szCs w:val="22"/>
                <w:lang w:val="en-GB"/>
              </w:rPr>
              <w:t>.</w:t>
            </w:r>
          </w:p>
        </w:tc>
        <w:tc>
          <w:tcPr>
            <w:tcW w:w="6661" w:type="dxa"/>
            <w:gridSpan w:val="2"/>
          </w:tcPr>
          <w:p w14:paraId="56E23B68" w14:textId="27DC24A4" w:rsidR="003942C4" w:rsidRDefault="005E4569" w:rsidP="00480371">
            <w:pPr>
              <w:spacing w:before="120" w:after="120"/>
              <w:jc w:val="both"/>
              <w:rPr>
                <w:rFonts w:ascii="Arial" w:hAnsi="Arial" w:cs="Arial"/>
                <w:sz w:val="22"/>
                <w:szCs w:val="22"/>
                <w:lang w:val="en-GB"/>
              </w:rPr>
            </w:pPr>
            <w:r w:rsidRPr="0096363C">
              <w:rPr>
                <w:rFonts w:ascii="Arial" w:hAnsi="Arial" w:cs="Arial"/>
                <w:sz w:val="22"/>
                <w:szCs w:val="22"/>
                <w:lang w:val="en-GB"/>
              </w:rPr>
              <w:t xml:space="preserve">The State Party </w:t>
            </w:r>
            <w:r w:rsidR="00D166F8">
              <w:rPr>
                <w:rFonts w:ascii="Arial" w:hAnsi="Arial" w:cs="Arial"/>
                <w:sz w:val="22"/>
                <w:szCs w:val="22"/>
                <w:lang w:val="en-GB"/>
              </w:rPr>
              <w:t xml:space="preserve">shall pay special attention to the role of gender and shall </w:t>
            </w:r>
            <w:r w:rsidRPr="0096363C">
              <w:rPr>
                <w:rFonts w:ascii="Arial" w:hAnsi="Arial" w:cs="Arial"/>
                <w:sz w:val="22"/>
                <w:szCs w:val="22"/>
                <w:lang w:val="en-GB"/>
              </w:rPr>
              <w:t>report on the current status of the element, including:</w:t>
            </w:r>
          </w:p>
          <w:p w14:paraId="440E5223" w14:textId="3ACB8D20"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its social and cultural functions;</w:t>
            </w:r>
          </w:p>
          <w:p w14:paraId="7471E40D" w14:textId="7576CCD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an assessment of its viability and the current risks it faces;</w:t>
            </w:r>
          </w:p>
          <w:p w14:paraId="5046B0AC" w14:textId="242B356C"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r w:rsidRPr="005E4569">
              <w:rPr>
                <w:rFonts w:ascii="Arial" w:hAnsi="Arial" w:cs="Arial"/>
                <w:sz w:val="22"/>
                <w:szCs w:val="22"/>
                <w:lang w:val="en-GB"/>
              </w:rPr>
              <w:t>the impacts of the efforts to safeguard the element, particularly the implementation of the safeguarding plan that was submitted at the time of nomination;</w:t>
            </w:r>
          </w:p>
          <w:p w14:paraId="01FE9EE9" w14:textId="1B3A518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b/>
                <w:sz w:val="22"/>
                <w:szCs w:val="22"/>
                <w:u w:val="single"/>
                <w:lang w:val="en-GB"/>
              </w:rPr>
            </w:pPr>
            <w:r w:rsidRPr="005E4569">
              <w:rPr>
                <w:rFonts w:ascii="Arial" w:hAnsi="Arial" w:cs="Arial"/>
                <w:b/>
                <w:sz w:val="22"/>
                <w:szCs w:val="22"/>
                <w:u w:val="single"/>
                <w:lang w:val="en-GB"/>
              </w:rPr>
              <w:t xml:space="preserve">an </w:t>
            </w:r>
            <w:r w:rsidRPr="005E4569">
              <w:rPr>
                <w:rFonts w:ascii="Arial" w:hAnsi="Arial" w:cs="Arial"/>
                <w:b/>
                <w:sz w:val="22"/>
                <w:szCs w:val="22"/>
                <w:u w:val="single"/>
                <w:lang w:val="en-US"/>
              </w:rPr>
              <w:t xml:space="preserve">update of the safeguarding plan included in the nomination file or in </w:t>
            </w:r>
            <w:r w:rsidRPr="005E4569">
              <w:rPr>
                <w:rFonts w:ascii="Arial" w:hAnsi="Arial" w:cs="Arial"/>
                <w:b/>
                <w:sz w:val="22"/>
                <w:szCs w:val="22"/>
                <w:u w:val="single"/>
                <w:lang w:val="en-GB"/>
              </w:rPr>
              <w:t>the previous report;</w:t>
            </w:r>
          </w:p>
          <w:p w14:paraId="79B2BC92" w14:textId="4C74E2B2" w:rsidR="005E4569" w:rsidRPr="005E4569" w:rsidRDefault="005E4569" w:rsidP="005E4569">
            <w:pPr>
              <w:pStyle w:val="ListParagraph"/>
              <w:numPr>
                <w:ilvl w:val="0"/>
                <w:numId w:val="22"/>
              </w:numPr>
              <w:spacing w:before="120" w:after="120"/>
              <w:ind w:left="493" w:hanging="493"/>
              <w:contextualSpacing w:val="0"/>
              <w:jc w:val="both"/>
              <w:rPr>
                <w:rFonts w:ascii="Arial" w:hAnsi="Arial" w:cs="Arial"/>
                <w:sz w:val="22"/>
                <w:szCs w:val="22"/>
                <w:lang w:val="en-GB"/>
              </w:rPr>
            </w:pPr>
            <w:proofErr w:type="gramStart"/>
            <w:r w:rsidRPr="005E4569">
              <w:rPr>
                <w:rFonts w:ascii="Arial" w:hAnsi="Arial" w:cs="Arial"/>
                <w:sz w:val="22"/>
                <w:szCs w:val="22"/>
                <w:lang w:val="en-GB"/>
              </w:rPr>
              <w:t>the</w:t>
            </w:r>
            <w:proofErr w:type="gramEnd"/>
            <w:r w:rsidRPr="005E4569">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tc>
      </w:tr>
      <w:tr w:rsidR="003942C4" w:rsidRPr="00BA4171" w14:paraId="388007CA" w14:textId="77777777" w:rsidTr="00196F2F">
        <w:trPr>
          <w:cantSplit/>
        </w:trPr>
        <w:tc>
          <w:tcPr>
            <w:tcW w:w="1080" w:type="dxa"/>
            <w:gridSpan w:val="2"/>
            <w:shd w:val="clear" w:color="auto" w:fill="auto"/>
          </w:tcPr>
          <w:p w14:paraId="67893507"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163</w:t>
            </w:r>
            <w:r w:rsidRPr="00A1056C">
              <w:rPr>
                <w:rFonts w:ascii="Arial" w:hAnsi="Arial" w:cs="Arial"/>
                <w:sz w:val="22"/>
                <w:szCs w:val="22"/>
                <w:lang w:val="en-GB"/>
              </w:rPr>
              <w:t>.</w:t>
            </w:r>
          </w:p>
        </w:tc>
        <w:tc>
          <w:tcPr>
            <w:tcW w:w="6860" w:type="dxa"/>
            <w:gridSpan w:val="3"/>
            <w:shd w:val="clear" w:color="auto" w:fill="auto"/>
          </w:tcPr>
          <w:p w14:paraId="15C44116" w14:textId="77777777" w:rsidR="003942C4" w:rsidRPr="0096363C"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The State Party shall report on the institutional context for safeguarding the element inscribed on the List, including:</w:t>
            </w:r>
          </w:p>
          <w:p w14:paraId="25019FEB" w14:textId="77777777" w:rsidR="003942C4" w:rsidRDefault="003942C4" w:rsidP="006610D9">
            <w:pPr>
              <w:numPr>
                <w:ilvl w:val="0"/>
                <w:numId w:val="21"/>
              </w:numPr>
              <w:spacing w:before="120" w:after="120"/>
              <w:ind w:left="656" w:hanging="656"/>
              <w:jc w:val="both"/>
              <w:rPr>
                <w:rFonts w:ascii="Arial" w:hAnsi="Arial" w:cs="Arial"/>
                <w:sz w:val="22"/>
                <w:szCs w:val="22"/>
                <w:lang w:val="en-GB"/>
              </w:rPr>
            </w:pPr>
            <w:r w:rsidRPr="0096363C">
              <w:rPr>
                <w:rFonts w:ascii="Arial" w:hAnsi="Arial" w:cs="Arial"/>
                <w:sz w:val="22"/>
                <w:szCs w:val="22"/>
                <w:lang w:val="en-GB"/>
              </w:rPr>
              <w:t>the competent body(</w:t>
            </w:r>
            <w:proofErr w:type="spellStart"/>
            <w:r w:rsidRPr="0096363C">
              <w:rPr>
                <w:rFonts w:ascii="Arial" w:hAnsi="Arial" w:cs="Arial"/>
                <w:sz w:val="22"/>
                <w:szCs w:val="22"/>
                <w:lang w:val="en-GB"/>
              </w:rPr>
              <w:t>ies</w:t>
            </w:r>
            <w:proofErr w:type="spellEnd"/>
            <w:r w:rsidRPr="0096363C">
              <w:rPr>
                <w:rFonts w:ascii="Arial" w:hAnsi="Arial" w:cs="Arial"/>
                <w:sz w:val="22"/>
                <w:szCs w:val="22"/>
                <w:lang w:val="en-GB"/>
              </w:rPr>
              <w:t>) involved in its safeguarding;</w:t>
            </w:r>
          </w:p>
          <w:p w14:paraId="4A60B351" w14:textId="77777777" w:rsidR="003942C4" w:rsidRPr="00710CE9" w:rsidRDefault="003942C4" w:rsidP="006610D9">
            <w:pPr>
              <w:numPr>
                <w:ilvl w:val="0"/>
                <w:numId w:val="21"/>
              </w:numPr>
              <w:spacing w:before="120" w:after="120"/>
              <w:ind w:left="656" w:hanging="656"/>
              <w:jc w:val="both"/>
              <w:rPr>
                <w:rFonts w:ascii="Arial" w:hAnsi="Arial" w:cs="Arial"/>
                <w:sz w:val="22"/>
                <w:szCs w:val="22"/>
                <w:lang w:val="en-GB"/>
              </w:rPr>
            </w:pPr>
            <w:proofErr w:type="gramStart"/>
            <w:r w:rsidRPr="0096363C">
              <w:rPr>
                <w:rFonts w:ascii="Arial" w:hAnsi="Arial" w:cs="Arial"/>
                <w:sz w:val="22"/>
                <w:szCs w:val="22"/>
                <w:lang w:val="en-GB"/>
              </w:rPr>
              <w:t>the</w:t>
            </w:r>
            <w:proofErr w:type="gramEnd"/>
            <w:r w:rsidRPr="0096363C">
              <w:rPr>
                <w:rFonts w:ascii="Arial" w:hAnsi="Arial" w:cs="Arial"/>
                <w:sz w:val="22"/>
                <w:szCs w:val="22"/>
                <w:lang w:val="en-GB"/>
              </w:rPr>
              <w:t xml:space="preserve"> organization(s) of the community or group concerned with the element and its safeguarding.</w:t>
            </w:r>
          </w:p>
        </w:tc>
        <w:tc>
          <w:tcPr>
            <w:tcW w:w="850" w:type="dxa"/>
            <w:gridSpan w:val="2"/>
          </w:tcPr>
          <w:p w14:paraId="7ACC060F"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163</w:t>
            </w:r>
            <w:r w:rsidRPr="00BA4171">
              <w:rPr>
                <w:rFonts w:ascii="Arial" w:hAnsi="Arial" w:cs="Arial"/>
                <w:sz w:val="22"/>
                <w:szCs w:val="22"/>
                <w:lang w:val="en-GB"/>
              </w:rPr>
              <w:t>.</w:t>
            </w:r>
          </w:p>
        </w:tc>
        <w:tc>
          <w:tcPr>
            <w:tcW w:w="6661" w:type="dxa"/>
            <w:gridSpan w:val="2"/>
          </w:tcPr>
          <w:p w14:paraId="00117346"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BA4171" w14:paraId="5A890398" w14:textId="77777777" w:rsidTr="00196F2F">
        <w:trPr>
          <w:cantSplit/>
        </w:trPr>
        <w:tc>
          <w:tcPr>
            <w:tcW w:w="1080" w:type="dxa"/>
            <w:gridSpan w:val="2"/>
            <w:shd w:val="clear" w:color="auto" w:fill="auto"/>
          </w:tcPr>
          <w:p w14:paraId="22B7B58A"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164</w:t>
            </w:r>
            <w:r w:rsidRPr="00A1056C">
              <w:rPr>
                <w:rFonts w:ascii="Arial" w:hAnsi="Arial" w:cs="Arial"/>
                <w:sz w:val="22"/>
                <w:szCs w:val="22"/>
                <w:lang w:val="en-GB"/>
              </w:rPr>
              <w:t>.</w:t>
            </w:r>
          </w:p>
        </w:tc>
        <w:tc>
          <w:tcPr>
            <w:tcW w:w="6860" w:type="dxa"/>
            <w:gridSpan w:val="3"/>
            <w:shd w:val="clear" w:color="auto" w:fill="auto"/>
          </w:tcPr>
          <w:p w14:paraId="7CBC387C"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States Parties shall respond, in a timely manner, to specific requests addressed to them by the Committee for additional information, if needed between the deadlines set out in paragraph 161 above.</w:t>
            </w:r>
          </w:p>
        </w:tc>
        <w:tc>
          <w:tcPr>
            <w:tcW w:w="850" w:type="dxa"/>
            <w:gridSpan w:val="2"/>
          </w:tcPr>
          <w:p w14:paraId="5BCFE694"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164</w:t>
            </w:r>
            <w:r w:rsidRPr="00BA4171">
              <w:rPr>
                <w:rFonts w:ascii="Arial" w:hAnsi="Arial" w:cs="Arial"/>
                <w:sz w:val="22"/>
                <w:szCs w:val="22"/>
                <w:lang w:val="en-GB"/>
              </w:rPr>
              <w:t>.</w:t>
            </w:r>
          </w:p>
        </w:tc>
        <w:tc>
          <w:tcPr>
            <w:tcW w:w="6661" w:type="dxa"/>
            <w:gridSpan w:val="2"/>
          </w:tcPr>
          <w:p w14:paraId="51CDAD95" w14:textId="77777777" w:rsidR="003942C4" w:rsidRPr="00BA4171" w:rsidRDefault="003942C4" w:rsidP="00196F2F">
            <w:pPr>
              <w:spacing w:before="120" w:after="120"/>
              <w:jc w:val="both"/>
              <w:rPr>
                <w:rFonts w:ascii="Arial" w:hAnsi="Arial" w:cs="Arial"/>
                <w:sz w:val="22"/>
                <w:szCs w:val="22"/>
                <w:lang w:val="en-GB"/>
              </w:rPr>
            </w:pPr>
            <w:r w:rsidRPr="00BA4171">
              <w:rPr>
                <w:rFonts w:ascii="Arial" w:hAnsi="Arial" w:cs="Arial"/>
                <w:sz w:val="22"/>
                <w:szCs w:val="22"/>
                <w:lang w:val="en-GB"/>
              </w:rPr>
              <w:t>No change.</w:t>
            </w:r>
          </w:p>
        </w:tc>
      </w:tr>
      <w:tr w:rsidR="003942C4" w:rsidRPr="00BA4171" w14:paraId="49EBC5F5" w14:textId="77777777" w:rsidTr="00196F2F">
        <w:trPr>
          <w:cantSplit/>
        </w:trPr>
        <w:tc>
          <w:tcPr>
            <w:tcW w:w="1080" w:type="dxa"/>
            <w:gridSpan w:val="2"/>
            <w:shd w:val="clear" w:color="auto" w:fill="auto"/>
          </w:tcPr>
          <w:p w14:paraId="555BCF96"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V.3</w:t>
            </w:r>
          </w:p>
        </w:tc>
        <w:tc>
          <w:tcPr>
            <w:tcW w:w="6860" w:type="dxa"/>
            <w:gridSpan w:val="3"/>
            <w:shd w:val="clear" w:color="auto" w:fill="auto"/>
          </w:tcPr>
          <w:p w14:paraId="3E378083" w14:textId="77777777" w:rsidR="003942C4" w:rsidRPr="00E717A3" w:rsidRDefault="003942C4" w:rsidP="00196F2F">
            <w:pPr>
              <w:spacing w:before="120" w:after="120"/>
              <w:jc w:val="both"/>
              <w:rPr>
                <w:rFonts w:ascii="Arial" w:hAnsi="Arial" w:cs="Arial"/>
                <w:lang w:val="en-GB"/>
              </w:rPr>
            </w:pPr>
            <w:r w:rsidRPr="0096363C">
              <w:rPr>
                <w:rFonts w:ascii="Arial" w:hAnsi="Arial" w:cs="Arial"/>
                <w:b/>
                <w:bCs/>
                <w:lang w:val="en-GB"/>
              </w:rPr>
              <w:t>Receipt and processing of reports</w:t>
            </w:r>
          </w:p>
        </w:tc>
        <w:tc>
          <w:tcPr>
            <w:tcW w:w="850" w:type="dxa"/>
            <w:gridSpan w:val="2"/>
          </w:tcPr>
          <w:p w14:paraId="724A0551" w14:textId="77777777" w:rsidR="003942C4" w:rsidRPr="00B36C17" w:rsidRDefault="003942C4" w:rsidP="00196F2F">
            <w:pPr>
              <w:spacing w:before="120" w:after="120"/>
              <w:jc w:val="right"/>
              <w:rPr>
                <w:rFonts w:ascii="Arial" w:hAnsi="Arial" w:cs="Arial"/>
                <w:sz w:val="22"/>
                <w:szCs w:val="22"/>
                <w:lang w:val="en-GB"/>
              </w:rPr>
            </w:pPr>
            <w:r>
              <w:rPr>
                <w:rFonts w:ascii="Arial" w:hAnsi="Arial" w:cs="Arial"/>
                <w:b/>
                <w:bCs/>
                <w:sz w:val="22"/>
                <w:szCs w:val="22"/>
                <w:lang w:val="en-GB"/>
              </w:rPr>
              <w:t>V.3</w:t>
            </w:r>
          </w:p>
        </w:tc>
        <w:tc>
          <w:tcPr>
            <w:tcW w:w="6661" w:type="dxa"/>
            <w:gridSpan w:val="2"/>
          </w:tcPr>
          <w:p w14:paraId="1CBAEB90"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385AED" w14:paraId="16C3B8DB" w14:textId="77777777" w:rsidTr="00196F2F">
        <w:trPr>
          <w:cantSplit/>
        </w:trPr>
        <w:tc>
          <w:tcPr>
            <w:tcW w:w="1080" w:type="dxa"/>
            <w:gridSpan w:val="2"/>
            <w:shd w:val="clear" w:color="auto" w:fill="auto"/>
          </w:tcPr>
          <w:p w14:paraId="75162F41"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165</w:t>
            </w:r>
            <w:r w:rsidRPr="00A1056C">
              <w:rPr>
                <w:rFonts w:ascii="Arial" w:hAnsi="Arial" w:cs="Arial"/>
                <w:sz w:val="22"/>
                <w:szCs w:val="22"/>
                <w:lang w:val="en-GB"/>
              </w:rPr>
              <w:t>.</w:t>
            </w:r>
          </w:p>
        </w:tc>
        <w:tc>
          <w:tcPr>
            <w:tcW w:w="6860" w:type="dxa"/>
            <w:gridSpan w:val="3"/>
            <w:shd w:val="clear" w:color="auto" w:fill="auto"/>
          </w:tcPr>
          <w:p w14:paraId="6F1FB5FD"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Upon receipt of reports from States Parties, the Secretariat shall register them and acknowledge receipt. If a report is incomplete, the State Party will be advised how to complete it.</w:t>
            </w:r>
          </w:p>
        </w:tc>
        <w:tc>
          <w:tcPr>
            <w:tcW w:w="850" w:type="dxa"/>
            <w:gridSpan w:val="2"/>
          </w:tcPr>
          <w:p w14:paraId="2E95A1F9"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165.</w:t>
            </w:r>
          </w:p>
        </w:tc>
        <w:tc>
          <w:tcPr>
            <w:tcW w:w="6661" w:type="dxa"/>
            <w:gridSpan w:val="2"/>
          </w:tcPr>
          <w:p w14:paraId="3D73990F" w14:textId="59B05186" w:rsidR="003942C4" w:rsidRPr="00BA4171" w:rsidRDefault="00AE486A" w:rsidP="00AE486A">
            <w:pPr>
              <w:spacing w:before="120" w:after="120"/>
              <w:jc w:val="both"/>
              <w:rPr>
                <w:rFonts w:ascii="Arial" w:hAnsi="Arial" w:cs="Arial"/>
                <w:sz w:val="22"/>
                <w:szCs w:val="22"/>
                <w:lang w:val="en-GB"/>
              </w:rPr>
            </w:pPr>
            <w:r>
              <w:rPr>
                <w:rFonts w:ascii="Arial" w:hAnsi="Arial" w:cs="Arial"/>
                <w:sz w:val="22"/>
                <w:szCs w:val="22"/>
                <w:lang w:val="en-GB"/>
              </w:rPr>
              <w:t>No change.</w:t>
            </w:r>
          </w:p>
        </w:tc>
      </w:tr>
      <w:tr w:rsidR="003942C4" w:rsidRPr="00453F74" w14:paraId="21AE551B" w14:textId="77777777" w:rsidTr="00196F2F">
        <w:trPr>
          <w:cantSplit/>
        </w:trPr>
        <w:tc>
          <w:tcPr>
            <w:tcW w:w="1080" w:type="dxa"/>
            <w:gridSpan w:val="2"/>
            <w:shd w:val="clear" w:color="auto" w:fill="auto"/>
          </w:tcPr>
          <w:p w14:paraId="6D976C51"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166</w:t>
            </w:r>
            <w:r w:rsidRPr="00A1056C">
              <w:rPr>
                <w:rFonts w:ascii="Arial" w:hAnsi="Arial" w:cs="Arial"/>
                <w:sz w:val="22"/>
                <w:szCs w:val="22"/>
                <w:lang w:val="en-GB"/>
              </w:rPr>
              <w:t>.</w:t>
            </w:r>
          </w:p>
        </w:tc>
        <w:tc>
          <w:tcPr>
            <w:tcW w:w="6860" w:type="dxa"/>
            <w:gridSpan w:val="3"/>
            <w:shd w:val="clear" w:color="auto" w:fill="auto"/>
          </w:tcPr>
          <w:p w14:paraId="6523598F" w14:textId="1ECE542F"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The Secretariat transmits to the Committee </w:t>
            </w:r>
            <w:proofErr w:type="gramStart"/>
            <w:r w:rsidRPr="006610D9">
              <w:rPr>
                <w:rFonts w:ascii="Arial" w:hAnsi="Arial" w:cs="Arial"/>
                <w:sz w:val="22"/>
                <w:szCs w:val="22"/>
                <w:lang w:val="en-GB"/>
              </w:rPr>
              <w:t>an</w:t>
            </w:r>
            <w:proofErr w:type="gramEnd"/>
            <w:r w:rsidRPr="006610D9">
              <w:rPr>
                <w:rFonts w:ascii="Arial" w:hAnsi="Arial" w:cs="Arial"/>
                <w:sz w:val="22"/>
                <w:szCs w:val="22"/>
                <w:lang w:val="en-GB"/>
              </w:rPr>
              <w:t xml:space="preserve"> overview of all reports received four weeks prior to its session. The overview and the reports are also made available on-line for consultation.</w:t>
            </w:r>
          </w:p>
        </w:tc>
        <w:tc>
          <w:tcPr>
            <w:tcW w:w="850" w:type="dxa"/>
            <w:gridSpan w:val="2"/>
          </w:tcPr>
          <w:p w14:paraId="182F9FCA" w14:textId="77777777" w:rsidR="003942C4" w:rsidRPr="00BA4171" w:rsidRDefault="003942C4" w:rsidP="00196F2F">
            <w:pPr>
              <w:spacing w:before="120" w:after="120"/>
              <w:jc w:val="right"/>
              <w:rPr>
                <w:rFonts w:ascii="Arial" w:hAnsi="Arial" w:cs="Arial"/>
                <w:sz w:val="22"/>
                <w:szCs w:val="22"/>
                <w:lang w:val="en-GB"/>
              </w:rPr>
            </w:pPr>
            <w:r>
              <w:rPr>
                <w:rFonts w:ascii="Arial" w:hAnsi="Arial" w:cs="Arial"/>
                <w:sz w:val="22"/>
                <w:szCs w:val="22"/>
                <w:lang w:val="en-GB"/>
              </w:rPr>
              <w:t>166</w:t>
            </w:r>
            <w:r w:rsidRPr="00BA4171">
              <w:rPr>
                <w:rFonts w:ascii="Arial" w:hAnsi="Arial" w:cs="Arial"/>
                <w:sz w:val="22"/>
                <w:szCs w:val="22"/>
                <w:lang w:val="en-GB"/>
              </w:rPr>
              <w:t>.</w:t>
            </w:r>
          </w:p>
        </w:tc>
        <w:tc>
          <w:tcPr>
            <w:tcW w:w="6661" w:type="dxa"/>
            <w:gridSpan w:val="2"/>
          </w:tcPr>
          <w:p w14:paraId="7611BDE1" w14:textId="4376A54F" w:rsidR="003942C4" w:rsidRPr="00BA4171" w:rsidRDefault="00645C14" w:rsidP="004D3F07">
            <w:pPr>
              <w:spacing w:before="120" w:after="120"/>
              <w:jc w:val="both"/>
              <w:rPr>
                <w:rFonts w:ascii="Arial" w:hAnsi="Arial" w:cs="Arial"/>
                <w:sz w:val="22"/>
                <w:szCs w:val="22"/>
                <w:lang w:val="en-GB"/>
              </w:rPr>
            </w:pPr>
            <w:r w:rsidRPr="006610D9">
              <w:rPr>
                <w:rFonts w:ascii="Arial" w:hAnsi="Arial" w:cs="Arial"/>
                <w:sz w:val="22"/>
                <w:szCs w:val="22"/>
                <w:lang w:val="en-GB"/>
              </w:rPr>
              <w:t xml:space="preserve">The Secretariat transmits to the Committee </w:t>
            </w:r>
            <w:proofErr w:type="gramStart"/>
            <w:r w:rsidRPr="006610D9">
              <w:rPr>
                <w:rFonts w:ascii="Arial" w:hAnsi="Arial" w:cs="Arial"/>
                <w:sz w:val="22"/>
                <w:szCs w:val="22"/>
                <w:lang w:val="en-GB"/>
              </w:rPr>
              <w:t>an</w:t>
            </w:r>
            <w:proofErr w:type="gramEnd"/>
            <w:r w:rsidRPr="006610D9">
              <w:rPr>
                <w:rFonts w:ascii="Arial" w:hAnsi="Arial" w:cs="Arial"/>
                <w:sz w:val="22"/>
                <w:szCs w:val="22"/>
                <w:lang w:val="en-GB"/>
              </w:rPr>
              <w:t xml:space="preserve"> overview of all reports received </w:t>
            </w:r>
            <w:r w:rsidRPr="00645C14">
              <w:rPr>
                <w:rFonts w:ascii="Arial" w:hAnsi="Arial" w:cs="Arial"/>
                <w:b/>
                <w:sz w:val="22"/>
                <w:szCs w:val="22"/>
                <w:u w:val="single"/>
                <w:lang w:val="en-GB"/>
              </w:rPr>
              <w:t>as defined in paragraph 152</w:t>
            </w:r>
            <w:r>
              <w:rPr>
                <w:rFonts w:ascii="Arial" w:hAnsi="Arial" w:cs="Arial"/>
                <w:sz w:val="22"/>
                <w:szCs w:val="22"/>
                <w:lang w:val="en-GB"/>
              </w:rPr>
              <w:t xml:space="preserve"> </w:t>
            </w:r>
            <w:r w:rsidRPr="006610D9">
              <w:rPr>
                <w:rFonts w:ascii="Arial" w:hAnsi="Arial" w:cs="Arial"/>
                <w:sz w:val="22"/>
                <w:szCs w:val="22"/>
                <w:lang w:val="en-GB"/>
              </w:rPr>
              <w:t xml:space="preserve">four weeks prior to its session. The overview </w:t>
            </w:r>
            <w:r w:rsidRPr="00645C14">
              <w:rPr>
                <w:rFonts w:ascii="Arial" w:hAnsi="Arial" w:cs="Arial"/>
                <w:b/>
                <w:sz w:val="22"/>
                <w:szCs w:val="22"/>
                <w:u w:val="single"/>
                <w:lang w:val="en-GB"/>
              </w:rPr>
              <w:t>is</w:t>
            </w:r>
            <w:r>
              <w:rPr>
                <w:rFonts w:ascii="Arial" w:hAnsi="Arial" w:cs="Arial"/>
                <w:sz w:val="22"/>
                <w:szCs w:val="22"/>
                <w:lang w:val="en-GB"/>
              </w:rPr>
              <w:t xml:space="preserve"> </w:t>
            </w:r>
            <w:r w:rsidRPr="00645C14">
              <w:rPr>
                <w:rFonts w:ascii="Arial" w:hAnsi="Arial" w:cs="Arial"/>
                <w:strike/>
                <w:sz w:val="22"/>
                <w:szCs w:val="22"/>
                <w:lang w:val="en-GB"/>
              </w:rPr>
              <w:t>and the reports are</w:t>
            </w:r>
            <w:r w:rsidRPr="006610D9">
              <w:rPr>
                <w:rFonts w:ascii="Arial" w:hAnsi="Arial" w:cs="Arial"/>
                <w:sz w:val="22"/>
                <w:szCs w:val="22"/>
                <w:lang w:val="en-GB"/>
              </w:rPr>
              <w:t xml:space="preserve"> also made available online for </w:t>
            </w:r>
            <w:r w:rsidRPr="00645C14">
              <w:rPr>
                <w:rFonts w:ascii="Arial" w:hAnsi="Arial" w:cs="Arial"/>
                <w:b/>
                <w:sz w:val="22"/>
                <w:szCs w:val="22"/>
                <w:u w:val="single"/>
                <w:lang w:val="en-GB"/>
              </w:rPr>
              <w:t>public</w:t>
            </w:r>
            <w:r>
              <w:rPr>
                <w:rFonts w:ascii="Arial" w:hAnsi="Arial" w:cs="Arial"/>
                <w:sz w:val="22"/>
                <w:szCs w:val="22"/>
                <w:lang w:val="en-GB"/>
              </w:rPr>
              <w:t xml:space="preserve"> </w:t>
            </w:r>
            <w:r w:rsidRPr="006610D9">
              <w:rPr>
                <w:rFonts w:ascii="Arial" w:hAnsi="Arial" w:cs="Arial"/>
                <w:sz w:val="22"/>
                <w:szCs w:val="22"/>
                <w:lang w:val="en-GB"/>
              </w:rPr>
              <w:t>consultation</w:t>
            </w:r>
            <w:r w:rsidR="00126174">
              <w:rPr>
                <w:rFonts w:ascii="Arial" w:hAnsi="Arial" w:cs="Arial"/>
                <w:sz w:val="22"/>
                <w:szCs w:val="22"/>
                <w:lang w:val="en-GB"/>
              </w:rPr>
              <w:t>,</w:t>
            </w:r>
            <w:r>
              <w:rPr>
                <w:rFonts w:ascii="Arial" w:hAnsi="Arial" w:cs="Arial"/>
                <w:sz w:val="22"/>
                <w:szCs w:val="22"/>
                <w:lang w:val="en-GB"/>
              </w:rPr>
              <w:t xml:space="preserve"> </w:t>
            </w:r>
            <w:r w:rsidRPr="00645C14">
              <w:rPr>
                <w:rFonts w:ascii="Arial" w:hAnsi="Arial" w:cs="Arial"/>
                <w:b/>
                <w:sz w:val="22"/>
                <w:szCs w:val="22"/>
                <w:u w:val="single"/>
                <w:lang w:val="en-GB"/>
              </w:rPr>
              <w:t>together with the reports in the language in which they were submitted by the States Parties</w:t>
            </w:r>
            <w:r>
              <w:rPr>
                <w:rFonts w:ascii="Arial" w:hAnsi="Arial" w:cs="Arial"/>
                <w:b/>
                <w:sz w:val="22"/>
                <w:szCs w:val="22"/>
                <w:u w:val="single"/>
                <w:lang w:val="en-GB"/>
              </w:rPr>
              <w:t xml:space="preserve">, </w:t>
            </w:r>
            <w:r w:rsidRPr="00645C14">
              <w:rPr>
                <w:rFonts w:ascii="Arial" w:hAnsi="Arial" w:cs="Arial"/>
                <w:b/>
                <w:sz w:val="22"/>
                <w:szCs w:val="22"/>
                <w:u w:val="single"/>
                <w:lang w:val="en-GB"/>
              </w:rPr>
              <w:t xml:space="preserve">unless </w:t>
            </w:r>
            <w:r w:rsidR="00126174">
              <w:rPr>
                <w:rFonts w:ascii="Arial" w:hAnsi="Arial" w:cs="Arial"/>
                <w:b/>
                <w:sz w:val="22"/>
                <w:szCs w:val="22"/>
                <w:u w:val="single"/>
                <w:lang w:val="en-GB"/>
              </w:rPr>
              <w:t xml:space="preserve">the Committee </w:t>
            </w:r>
            <w:r w:rsidR="00126174" w:rsidRPr="00645C14">
              <w:rPr>
                <w:rFonts w:ascii="Arial" w:hAnsi="Arial" w:cs="Arial"/>
                <w:b/>
                <w:sz w:val="22"/>
                <w:szCs w:val="22"/>
                <w:u w:val="single"/>
                <w:lang w:val="en-GB"/>
              </w:rPr>
              <w:t>decide</w:t>
            </w:r>
            <w:r w:rsidR="00126174">
              <w:rPr>
                <w:rFonts w:ascii="Arial" w:hAnsi="Arial" w:cs="Arial"/>
                <w:b/>
                <w:sz w:val="22"/>
                <w:szCs w:val="22"/>
                <w:u w:val="single"/>
                <w:lang w:val="en-GB"/>
              </w:rPr>
              <w:t>s</w:t>
            </w:r>
            <w:r w:rsidR="00126174" w:rsidRPr="00645C14">
              <w:rPr>
                <w:rFonts w:ascii="Arial" w:hAnsi="Arial" w:cs="Arial"/>
                <w:b/>
                <w:sz w:val="22"/>
                <w:szCs w:val="22"/>
                <w:u w:val="single"/>
                <w:lang w:val="en-GB"/>
              </w:rPr>
              <w:t xml:space="preserve"> </w:t>
            </w:r>
            <w:r w:rsidRPr="00645C14">
              <w:rPr>
                <w:rFonts w:ascii="Arial" w:hAnsi="Arial" w:cs="Arial"/>
                <w:b/>
                <w:sz w:val="22"/>
                <w:szCs w:val="22"/>
                <w:u w:val="single"/>
                <w:lang w:val="en-GB"/>
              </w:rPr>
              <w:t>otherwise in exceptional cases</w:t>
            </w:r>
            <w:r w:rsidRPr="006610D9">
              <w:rPr>
                <w:rFonts w:ascii="Arial" w:hAnsi="Arial" w:cs="Arial"/>
                <w:sz w:val="22"/>
                <w:szCs w:val="22"/>
                <w:lang w:val="en-GB"/>
              </w:rPr>
              <w:t>.</w:t>
            </w:r>
          </w:p>
        </w:tc>
      </w:tr>
      <w:tr w:rsidR="003942C4" w:rsidRPr="00453F74" w14:paraId="07511C25" w14:textId="77777777" w:rsidTr="00196F2F">
        <w:trPr>
          <w:cantSplit/>
        </w:trPr>
        <w:tc>
          <w:tcPr>
            <w:tcW w:w="1080" w:type="dxa"/>
            <w:gridSpan w:val="2"/>
            <w:shd w:val="clear" w:color="auto" w:fill="auto"/>
          </w:tcPr>
          <w:p w14:paraId="3803A3B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167</w:t>
            </w:r>
            <w:r w:rsidRPr="00A1056C">
              <w:rPr>
                <w:rFonts w:ascii="Arial" w:hAnsi="Arial" w:cs="Arial"/>
                <w:sz w:val="22"/>
                <w:szCs w:val="22"/>
                <w:lang w:val="en-GB"/>
              </w:rPr>
              <w:t>.</w:t>
            </w:r>
          </w:p>
        </w:tc>
        <w:tc>
          <w:tcPr>
            <w:tcW w:w="6860" w:type="dxa"/>
            <w:gridSpan w:val="3"/>
            <w:shd w:val="clear" w:color="auto" w:fill="auto"/>
          </w:tcPr>
          <w:p w14:paraId="7EAD1C3D" w14:textId="5FAC1F73"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Following the session at which they are examined by the Committee, reports are made available to the public for information, unless decided otherwise by the Committee in exceptional cases.</w:t>
            </w:r>
          </w:p>
        </w:tc>
        <w:tc>
          <w:tcPr>
            <w:tcW w:w="850" w:type="dxa"/>
            <w:gridSpan w:val="2"/>
          </w:tcPr>
          <w:p w14:paraId="52215229" w14:textId="77777777" w:rsidR="003942C4" w:rsidRPr="00645C14" w:rsidRDefault="003942C4" w:rsidP="00196F2F">
            <w:pPr>
              <w:spacing w:before="120" w:after="120"/>
              <w:jc w:val="right"/>
              <w:rPr>
                <w:rFonts w:ascii="Arial" w:hAnsi="Arial" w:cs="Arial"/>
                <w:strike/>
                <w:sz w:val="22"/>
                <w:szCs w:val="22"/>
                <w:lang w:val="en-GB"/>
              </w:rPr>
            </w:pPr>
            <w:r w:rsidRPr="00645C14">
              <w:rPr>
                <w:rFonts w:ascii="Arial" w:hAnsi="Arial" w:cs="Arial"/>
                <w:strike/>
                <w:sz w:val="22"/>
                <w:szCs w:val="22"/>
                <w:lang w:val="en-GB"/>
              </w:rPr>
              <w:t>167.</w:t>
            </w:r>
          </w:p>
        </w:tc>
        <w:tc>
          <w:tcPr>
            <w:tcW w:w="6661" w:type="dxa"/>
            <w:gridSpan w:val="2"/>
          </w:tcPr>
          <w:p w14:paraId="6359CE6D" w14:textId="3950AA00" w:rsidR="003942C4" w:rsidRPr="00645C14" w:rsidRDefault="00645C14" w:rsidP="00196F2F">
            <w:pPr>
              <w:spacing w:before="120" w:after="120"/>
              <w:jc w:val="both"/>
              <w:rPr>
                <w:rFonts w:ascii="Arial" w:hAnsi="Arial" w:cs="Arial"/>
                <w:strike/>
                <w:sz w:val="22"/>
                <w:szCs w:val="22"/>
                <w:lang w:val="en-GB"/>
              </w:rPr>
            </w:pPr>
            <w:r w:rsidRPr="00645C14">
              <w:rPr>
                <w:rFonts w:ascii="Arial" w:hAnsi="Arial" w:cs="Arial"/>
                <w:strike/>
                <w:sz w:val="22"/>
                <w:szCs w:val="22"/>
                <w:lang w:val="en-GB"/>
              </w:rPr>
              <w:t>Following the session at which they are examined by the Committee, reports are made available to the public for information, unless decided otherwise by the Committee in exceptional cases.</w:t>
            </w:r>
          </w:p>
        </w:tc>
      </w:tr>
      <w:tr w:rsidR="003942C4" w:rsidRPr="00B36C17" w14:paraId="76856E57" w14:textId="77777777" w:rsidTr="00196F2F">
        <w:trPr>
          <w:cantSplit/>
        </w:trPr>
        <w:tc>
          <w:tcPr>
            <w:tcW w:w="1080" w:type="dxa"/>
            <w:gridSpan w:val="2"/>
            <w:shd w:val="clear" w:color="auto" w:fill="auto"/>
          </w:tcPr>
          <w:p w14:paraId="4DB1642C" w14:textId="77777777" w:rsidR="003942C4" w:rsidRPr="0096363C" w:rsidRDefault="003942C4" w:rsidP="00196F2F">
            <w:pPr>
              <w:spacing w:before="120" w:after="120"/>
              <w:jc w:val="right"/>
              <w:rPr>
                <w:rFonts w:ascii="Arial" w:hAnsi="Arial" w:cs="Arial"/>
                <w:b/>
                <w:sz w:val="22"/>
                <w:szCs w:val="22"/>
                <w:lang w:val="en-GB"/>
              </w:rPr>
            </w:pPr>
            <w:r w:rsidRPr="0096363C">
              <w:rPr>
                <w:rFonts w:ascii="Arial" w:hAnsi="Arial" w:cs="Arial"/>
                <w:b/>
                <w:sz w:val="22"/>
                <w:szCs w:val="22"/>
                <w:lang w:val="en-GB"/>
              </w:rPr>
              <w:t>V.</w:t>
            </w:r>
            <w:r>
              <w:rPr>
                <w:rFonts w:ascii="Arial" w:hAnsi="Arial" w:cs="Arial"/>
                <w:b/>
                <w:sz w:val="22"/>
                <w:szCs w:val="22"/>
                <w:lang w:val="en-GB"/>
              </w:rPr>
              <w:t>4</w:t>
            </w:r>
          </w:p>
        </w:tc>
        <w:tc>
          <w:tcPr>
            <w:tcW w:w="6860" w:type="dxa"/>
            <w:gridSpan w:val="3"/>
            <w:shd w:val="clear" w:color="auto" w:fill="auto"/>
          </w:tcPr>
          <w:p w14:paraId="295CD6AF" w14:textId="77777777" w:rsidR="003942C4" w:rsidRPr="0096363C" w:rsidRDefault="003942C4" w:rsidP="00196F2F">
            <w:pPr>
              <w:spacing w:before="120" w:after="120"/>
              <w:jc w:val="both"/>
              <w:rPr>
                <w:rFonts w:ascii="Arial" w:hAnsi="Arial" w:cs="Arial"/>
                <w:b/>
                <w:lang w:val="en-GB"/>
              </w:rPr>
            </w:pPr>
            <w:r w:rsidRPr="0096363C">
              <w:rPr>
                <w:rFonts w:ascii="Arial" w:hAnsi="Arial" w:cs="Arial"/>
                <w:b/>
                <w:lang w:val="en-GB"/>
              </w:rPr>
              <w:t>Reports by States non party to the Convention on elements inscribed on the Representative List of the Intangible Cultural Heritage of Humanity</w:t>
            </w:r>
          </w:p>
        </w:tc>
        <w:tc>
          <w:tcPr>
            <w:tcW w:w="850" w:type="dxa"/>
            <w:gridSpan w:val="2"/>
          </w:tcPr>
          <w:p w14:paraId="69A4C439" w14:textId="77777777" w:rsidR="003942C4" w:rsidRPr="004815DD" w:rsidRDefault="003942C4" w:rsidP="00196F2F">
            <w:pPr>
              <w:spacing w:before="120" w:after="120"/>
              <w:jc w:val="right"/>
              <w:rPr>
                <w:rFonts w:ascii="Arial" w:hAnsi="Arial" w:cs="Arial"/>
                <w:b/>
                <w:sz w:val="22"/>
                <w:szCs w:val="22"/>
                <w:lang w:val="en-GB"/>
              </w:rPr>
            </w:pPr>
            <w:r w:rsidRPr="004815DD">
              <w:rPr>
                <w:rFonts w:ascii="Arial" w:hAnsi="Arial" w:cs="Arial"/>
                <w:b/>
                <w:sz w:val="22"/>
                <w:szCs w:val="22"/>
                <w:lang w:val="en-GB"/>
              </w:rPr>
              <w:t>V.4</w:t>
            </w:r>
          </w:p>
        </w:tc>
        <w:tc>
          <w:tcPr>
            <w:tcW w:w="6661" w:type="dxa"/>
            <w:gridSpan w:val="2"/>
          </w:tcPr>
          <w:p w14:paraId="7108B7F0" w14:textId="77777777" w:rsidR="003942C4" w:rsidRPr="00B36C17" w:rsidRDefault="003942C4" w:rsidP="00196F2F">
            <w:pPr>
              <w:spacing w:before="120" w:after="120"/>
              <w:jc w:val="both"/>
              <w:rPr>
                <w:rFonts w:ascii="Arial" w:hAnsi="Arial" w:cs="Arial"/>
                <w:sz w:val="22"/>
                <w:szCs w:val="22"/>
                <w:lang w:val="en-GB"/>
              </w:rPr>
            </w:pPr>
            <w:r w:rsidRPr="00B36C17">
              <w:rPr>
                <w:rFonts w:ascii="Arial" w:hAnsi="Arial" w:cs="Arial"/>
                <w:sz w:val="22"/>
                <w:szCs w:val="22"/>
                <w:lang w:val="en-GB"/>
              </w:rPr>
              <w:t>No change.</w:t>
            </w:r>
          </w:p>
        </w:tc>
      </w:tr>
      <w:tr w:rsidR="003942C4" w:rsidRPr="00453F74" w14:paraId="6D849FF7" w14:textId="77777777" w:rsidTr="00196F2F">
        <w:trPr>
          <w:cantSplit/>
        </w:trPr>
        <w:tc>
          <w:tcPr>
            <w:tcW w:w="1080" w:type="dxa"/>
            <w:gridSpan w:val="2"/>
            <w:shd w:val="clear" w:color="auto" w:fill="auto"/>
          </w:tcPr>
          <w:p w14:paraId="77E6FF0E"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168</w:t>
            </w:r>
            <w:r w:rsidRPr="00A1056C">
              <w:rPr>
                <w:rFonts w:ascii="Arial" w:hAnsi="Arial" w:cs="Arial"/>
                <w:sz w:val="22"/>
                <w:szCs w:val="22"/>
                <w:lang w:val="en-GB"/>
              </w:rPr>
              <w:t>.</w:t>
            </w:r>
          </w:p>
        </w:tc>
        <w:tc>
          <w:tcPr>
            <w:tcW w:w="6860" w:type="dxa"/>
            <w:gridSpan w:val="3"/>
            <w:shd w:val="clear" w:color="auto" w:fill="auto"/>
          </w:tcPr>
          <w:p w14:paraId="73D3BB3D" w14:textId="77777777" w:rsidR="003942C4" w:rsidRPr="00710CE9" w:rsidRDefault="003942C4" w:rsidP="00196F2F">
            <w:pPr>
              <w:spacing w:before="120" w:after="120"/>
              <w:jc w:val="both"/>
              <w:rPr>
                <w:rFonts w:ascii="Arial" w:hAnsi="Arial" w:cs="Arial"/>
                <w:sz w:val="22"/>
                <w:szCs w:val="22"/>
                <w:lang w:val="en-GB"/>
              </w:rPr>
            </w:pPr>
            <w:r w:rsidRPr="0096363C">
              <w:rPr>
                <w:rFonts w:ascii="Arial" w:hAnsi="Arial" w:cs="Arial"/>
                <w:sz w:val="22"/>
                <w:szCs w:val="22"/>
                <w:lang w:val="en-GB"/>
              </w:rPr>
              <w:t>Paragraphs 157–159 and 165–167 of these directives shall apply fully to States non party to the Convention that have in their territories items proclaimed Masterpieces incorporated in the Representative List of the Intangible Cultural Heritage of Humanity, and that have consented to accept the rights and obligations attendant thereon.</w:t>
            </w:r>
          </w:p>
        </w:tc>
        <w:tc>
          <w:tcPr>
            <w:tcW w:w="850" w:type="dxa"/>
            <w:gridSpan w:val="2"/>
          </w:tcPr>
          <w:p w14:paraId="1CC2F671" w14:textId="77777777" w:rsidR="003942C4" w:rsidRPr="00BA4171" w:rsidRDefault="003942C4" w:rsidP="00196F2F">
            <w:pPr>
              <w:spacing w:before="120" w:after="120"/>
              <w:jc w:val="right"/>
              <w:rPr>
                <w:rFonts w:ascii="Arial" w:hAnsi="Arial" w:cs="Arial"/>
                <w:sz w:val="22"/>
                <w:szCs w:val="22"/>
                <w:lang w:val="en-GB"/>
              </w:rPr>
            </w:pPr>
            <w:r w:rsidRPr="00FB5BF2">
              <w:rPr>
                <w:rFonts w:ascii="Arial" w:hAnsi="Arial" w:cs="Arial"/>
                <w:strike/>
                <w:sz w:val="22"/>
                <w:szCs w:val="22"/>
                <w:lang w:val="en-GB"/>
              </w:rPr>
              <w:t>168</w:t>
            </w:r>
            <w:r>
              <w:rPr>
                <w:rFonts w:ascii="Arial" w:hAnsi="Arial" w:cs="Arial"/>
                <w:sz w:val="22"/>
                <w:szCs w:val="22"/>
                <w:lang w:val="en-GB"/>
              </w:rPr>
              <w:t xml:space="preserve"> 167.</w:t>
            </w:r>
          </w:p>
        </w:tc>
        <w:tc>
          <w:tcPr>
            <w:tcW w:w="6661" w:type="dxa"/>
            <w:gridSpan w:val="2"/>
          </w:tcPr>
          <w:p w14:paraId="7E751A73" w14:textId="2F5074B7" w:rsidR="003942C4" w:rsidRPr="00BA4171" w:rsidRDefault="003942C4" w:rsidP="00126174">
            <w:pPr>
              <w:spacing w:before="120" w:after="120"/>
              <w:jc w:val="both"/>
              <w:rPr>
                <w:rFonts w:ascii="Arial" w:hAnsi="Arial" w:cs="Arial"/>
                <w:sz w:val="22"/>
                <w:szCs w:val="22"/>
                <w:lang w:val="en-GB"/>
              </w:rPr>
            </w:pPr>
            <w:r w:rsidRPr="0096363C">
              <w:rPr>
                <w:rFonts w:ascii="Arial" w:hAnsi="Arial" w:cs="Arial"/>
                <w:sz w:val="22"/>
                <w:szCs w:val="22"/>
                <w:lang w:val="en-GB"/>
              </w:rPr>
              <w:t>Paragraphs 157–159 and 165–16</w:t>
            </w:r>
            <w:r w:rsidRPr="009360AA">
              <w:rPr>
                <w:rFonts w:ascii="Arial" w:hAnsi="Arial" w:cs="Arial"/>
                <w:strike/>
                <w:sz w:val="22"/>
                <w:szCs w:val="22"/>
                <w:lang w:val="en-GB"/>
              </w:rPr>
              <w:t>7</w:t>
            </w:r>
            <w:r w:rsidRPr="009360AA">
              <w:rPr>
                <w:rFonts w:ascii="Arial" w:hAnsi="Arial" w:cs="Arial"/>
                <w:b/>
                <w:bCs/>
                <w:sz w:val="22"/>
                <w:szCs w:val="22"/>
                <w:u w:val="single"/>
                <w:lang w:val="en-GB"/>
              </w:rPr>
              <w:t>6</w:t>
            </w:r>
            <w:r w:rsidRPr="0096363C">
              <w:rPr>
                <w:rFonts w:ascii="Arial" w:hAnsi="Arial" w:cs="Arial"/>
                <w:sz w:val="22"/>
                <w:szCs w:val="22"/>
                <w:lang w:val="en-GB"/>
              </w:rPr>
              <w:t xml:space="preserve"> of these directives shall apply fully to States non party to the Convention that have in their territories items proclaimed </w:t>
            </w:r>
            <w:r w:rsidR="00126174">
              <w:rPr>
                <w:rFonts w:ascii="Arial" w:hAnsi="Arial" w:cs="Arial"/>
                <w:sz w:val="22"/>
                <w:szCs w:val="22"/>
                <w:lang w:val="en-GB"/>
              </w:rPr>
              <w:t xml:space="preserve">as </w:t>
            </w:r>
            <w:r w:rsidRPr="0096363C">
              <w:rPr>
                <w:rFonts w:ascii="Arial" w:hAnsi="Arial" w:cs="Arial"/>
                <w:sz w:val="22"/>
                <w:szCs w:val="22"/>
                <w:lang w:val="en-GB"/>
              </w:rPr>
              <w:t xml:space="preserve">Masterpieces incorporated </w:t>
            </w:r>
            <w:r w:rsidR="00126174">
              <w:rPr>
                <w:rFonts w:ascii="Arial" w:hAnsi="Arial" w:cs="Arial"/>
                <w:sz w:val="22"/>
                <w:szCs w:val="22"/>
                <w:lang w:val="en-GB"/>
              </w:rPr>
              <w:t>on</w:t>
            </w:r>
            <w:r w:rsidR="00126174" w:rsidRPr="0096363C">
              <w:rPr>
                <w:rFonts w:ascii="Arial" w:hAnsi="Arial" w:cs="Arial"/>
                <w:sz w:val="22"/>
                <w:szCs w:val="22"/>
                <w:lang w:val="en-GB"/>
              </w:rPr>
              <w:t xml:space="preserve"> </w:t>
            </w:r>
            <w:r w:rsidRPr="0096363C">
              <w:rPr>
                <w:rFonts w:ascii="Arial" w:hAnsi="Arial" w:cs="Arial"/>
                <w:sz w:val="22"/>
                <w:szCs w:val="22"/>
                <w:lang w:val="en-GB"/>
              </w:rPr>
              <w:t>the Representative List of the Intangible Cultural Heritage of Humanity, and that have consented to accept the rights and obligations attendant thereon.</w:t>
            </w:r>
          </w:p>
        </w:tc>
      </w:tr>
      <w:tr w:rsidR="003942C4" w:rsidRPr="00453F74" w14:paraId="4D2E8AD1" w14:textId="77777777" w:rsidTr="00196F2F">
        <w:trPr>
          <w:cantSplit/>
        </w:trPr>
        <w:tc>
          <w:tcPr>
            <w:tcW w:w="1080" w:type="dxa"/>
            <w:gridSpan w:val="2"/>
            <w:shd w:val="clear" w:color="auto" w:fill="auto"/>
          </w:tcPr>
          <w:p w14:paraId="13F9C00B" w14:textId="77777777" w:rsidR="003942C4" w:rsidRPr="00A1056C" w:rsidRDefault="003942C4" w:rsidP="00196F2F">
            <w:pPr>
              <w:spacing w:before="120" w:after="120"/>
              <w:jc w:val="right"/>
              <w:rPr>
                <w:rFonts w:ascii="Arial" w:hAnsi="Arial" w:cs="Arial"/>
                <w:sz w:val="22"/>
                <w:szCs w:val="22"/>
                <w:lang w:val="en-GB"/>
              </w:rPr>
            </w:pPr>
            <w:r>
              <w:rPr>
                <w:rFonts w:ascii="Arial" w:hAnsi="Arial" w:cs="Arial"/>
                <w:sz w:val="22"/>
                <w:szCs w:val="22"/>
                <w:lang w:val="en-GB"/>
              </w:rPr>
              <w:t>169</w:t>
            </w:r>
            <w:r w:rsidRPr="00A1056C">
              <w:rPr>
                <w:rFonts w:ascii="Arial" w:hAnsi="Arial" w:cs="Arial"/>
                <w:sz w:val="22"/>
                <w:szCs w:val="22"/>
                <w:lang w:val="en-GB"/>
              </w:rPr>
              <w:t>.</w:t>
            </w:r>
          </w:p>
        </w:tc>
        <w:tc>
          <w:tcPr>
            <w:tcW w:w="6860" w:type="dxa"/>
            <w:gridSpan w:val="3"/>
            <w:shd w:val="clear" w:color="auto" w:fill="auto"/>
          </w:tcPr>
          <w:p w14:paraId="6F491C77" w14:textId="0042B692" w:rsidR="003942C4" w:rsidRPr="00710CE9" w:rsidRDefault="006610D9" w:rsidP="00196F2F">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shall be submitted to the Committee by States non party by 15 December 2014, and every sixth year thereafter. Form ICH-10 </w:t>
            </w:r>
            <w:proofErr w:type="gramStart"/>
            <w:r w:rsidRPr="006610D9">
              <w:rPr>
                <w:rFonts w:ascii="Arial" w:hAnsi="Arial" w:cs="Arial"/>
                <w:sz w:val="22"/>
                <w:szCs w:val="22"/>
                <w:lang w:val="en-GB"/>
              </w:rPr>
              <w:t>is used</w:t>
            </w:r>
            <w:proofErr w:type="gramEnd"/>
            <w:r w:rsidRPr="006610D9">
              <w:rPr>
                <w:rFonts w:ascii="Arial" w:hAnsi="Arial" w:cs="Arial"/>
                <w:sz w:val="22"/>
                <w:szCs w:val="22"/>
                <w:lang w:val="en-GB"/>
              </w:rPr>
              <w:t xml:space="preserve"> for such reports, available at </w:t>
            </w:r>
            <w:hyperlink r:id="rId27" w:history="1">
              <w:r w:rsidRPr="006610D9">
                <w:rPr>
                  <w:rStyle w:val="Hyperlink"/>
                  <w:rFonts w:ascii="Arial" w:hAnsi="Arial" w:cs="Arial"/>
                  <w:sz w:val="22"/>
                  <w:szCs w:val="22"/>
                  <w:lang w:val="en-GB"/>
                </w:rPr>
                <w:t>www.unesco.org/culture/ich</w:t>
              </w:r>
            </w:hyperlink>
            <w:r w:rsidRPr="006610D9">
              <w:rPr>
                <w:rFonts w:ascii="Arial" w:hAnsi="Arial" w:cs="Arial"/>
                <w:sz w:val="22"/>
                <w:szCs w:val="22"/>
                <w:lang w:val="en-GB"/>
              </w:rPr>
              <w:t xml:space="preserve"> or on request from the Secretariat. The reports shall include only the information requested in the form.</w:t>
            </w:r>
          </w:p>
        </w:tc>
        <w:tc>
          <w:tcPr>
            <w:tcW w:w="850" w:type="dxa"/>
            <w:gridSpan w:val="2"/>
          </w:tcPr>
          <w:p w14:paraId="62D60374" w14:textId="77777777" w:rsidR="003942C4" w:rsidRPr="00BA4171" w:rsidRDefault="003942C4" w:rsidP="00196F2F">
            <w:pPr>
              <w:spacing w:before="120" w:after="120"/>
              <w:jc w:val="right"/>
              <w:rPr>
                <w:rFonts w:ascii="Arial" w:hAnsi="Arial" w:cs="Arial"/>
                <w:sz w:val="22"/>
                <w:szCs w:val="22"/>
                <w:lang w:val="en-GB"/>
              </w:rPr>
            </w:pPr>
            <w:r w:rsidRPr="00FB5BF2">
              <w:rPr>
                <w:rFonts w:ascii="Arial" w:hAnsi="Arial" w:cs="Arial"/>
                <w:strike/>
                <w:sz w:val="22"/>
                <w:szCs w:val="22"/>
                <w:lang w:val="en-GB"/>
              </w:rPr>
              <w:t>169</w:t>
            </w:r>
            <w:r>
              <w:rPr>
                <w:rFonts w:ascii="Arial" w:hAnsi="Arial" w:cs="Arial"/>
                <w:sz w:val="22"/>
                <w:szCs w:val="22"/>
                <w:lang w:val="en-GB"/>
              </w:rPr>
              <w:t xml:space="preserve"> 168</w:t>
            </w:r>
            <w:r w:rsidRPr="00BA4171">
              <w:rPr>
                <w:rFonts w:ascii="Arial" w:hAnsi="Arial" w:cs="Arial"/>
                <w:sz w:val="22"/>
                <w:szCs w:val="22"/>
                <w:lang w:val="en-GB"/>
              </w:rPr>
              <w:t>.</w:t>
            </w:r>
          </w:p>
        </w:tc>
        <w:tc>
          <w:tcPr>
            <w:tcW w:w="6661" w:type="dxa"/>
            <w:gridSpan w:val="2"/>
          </w:tcPr>
          <w:p w14:paraId="474F6DA7" w14:textId="3C9A6B38" w:rsidR="003942C4" w:rsidRPr="00BA4171" w:rsidRDefault="005E4569" w:rsidP="00126174">
            <w:pPr>
              <w:spacing w:before="120" w:after="120"/>
              <w:jc w:val="both"/>
              <w:rPr>
                <w:rFonts w:ascii="Arial" w:hAnsi="Arial" w:cs="Arial"/>
                <w:sz w:val="22"/>
                <w:szCs w:val="22"/>
                <w:lang w:val="en-GB"/>
              </w:rPr>
            </w:pPr>
            <w:r w:rsidRPr="006610D9">
              <w:rPr>
                <w:rFonts w:ascii="Arial" w:hAnsi="Arial" w:cs="Arial"/>
                <w:sz w:val="22"/>
                <w:szCs w:val="22"/>
                <w:lang w:val="en-GB"/>
              </w:rPr>
              <w:t xml:space="preserve">Such reports shall be submitted to the Committee by States non party by 15 December 2014, and every sixth year thereafter. </w:t>
            </w:r>
            <w:r w:rsidRPr="0036383E">
              <w:rPr>
                <w:rFonts w:ascii="Arial" w:hAnsi="Arial" w:cs="Arial"/>
                <w:sz w:val="22"/>
                <w:szCs w:val="22"/>
                <w:lang w:val="en-GB"/>
              </w:rPr>
              <w:t xml:space="preserve">Form ICH-10 </w:t>
            </w:r>
            <w:proofErr w:type="gramStart"/>
            <w:r w:rsidRPr="0036383E">
              <w:rPr>
                <w:rFonts w:ascii="Arial" w:hAnsi="Arial" w:cs="Arial"/>
                <w:strike/>
                <w:sz w:val="22"/>
                <w:szCs w:val="22"/>
                <w:lang w:val="en-GB"/>
              </w:rPr>
              <w:t>is used</w:t>
            </w:r>
            <w:proofErr w:type="gramEnd"/>
            <w:r w:rsidRPr="0036383E">
              <w:rPr>
                <w:rFonts w:ascii="Arial" w:hAnsi="Arial" w:cs="Arial"/>
                <w:strike/>
                <w:sz w:val="22"/>
                <w:szCs w:val="22"/>
                <w:lang w:val="en-GB"/>
              </w:rPr>
              <w:t xml:space="preserve"> for such reports, available at </w:t>
            </w:r>
            <w:hyperlink r:id="rId28" w:history="1">
              <w:r w:rsidR="0036383E" w:rsidRPr="0036383E">
                <w:rPr>
                  <w:rStyle w:val="Hyperlink"/>
                  <w:rFonts w:ascii="Arial" w:hAnsi="Arial" w:cs="Arial"/>
                  <w:strike/>
                  <w:sz w:val="22"/>
                  <w:szCs w:val="22"/>
                  <w:lang w:val="en-GB"/>
                </w:rPr>
                <w:t>www.unesco.org/culture/ich</w:t>
              </w:r>
            </w:hyperlink>
            <w:r w:rsidRPr="0036383E">
              <w:rPr>
                <w:rFonts w:ascii="Arial" w:hAnsi="Arial" w:cs="Arial"/>
                <w:strike/>
                <w:sz w:val="22"/>
                <w:szCs w:val="22"/>
                <w:lang w:val="en-GB"/>
              </w:rPr>
              <w:t xml:space="preserve"> or on request from the Secretariat. The reports shall include only the information requested in the form.</w:t>
            </w:r>
            <w:r w:rsidR="0036383E">
              <w:rPr>
                <w:rFonts w:ascii="Arial" w:hAnsi="Arial" w:cs="Arial"/>
                <w:strike/>
                <w:sz w:val="22"/>
                <w:szCs w:val="22"/>
                <w:lang w:val="en-GB"/>
              </w:rPr>
              <w:t xml:space="preserve"> </w:t>
            </w:r>
            <w:proofErr w:type="gramStart"/>
            <w:r w:rsidR="00126174">
              <w:rPr>
                <w:rFonts w:ascii="Arial" w:hAnsi="Arial" w:cs="Arial"/>
                <w:b/>
                <w:color w:val="000000"/>
                <w:sz w:val="22"/>
                <w:szCs w:val="22"/>
                <w:u w:val="single"/>
                <w:lang w:val="en-GB"/>
              </w:rPr>
              <w:t>must</w:t>
            </w:r>
            <w:proofErr w:type="gramEnd"/>
            <w:r w:rsidR="0036383E" w:rsidRPr="000A2E3E">
              <w:rPr>
                <w:rFonts w:ascii="Arial" w:hAnsi="Arial" w:cs="Arial"/>
                <w:b/>
                <w:color w:val="000000"/>
                <w:sz w:val="22"/>
                <w:szCs w:val="22"/>
                <w:u w:val="single"/>
                <w:lang w:val="en-GB"/>
              </w:rPr>
              <w:t xml:space="preserve"> be completed online by each State Party (</w:t>
            </w:r>
            <w:hyperlink r:id="rId29" w:history="1">
              <w:r w:rsidR="0036383E" w:rsidRPr="000A2E3E">
                <w:rPr>
                  <w:rStyle w:val="Hyperlink"/>
                  <w:rFonts w:ascii="Arial" w:hAnsi="Arial" w:cs="Arial"/>
                  <w:b/>
                  <w:sz w:val="22"/>
                  <w:szCs w:val="22"/>
                  <w:lang w:val="en-GB"/>
                </w:rPr>
                <w:t>https://ich.unesco.org/</w:t>
              </w:r>
            </w:hyperlink>
            <w:r w:rsidR="0036383E">
              <w:rPr>
                <w:rFonts w:ascii="Arial" w:hAnsi="Arial" w:cs="Arial"/>
                <w:b/>
                <w:color w:val="000000"/>
                <w:sz w:val="22"/>
                <w:szCs w:val="22"/>
                <w:u w:val="single"/>
                <w:lang w:val="en-GB"/>
              </w:rPr>
              <w:t>) and</w:t>
            </w:r>
            <w:r w:rsidR="0036383E" w:rsidRPr="000A2E3E">
              <w:rPr>
                <w:rFonts w:ascii="Arial" w:hAnsi="Arial" w:cs="Arial"/>
                <w:b/>
                <w:color w:val="000000"/>
                <w:sz w:val="22"/>
                <w:szCs w:val="22"/>
                <w:u w:val="single"/>
                <w:lang w:val="en-GB"/>
              </w:rPr>
              <w:t xml:space="preserve"> is revised at appropriate intervals</w:t>
            </w:r>
            <w:r w:rsidR="0036383E">
              <w:rPr>
                <w:rFonts w:ascii="Arial" w:hAnsi="Arial" w:cs="Arial"/>
                <w:b/>
                <w:color w:val="000000"/>
                <w:sz w:val="22"/>
                <w:szCs w:val="22"/>
                <w:u w:val="single"/>
                <w:lang w:val="en-GB"/>
              </w:rPr>
              <w:t xml:space="preserve"> </w:t>
            </w:r>
            <w:r w:rsidR="0036383E" w:rsidRPr="000A2E3E">
              <w:rPr>
                <w:rFonts w:ascii="Arial" w:hAnsi="Arial" w:cs="Arial"/>
                <w:b/>
                <w:color w:val="000000"/>
                <w:sz w:val="22"/>
                <w:szCs w:val="22"/>
                <w:u w:val="single"/>
                <w:lang w:val="en-GB"/>
              </w:rPr>
              <w:t>by the Secretariat.</w:t>
            </w:r>
          </w:p>
        </w:tc>
      </w:tr>
    </w:tbl>
    <w:p w14:paraId="7FFCACDD" w14:textId="77777777" w:rsidR="00B6098C" w:rsidRPr="003942C4" w:rsidRDefault="00B6098C" w:rsidP="001F26CF">
      <w:pPr>
        <w:pStyle w:val="COMParaDecision"/>
        <w:numPr>
          <w:ilvl w:val="0"/>
          <w:numId w:val="0"/>
        </w:numPr>
        <w:jc w:val="left"/>
      </w:pPr>
    </w:p>
    <w:sectPr w:rsidR="00B6098C" w:rsidRPr="003942C4" w:rsidSect="003942C4">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DD37" w14:textId="77777777" w:rsidR="00CB0542" w:rsidRDefault="00CB0542" w:rsidP="00655736">
      <w:r>
        <w:separator/>
      </w:r>
    </w:p>
  </w:endnote>
  <w:endnote w:type="continuationSeparator" w:id="0">
    <w:p w14:paraId="4D8FE37E"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A1B3" w14:textId="77777777" w:rsidR="00CB0542" w:rsidRDefault="00CB0542" w:rsidP="00655736">
      <w:r>
        <w:separator/>
      </w:r>
    </w:p>
  </w:footnote>
  <w:footnote w:type="continuationSeparator" w:id="0">
    <w:p w14:paraId="635A74CD" w14:textId="77777777" w:rsidR="00CB0542" w:rsidRDefault="00CB0542" w:rsidP="00655736">
      <w:r>
        <w:continuationSeparator/>
      </w:r>
    </w:p>
  </w:footnote>
  <w:footnote w:id="1">
    <w:p w14:paraId="6DAB6016" w14:textId="06CEE3DF" w:rsidR="00BE14B6" w:rsidRPr="00DC3672" w:rsidRDefault="00BE14B6" w:rsidP="00282FE2">
      <w:pPr>
        <w:pStyle w:val="FootnoteText"/>
        <w:ind w:left="567" w:hanging="567"/>
        <w:rPr>
          <w:rFonts w:ascii="Arial" w:hAnsi="Arial" w:cs="Arial"/>
          <w:sz w:val="18"/>
          <w:szCs w:val="18"/>
          <w:lang w:val="en-US"/>
        </w:rPr>
      </w:pPr>
      <w:r w:rsidRPr="00DC3672">
        <w:rPr>
          <w:rStyle w:val="FootnoteReference"/>
          <w:rFonts w:ascii="Arial" w:hAnsi="Arial" w:cs="Arial"/>
          <w:sz w:val="18"/>
          <w:szCs w:val="18"/>
          <w:vertAlign w:val="baseline"/>
        </w:rPr>
        <w:footnoteRef/>
      </w:r>
      <w:r w:rsidR="00282FE2" w:rsidRPr="00DC3672">
        <w:rPr>
          <w:rFonts w:ascii="Arial" w:hAnsi="Arial" w:cs="Arial"/>
          <w:sz w:val="18"/>
          <w:szCs w:val="18"/>
          <w:lang w:val="en-US"/>
        </w:rPr>
        <w:t>.</w:t>
      </w:r>
      <w:r w:rsidRPr="00DC3672">
        <w:rPr>
          <w:rFonts w:ascii="Arial" w:hAnsi="Arial" w:cs="Arial"/>
          <w:sz w:val="18"/>
          <w:szCs w:val="18"/>
          <w:lang w:val="en-US"/>
        </w:rPr>
        <w:t xml:space="preserve"> </w:t>
      </w:r>
      <w:r w:rsidR="00282FE2" w:rsidRPr="00DC3672">
        <w:rPr>
          <w:rFonts w:ascii="Arial" w:hAnsi="Arial" w:cs="Arial"/>
          <w:sz w:val="18"/>
          <w:szCs w:val="18"/>
          <w:lang w:val="en-US"/>
        </w:rPr>
        <w:tab/>
      </w:r>
      <w:r w:rsidRPr="00282FE2">
        <w:rPr>
          <w:rFonts w:ascii="Arial" w:hAnsi="Arial" w:cs="Arial"/>
          <w:sz w:val="18"/>
          <w:szCs w:val="18"/>
          <w:lang w:val="en-GB"/>
        </w:rPr>
        <w:t xml:space="preserve">Evaluation of the standard-setting work of UNESCO’s Culture Sector prepared by UNESCO’s Internal Oversight Service (IOS), </w:t>
      </w:r>
      <w:r w:rsidRPr="00282FE2">
        <w:rPr>
          <w:rFonts w:ascii="Arial" w:hAnsi="Arial" w:cs="Arial"/>
          <w:i/>
          <w:iCs/>
          <w:sz w:val="18"/>
          <w:szCs w:val="18"/>
          <w:lang w:val="en-GB"/>
        </w:rPr>
        <w:t>Evaluation of UNESCO’s Standard</w:t>
      </w:r>
      <w:r w:rsidRPr="00282FE2">
        <w:rPr>
          <w:rFonts w:ascii="Cambria Math" w:hAnsi="Cambria Math" w:cs="Cambria Math"/>
          <w:i/>
          <w:iCs/>
          <w:sz w:val="18"/>
          <w:szCs w:val="18"/>
          <w:lang w:val="en-GB"/>
        </w:rPr>
        <w:t>‐</w:t>
      </w:r>
      <w:r w:rsidRPr="00282FE2">
        <w:rPr>
          <w:rFonts w:ascii="Arial" w:hAnsi="Arial" w:cs="Arial"/>
          <w:i/>
          <w:iCs/>
          <w:sz w:val="18"/>
          <w:szCs w:val="18"/>
          <w:lang w:val="en-GB"/>
        </w:rPr>
        <w:t>setting Work of the Culture Sector: Part I – 2003 Convention for the Safeguarding of the Intangible Cultural Heritage</w:t>
      </w:r>
      <w:r w:rsidRPr="00282FE2">
        <w:rPr>
          <w:rFonts w:ascii="Arial" w:hAnsi="Arial" w:cs="Arial"/>
          <w:sz w:val="18"/>
          <w:szCs w:val="18"/>
          <w:lang w:val="en-GB"/>
        </w:rPr>
        <w:t xml:space="preserve">, available in </w:t>
      </w:r>
      <w:hyperlink r:id="rId1" w:tgtFrame="_blank" w:history="1">
        <w:proofErr w:type="spellStart"/>
        <w:r w:rsidRPr="00282FE2">
          <w:rPr>
            <w:rStyle w:val="Hyperlink"/>
            <w:rFonts w:ascii="Arial" w:hAnsi="Arial" w:cs="Arial"/>
            <w:bCs/>
            <w:color w:val="0872CB"/>
            <w:sz w:val="18"/>
            <w:szCs w:val="18"/>
            <w:lang w:val="en-GB"/>
          </w:rPr>
          <w:t>Eng</w:t>
        </w:r>
        <w:r w:rsidRPr="00282FE2">
          <w:rPr>
            <w:rStyle w:val="Hyperlink"/>
            <w:rFonts w:ascii="Arial" w:hAnsi="Arial" w:cs="Arial"/>
            <w:bCs/>
            <w:color w:val="0872CB"/>
            <w:sz w:val="18"/>
            <w:szCs w:val="18"/>
            <w:lang w:val="en-GB"/>
          </w:rPr>
          <w:t>l</w:t>
        </w:r>
        <w:r w:rsidRPr="00282FE2">
          <w:rPr>
            <w:rStyle w:val="Hyperlink"/>
            <w:rFonts w:ascii="Arial" w:hAnsi="Arial" w:cs="Arial"/>
            <w:bCs/>
            <w:color w:val="0872CB"/>
            <w:sz w:val="18"/>
            <w:szCs w:val="18"/>
            <w:lang w:val="en-GB"/>
          </w:rPr>
          <w:t>ish</w:t>
        </w:r>
      </w:hyperlink>
      <w:r w:rsidRPr="00282FE2">
        <w:rPr>
          <w:rFonts w:ascii="Arial" w:hAnsi="Arial" w:cs="Arial"/>
          <w:color w:val="414042"/>
          <w:sz w:val="18"/>
          <w:szCs w:val="18"/>
          <w:lang w:val="en-GB"/>
        </w:rPr>
        <w:t>|</w:t>
      </w:r>
      <w:hyperlink r:id="rId2" w:tgtFrame="_blank" w:history="1">
        <w:r w:rsidRPr="00282FE2">
          <w:rPr>
            <w:rStyle w:val="Hyperlink"/>
            <w:rFonts w:ascii="Arial" w:hAnsi="Arial" w:cs="Arial"/>
            <w:bCs/>
            <w:color w:val="0872CB"/>
            <w:sz w:val="18"/>
            <w:szCs w:val="18"/>
            <w:lang w:val="en-GB"/>
          </w:rPr>
          <w:t>Fr</w:t>
        </w:r>
        <w:r w:rsidRPr="00282FE2">
          <w:rPr>
            <w:rStyle w:val="Hyperlink"/>
            <w:rFonts w:ascii="Arial" w:hAnsi="Arial" w:cs="Arial"/>
            <w:bCs/>
            <w:color w:val="0872CB"/>
            <w:sz w:val="18"/>
            <w:szCs w:val="18"/>
            <w:lang w:val="en-GB"/>
          </w:rPr>
          <w:t>e</w:t>
        </w:r>
        <w:r w:rsidRPr="00282FE2">
          <w:rPr>
            <w:rStyle w:val="Hyperlink"/>
            <w:rFonts w:ascii="Arial" w:hAnsi="Arial" w:cs="Arial"/>
            <w:bCs/>
            <w:color w:val="0872CB"/>
            <w:sz w:val="18"/>
            <w:szCs w:val="18"/>
            <w:lang w:val="en-GB"/>
          </w:rPr>
          <w:t>nch</w:t>
        </w:r>
      </w:hyperlink>
      <w:r w:rsidRPr="00282FE2">
        <w:rPr>
          <w:rFonts w:ascii="Arial" w:hAnsi="Arial" w:cs="Arial"/>
          <w:color w:val="414042"/>
          <w:sz w:val="18"/>
          <w:szCs w:val="18"/>
          <w:lang w:val="en-GB"/>
        </w:rPr>
        <w:t>|</w:t>
      </w:r>
      <w:hyperlink r:id="rId3" w:tgtFrame="_blank" w:history="1">
        <w:r w:rsidRPr="00282FE2">
          <w:rPr>
            <w:rStyle w:val="Hyperlink"/>
            <w:rFonts w:ascii="Arial" w:hAnsi="Arial" w:cs="Arial"/>
            <w:bCs/>
            <w:color w:val="0872CB"/>
            <w:sz w:val="18"/>
            <w:szCs w:val="18"/>
            <w:lang w:val="en-GB"/>
          </w:rPr>
          <w:t>Sp</w:t>
        </w:r>
        <w:r w:rsidRPr="00282FE2">
          <w:rPr>
            <w:rStyle w:val="Hyperlink"/>
            <w:rFonts w:ascii="Arial" w:hAnsi="Arial" w:cs="Arial"/>
            <w:bCs/>
            <w:color w:val="0872CB"/>
            <w:sz w:val="18"/>
            <w:szCs w:val="18"/>
            <w:lang w:val="en-GB"/>
          </w:rPr>
          <w:t>a</w:t>
        </w:r>
        <w:r w:rsidRPr="00282FE2">
          <w:rPr>
            <w:rStyle w:val="Hyperlink"/>
            <w:rFonts w:ascii="Arial" w:hAnsi="Arial" w:cs="Arial"/>
            <w:bCs/>
            <w:color w:val="0872CB"/>
            <w:sz w:val="18"/>
            <w:szCs w:val="18"/>
            <w:lang w:val="en-GB"/>
          </w:rPr>
          <w:t>nish</w:t>
        </w:r>
      </w:hyperlink>
      <w:r w:rsidRPr="00282FE2">
        <w:rPr>
          <w:rFonts w:ascii="Arial" w:hAnsi="Arial" w:cs="Arial"/>
          <w:color w:val="414042"/>
          <w:sz w:val="18"/>
          <w:szCs w:val="18"/>
          <w:lang w:val="en-GB"/>
        </w:rPr>
        <w:t>|</w:t>
      </w:r>
      <w:hyperlink r:id="rId4" w:tgtFrame="_blank" w:history="1">
        <w:r w:rsidRPr="00282FE2">
          <w:rPr>
            <w:rStyle w:val="Hyperlink"/>
            <w:rFonts w:ascii="Arial" w:hAnsi="Arial" w:cs="Arial"/>
            <w:bCs/>
            <w:color w:val="0872CB"/>
            <w:sz w:val="18"/>
            <w:szCs w:val="18"/>
            <w:lang w:val="en-GB"/>
          </w:rPr>
          <w:t>Ara</w:t>
        </w:r>
        <w:r w:rsidRPr="00282FE2">
          <w:rPr>
            <w:rStyle w:val="Hyperlink"/>
            <w:rFonts w:ascii="Arial" w:hAnsi="Arial" w:cs="Arial"/>
            <w:bCs/>
            <w:color w:val="0872CB"/>
            <w:sz w:val="18"/>
            <w:szCs w:val="18"/>
            <w:lang w:val="en-GB"/>
          </w:rPr>
          <w:t>b</w:t>
        </w:r>
        <w:r w:rsidRPr="00282FE2">
          <w:rPr>
            <w:rStyle w:val="Hyperlink"/>
            <w:rFonts w:ascii="Arial" w:hAnsi="Arial" w:cs="Arial"/>
            <w:bCs/>
            <w:color w:val="0872CB"/>
            <w:sz w:val="18"/>
            <w:szCs w:val="18"/>
            <w:lang w:val="en-GB"/>
          </w:rPr>
          <w:t>ic</w:t>
        </w:r>
        <w:proofErr w:type="spellEnd"/>
      </w:hyperlink>
      <w:r w:rsidRPr="00282FE2">
        <w:rPr>
          <w:rFonts w:ascii="Arial" w:hAnsi="Arial" w:cs="Arial"/>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D9D7" w14:textId="698F03DE" w:rsidR="00D95C4C" w:rsidRPr="00C23A97" w:rsidRDefault="00CB0542">
    <w:pPr>
      <w:pStyle w:val="Header"/>
      <w:rPr>
        <w:rFonts w:ascii="Arial" w:hAnsi="Arial" w:cs="Arial"/>
        <w:lang w:val="en-GB"/>
      </w:rPr>
    </w:pPr>
    <w:r>
      <w:rPr>
        <w:rFonts w:ascii="Arial" w:hAnsi="Arial" w:cs="Arial"/>
        <w:sz w:val="20"/>
        <w:szCs w:val="20"/>
        <w:lang w:val="en-GB"/>
      </w:rPr>
      <w:t>ITH/1</w:t>
    </w:r>
    <w:r w:rsidR="00337CEB">
      <w:rPr>
        <w:rFonts w:ascii="Arial" w:eastAsiaTheme="minorEastAsia" w:hAnsi="Arial" w:cs="Arial" w:hint="eastAsia"/>
        <w:sz w:val="20"/>
        <w:szCs w:val="20"/>
        <w:lang w:val="en-GB" w:eastAsia="ko-KR"/>
      </w:rPr>
      <w:t>7</w:t>
    </w:r>
    <w:r>
      <w:rPr>
        <w:rFonts w:ascii="Arial" w:hAnsi="Arial" w:cs="Arial"/>
        <w:sz w:val="20"/>
        <w:szCs w:val="20"/>
        <w:lang w:val="en-GB"/>
      </w:rPr>
      <w:t>/1</w:t>
    </w:r>
    <w:r w:rsidR="00337CEB">
      <w:rPr>
        <w:rFonts w:ascii="Arial" w:eastAsiaTheme="minorEastAsia" w:hAnsi="Arial" w:cs="Arial" w:hint="eastAsia"/>
        <w:sz w:val="20"/>
        <w:szCs w:val="20"/>
        <w:lang w:val="en-GB" w:eastAsia="ko-KR"/>
      </w:rPr>
      <w:t>2</w:t>
    </w:r>
    <w:r w:rsidR="00EC6F8D">
      <w:rPr>
        <w:rFonts w:ascii="Arial" w:hAnsi="Arial" w:cs="Arial"/>
        <w:sz w:val="20"/>
        <w:szCs w:val="20"/>
        <w:lang w:val="en-GB"/>
      </w:rPr>
      <w:t>.COM</w:t>
    </w:r>
    <w:r w:rsidR="00D95C4C" w:rsidRPr="00C23A97">
      <w:rPr>
        <w:rFonts w:ascii="Arial" w:hAnsi="Arial" w:cs="Arial"/>
        <w:sz w:val="20"/>
        <w:szCs w:val="20"/>
        <w:lang w:val="en-GB"/>
      </w:rPr>
      <w:t>/</w:t>
    </w:r>
    <w:r w:rsidR="00326263">
      <w:rPr>
        <w:rFonts w:ascii="Arial" w:hAnsi="Arial" w:cs="Arial"/>
        <w:sz w:val="20"/>
        <w:szCs w:val="20"/>
        <w:lang w:val="en-GB"/>
      </w:rPr>
      <w:t>10</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DF2BE9">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E0BD" w14:textId="4833DFF3" w:rsidR="00D95C4C" w:rsidRPr="0063300C" w:rsidRDefault="0053318C" w:rsidP="0063300C">
    <w:pPr>
      <w:pStyle w:val="Header"/>
      <w:jc w:val="right"/>
      <w:rPr>
        <w:rFonts w:ascii="Arial" w:hAnsi="Arial" w:cs="Arial"/>
        <w:lang w:val="en-GB"/>
      </w:rPr>
    </w:pPr>
    <w:r>
      <w:rPr>
        <w:rFonts w:ascii="Arial" w:hAnsi="Arial" w:cs="Arial"/>
        <w:sz w:val="20"/>
        <w:szCs w:val="20"/>
        <w:lang w:val="en-GB"/>
      </w:rPr>
      <w:t>ITH/17/12</w:t>
    </w:r>
    <w:r w:rsidR="00EC6F8D">
      <w:rPr>
        <w:rFonts w:ascii="Arial" w:hAnsi="Arial" w:cs="Arial"/>
        <w:sz w:val="20"/>
        <w:szCs w:val="20"/>
        <w:lang w:val="en-GB"/>
      </w:rPr>
      <w:t>.COM</w:t>
    </w:r>
    <w:r w:rsidR="004A34A0" w:rsidRPr="0063300C">
      <w:rPr>
        <w:rFonts w:ascii="Arial" w:hAnsi="Arial" w:cs="Arial"/>
        <w:sz w:val="20"/>
        <w:szCs w:val="20"/>
        <w:lang w:val="en-GB"/>
      </w:rPr>
      <w:t>/</w:t>
    </w:r>
    <w:r w:rsidR="00D5143D">
      <w:rPr>
        <w:rFonts w:ascii="Arial" w:hAnsi="Arial" w:cs="Arial"/>
        <w:sz w:val="20"/>
        <w:szCs w:val="20"/>
        <w:lang w:val="en-GB"/>
      </w:rPr>
      <w:t>10</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DF2BE9">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B2C9" w14:textId="77777777" w:rsidR="00D95C4C" w:rsidRPr="00F32C23" w:rsidRDefault="00955877">
    <w:pPr>
      <w:pStyle w:val="Header"/>
      <w:rPr>
        <w:lang w:val="en-GB"/>
      </w:rPr>
    </w:pPr>
    <w:r>
      <w:rPr>
        <w:noProof/>
        <w:lang w:val="en-US" w:eastAsia="ko-KR"/>
      </w:rPr>
      <w:drawing>
        <wp:anchor distT="0" distB="0" distL="114300" distR="114300" simplePos="0" relativeHeight="251657728" behindDoc="0" locked="0" layoutInCell="1" allowOverlap="1" wp14:anchorId="1CE48142" wp14:editId="053F6FA9">
          <wp:simplePos x="0" y="0"/>
          <wp:positionH relativeFrom="column">
            <wp:posOffset>-567690</wp:posOffset>
          </wp:positionH>
          <wp:positionV relativeFrom="paragraph">
            <wp:posOffset>3810</wp:posOffset>
          </wp:positionV>
          <wp:extent cx="2228215" cy="1367790"/>
          <wp:effectExtent l="0" t="0" r="635" b="3810"/>
          <wp:wrapNone/>
          <wp:docPr id="4"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4BA89" w14:textId="77777777" w:rsidR="00D95C4C" w:rsidRPr="00F30DC6" w:rsidRDefault="00337CEB" w:rsidP="00655736">
    <w:pPr>
      <w:pStyle w:val="Header"/>
      <w:spacing w:after="520"/>
      <w:jc w:val="right"/>
      <w:rPr>
        <w:rFonts w:ascii="Arial" w:hAnsi="Arial" w:cs="Arial"/>
        <w:b/>
        <w:sz w:val="44"/>
        <w:szCs w:val="44"/>
        <w:lang w:val="en-GB"/>
      </w:rPr>
    </w:pPr>
    <w:r>
      <w:rPr>
        <w:rFonts w:ascii="Arial" w:hAnsi="Arial" w:cs="Arial"/>
        <w:b/>
        <w:sz w:val="44"/>
        <w:szCs w:val="44"/>
        <w:lang w:val="en-GB"/>
      </w:rPr>
      <w:t>1</w:t>
    </w:r>
    <w:r>
      <w:rPr>
        <w:rFonts w:ascii="Arial" w:eastAsiaTheme="minorEastAsia" w:hAnsi="Arial" w:cs="Arial" w:hint="eastAsia"/>
        <w:b/>
        <w:sz w:val="44"/>
        <w:szCs w:val="44"/>
        <w:lang w:val="en-GB" w:eastAsia="ko-KR"/>
      </w:rPr>
      <w:t>2</w:t>
    </w:r>
    <w:r w:rsidR="00EC6F8D" w:rsidRPr="00F30DC6">
      <w:rPr>
        <w:rFonts w:ascii="Arial" w:hAnsi="Arial" w:cs="Arial"/>
        <w:b/>
        <w:sz w:val="44"/>
        <w:szCs w:val="44"/>
        <w:lang w:val="en-GB"/>
      </w:rPr>
      <w:t xml:space="preserve"> COM</w:t>
    </w:r>
  </w:p>
  <w:p w14:paraId="1354FACE" w14:textId="199AE57A" w:rsidR="00D95C4C" w:rsidRPr="009D5428" w:rsidRDefault="00337CEB" w:rsidP="00655736">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hint="eastAsia"/>
        <w:b/>
        <w:sz w:val="22"/>
        <w:szCs w:val="22"/>
        <w:lang w:val="en-GB" w:eastAsia="ko-KR"/>
      </w:rPr>
      <w:t>7</w:t>
    </w:r>
    <w:r w:rsidR="00D95C4C" w:rsidRPr="009D5428">
      <w:rPr>
        <w:rFonts w:ascii="Arial" w:hAnsi="Arial" w:cs="Arial"/>
        <w:b/>
        <w:sz w:val="22"/>
        <w:szCs w:val="22"/>
        <w:lang w:val="en-GB"/>
      </w:rPr>
      <w:t>/</w:t>
    </w:r>
    <w:r w:rsidR="00CB0542">
      <w:rPr>
        <w:rFonts w:ascii="Arial" w:hAnsi="Arial" w:cs="Arial"/>
        <w:b/>
        <w:sz w:val="22"/>
        <w:szCs w:val="22"/>
        <w:lang w:val="en-GB"/>
      </w:rPr>
      <w:t>1</w:t>
    </w:r>
    <w:r>
      <w:rPr>
        <w:rFonts w:ascii="Arial" w:eastAsiaTheme="minorEastAsia" w:hAnsi="Arial" w:cs="Arial" w:hint="eastAsia"/>
        <w:b/>
        <w:sz w:val="22"/>
        <w:szCs w:val="22"/>
        <w:lang w:val="en-GB" w:eastAsia="ko-KR"/>
      </w:rPr>
      <w:t>2</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2F45C7" w:rsidRPr="00453F74">
      <w:rPr>
        <w:rFonts w:ascii="Arial" w:hAnsi="Arial" w:cs="Arial"/>
        <w:b/>
        <w:sz w:val="22"/>
        <w:szCs w:val="22"/>
        <w:lang w:val="en-GB"/>
      </w:rPr>
      <w:t>10</w:t>
    </w:r>
  </w:p>
  <w:p w14:paraId="3E266CEE" w14:textId="64784E92" w:rsidR="00D95C4C" w:rsidRPr="00337CEB" w:rsidRDefault="00D95C4C" w:rsidP="0065573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453F74" w:rsidRPr="00453F74">
      <w:rPr>
        <w:rFonts w:ascii="Arial" w:hAnsi="Arial" w:cs="Arial"/>
        <w:b/>
        <w:sz w:val="22"/>
        <w:szCs w:val="22"/>
        <w:lang w:val="en-GB"/>
      </w:rPr>
      <w:t>1</w:t>
    </w:r>
    <w:r w:rsidRPr="00453F74">
      <w:rPr>
        <w:rFonts w:ascii="Arial" w:hAnsi="Arial" w:cs="Arial"/>
        <w:b/>
        <w:sz w:val="22"/>
        <w:szCs w:val="22"/>
        <w:lang w:val="en-GB"/>
      </w:rPr>
      <w:t xml:space="preserve"> </w:t>
    </w:r>
    <w:r w:rsidR="002F45C7" w:rsidRPr="00453F74">
      <w:rPr>
        <w:rFonts w:ascii="Arial" w:hAnsi="Arial" w:cs="Arial"/>
        <w:b/>
        <w:sz w:val="22"/>
        <w:szCs w:val="22"/>
        <w:lang w:val="en-GB"/>
      </w:rPr>
      <w:t>November</w:t>
    </w:r>
    <w:r w:rsidRPr="00453F74">
      <w:rPr>
        <w:rFonts w:ascii="Arial" w:hAnsi="Arial" w:cs="Arial"/>
        <w:b/>
        <w:sz w:val="22"/>
        <w:szCs w:val="22"/>
        <w:lang w:val="en-GB"/>
      </w:rPr>
      <w:t xml:space="preserve"> </w:t>
    </w:r>
    <w:r w:rsidR="00337CEB" w:rsidRPr="00453F74">
      <w:rPr>
        <w:rFonts w:ascii="Arial" w:hAnsi="Arial" w:cs="Arial"/>
        <w:b/>
        <w:sz w:val="22"/>
        <w:szCs w:val="22"/>
        <w:lang w:val="en-GB"/>
      </w:rPr>
      <w:t>201</w:t>
    </w:r>
    <w:r w:rsidR="00337CEB" w:rsidRPr="00453F74">
      <w:rPr>
        <w:rFonts w:ascii="Arial" w:eastAsiaTheme="minorEastAsia" w:hAnsi="Arial" w:cs="Arial" w:hint="eastAsia"/>
        <w:b/>
        <w:sz w:val="22"/>
        <w:szCs w:val="22"/>
        <w:lang w:val="en-GB" w:eastAsia="ko-KR"/>
      </w:rPr>
      <w:t>7</w:t>
    </w:r>
  </w:p>
  <w:p w14:paraId="632DB3DC" w14:textId="47FCEB81"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2F45C7">
      <w:rPr>
        <w:rFonts w:ascii="Arial" w:hAnsi="Arial" w:cs="Arial"/>
        <w:b/>
        <w:sz w:val="22"/>
        <w:szCs w:val="22"/>
        <w:lang w:val="en-GB"/>
      </w:rPr>
      <w:t>English</w:t>
    </w:r>
  </w:p>
  <w:p w14:paraId="6B59F11C" w14:textId="77777777" w:rsidR="00D95C4C" w:rsidRPr="00F32C23" w:rsidRDefault="00D95C4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2" w15:restartNumberingAfterBreak="0">
    <w:nsid w:val="072B1CA5"/>
    <w:multiLevelType w:val="hybridMultilevel"/>
    <w:tmpl w:val="B882CC20"/>
    <w:lvl w:ilvl="0" w:tplc="9BB85C80">
      <w:start w:val="1"/>
      <w:numFmt w:val="decimal"/>
      <w:pStyle w:val="Texteavecnumro"/>
      <w:lvlText w:val="%1."/>
      <w:lvlJc w:val="left"/>
      <w:pPr>
        <w:ind w:left="1778" w:hanging="360"/>
      </w:pPr>
      <w:rPr>
        <w:rFonts w:hint="default"/>
        <w:color w:val="auto"/>
        <w:w w:val="10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0C166C6B"/>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6"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7"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1334E"/>
    <w:multiLevelType w:val="hybridMultilevel"/>
    <w:tmpl w:val="C1EE7A7E"/>
    <w:lvl w:ilvl="0" w:tplc="00D08D72">
      <w:start w:val="1"/>
      <w:numFmt w:val="lowerLetter"/>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0" w15:restartNumberingAfterBreak="0">
    <w:nsid w:val="35F07BFE"/>
    <w:multiLevelType w:val="hybridMultilevel"/>
    <w:tmpl w:val="4C7CAA2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5B111E"/>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C22FB2"/>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5" w15:restartNumberingAfterBreak="0">
    <w:nsid w:val="54C13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5A4266"/>
    <w:multiLevelType w:val="hybridMultilevel"/>
    <w:tmpl w:val="F2D68366"/>
    <w:lvl w:ilvl="0" w:tplc="5C6872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844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20" w15:restartNumberingAfterBreak="0">
    <w:nsid w:val="7E26587C"/>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num w:numId="1">
    <w:abstractNumId w:val="4"/>
  </w:num>
  <w:num w:numId="2">
    <w:abstractNumId w:val="10"/>
  </w:num>
  <w:num w:numId="3">
    <w:abstractNumId w:val="12"/>
  </w:num>
  <w:num w:numId="4">
    <w:abstractNumId w:val="13"/>
  </w:num>
  <w:num w:numId="5">
    <w:abstractNumId w:val="2"/>
  </w:num>
  <w:num w:numId="6">
    <w:abstractNumId w:val="10"/>
    <w:lvlOverride w:ilvl="0">
      <w:startOverride w:val="1"/>
    </w:lvlOverride>
  </w:num>
  <w:num w:numId="7">
    <w:abstractNumId w:val="14"/>
  </w:num>
  <w:num w:numId="8">
    <w:abstractNumId w:val="19"/>
  </w:num>
  <w:num w:numId="9">
    <w:abstractNumId w:val="19"/>
    <w:lvlOverride w:ilvl="0">
      <w:startOverride w:val="1"/>
    </w:lvlOverride>
  </w:num>
  <w:num w:numId="10">
    <w:abstractNumId w:val="18"/>
  </w:num>
  <w:num w:numId="11">
    <w:abstractNumId w:val="9"/>
  </w:num>
  <w:num w:numId="12">
    <w:abstractNumId w:val="6"/>
  </w:num>
  <w:num w:numId="13">
    <w:abstractNumId w:val="20"/>
  </w:num>
  <w:num w:numId="14">
    <w:abstractNumId w:val="1"/>
  </w:num>
  <w:num w:numId="15">
    <w:abstractNumId w:val="0"/>
  </w:num>
  <w:num w:numId="16">
    <w:abstractNumId w:val="5"/>
  </w:num>
  <w:num w:numId="17">
    <w:abstractNumId w:val="16"/>
  </w:num>
  <w:num w:numId="18">
    <w:abstractNumId w:val="11"/>
  </w:num>
  <w:num w:numId="19">
    <w:abstractNumId w:val="15"/>
  </w:num>
  <w:num w:numId="20">
    <w:abstractNumId w:val="7"/>
  </w:num>
  <w:num w:numId="21">
    <w:abstractNumId w:val="3"/>
  </w:num>
  <w:num w:numId="22">
    <w:abstractNumId w:val="1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92"/>
    <w:rsid w:val="000048ED"/>
    <w:rsid w:val="00013256"/>
    <w:rsid w:val="000149DF"/>
    <w:rsid w:val="000404CB"/>
    <w:rsid w:val="00041A66"/>
    <w:rsid w:val="0005176E"/>
    <w:rsid w:val="000536A2"/>
    <w:rsid w:val="00053CFA"/>
    <w:rsid w:val="000613C9"/>
    <w:rsid w:val="000765F7"/>
    <w:rsid w:val="00077AB7"/>
    <w:rsid w:val="00081CD8"/>
    <w:rsid w:val="000906EA"/>
    <w:rsid w:val="000A0A6F"/>
    <w:rsid w:val="000A266F"/>
    <w:rsid w:val="000A2E3E"/>
    <w:rsid w:val="000A4290"/>
    <w:rsid w:val="000A7F0E"/>
    <w:rsid w:val="000B1C8F"/>
    <w:rsid w:val="000C0D61"/>
    <w:rsid w:val="000C1804"/>
    <w:rsid w:val="000C2763"/>
    <w:rsid w:val="000D22BC"/>
    <w:rsid w:val="000D30D4"/>
    <w:rsid w:val="000D7715"/>
    <w:rsid w:val="000F01C1"/>
    <w:rsid w:val="000F3A3F"/>
    <w:rsid w:val="000F74C3"/>
    <w:rsid w:val="000F795D"/>
    <w:rsid w:val="00102557"/>
    <w:rsid w:val="00112A4A"/>
    <w:rsid w:val="00124FBA"/>
    <w:rsid w:val="00126174"/>
    <w:rsid w:val="00131D5F"/>
    <w:rsid w:val="00132378"/>
    <w:rsid w:val="00141055"/>
    <w:rsid w:val="001437A5"/>
    <w:rsid w:val="00164D56"/>
    <w:rsid w:val="00167B10"/>
    <w:rsid w:val="0017402F"/>
    <w:rsid w:val="00182528"/>
    <w:rsid w:val="001942F7"/>
    <w:rsid w:val="001954A5"/>
    <w:rsid w:val="00196C1B"/>
    <w:rsid w:val="001A11CD"/>
    <w:rsid w:val="001A1928"/>
    <w:rsid w:val="001B0F73"/>
    <w:rsid w:val="001C2DB7"/>
    <w:rsid w:val="001D3A15"/>
    <w:rsid w:val="001D5C04"/>
    <w:rsid w:val="001F26CF"/>
    <w:rsid w:val="0020338A"/>
    <w:rsid w:val="002148EE"/>
    <w:rsid w:val="00222A2D"/>
    <w:rsid w:val="00223029"/>
    <w:rsid w:val="00223AAD"/>
    <w:rsid w:val="00224D03"/>
    <w:rsid w:val="00227651"/>
    <w:rsid w:val="0023141D"/>
    <w:rsid w:val="00234511"/>
    <w:rsid w:val="00234745"/>
    <w:rsid w:val="002351A6"/>
    <w:rsid w:val="002407AF"/>
    <w:rsid w:val="00263DBF"/>
    <w:rsid w:val="00266661"/>
    <w:rsid w:val="0027466B"/>
    <w:rsid w:val="00282FE2"/>
    <w:rsid w:val="002836EE"/>
    <w:rsid w:val="002838A5"/>
    <w:rsid w:val="00284E34"/>
    <w:rsid w:val="00285BB4"/>
    <w:rsid w:val="00285DB9"/>
    <w:rsid w:val="00290C6B"/>
    <w:rsid w:val="002932E8"/>
    <w:rsid w:val="00294525"/>
    <w:rsid w:val="002A30D4"/>
    <w:rsid w:val="002A3B9A"/>
    <w:rsid w:val="002A591C"/>
    <w:rsid w:val="002B38AA"/>
    <w:rsid w:val="002B4A6D"/>
    <w:rsid w:val="002B69B1"/>
    <w:rsid w:val="002C09E3"/>
    <w:rsid w:val="002C21CA"/>
    <w:rsid w:val="002D0EF7"/>
    <w:rsid w:val="002D2CDF"/>
    <w:rsid w:val="002F45C7"/>
    <w:rsid w:val="002F54CA"/>
    <w:rsid w:val="002F579E"/>
    <w:rsid w:val="002F58B1"/>
    <w:rsid w:val="00304D1C"/>
    <w:rsid w:val="0031637C"/>
    <w:rsid w:val="00325339"/>
    <w:rsid w:val="00325A6F"/>
    <w:rsid w:val="00326263"/>
    <w:rsid w:val="003343C6"/>
    <w:rsid w:val="00337596"/>
    <w:rsid w:val="00337CEB"/>
    <w:rsid w:val="003413B4"/>
    <w:rsid w:val="00344B58"/>
    <w:rsid w:val="0034539A"/>
    <w:rsid w:val="00345CB4"/>
    <w:rsid w:val="0036383E"/>
    <w:rsid w:val="003746F1"/>
    <w:rsid w:val="00375D42"/>
    <w:rsid w:val="00375F5B"/>
    <w:rsid w:val="0038479A"/>
    <w:rsid w:val="00385AED"/>
    <w:rsid w:val="00386AE2"/>
    <w:rsid w:val="00386C3D"/>
    <w:rsid w:val="003942C4"/>
    <w:rsid w:val="003A08DB"/>
    <w:rsid w:val="003C79CB"/>
    <w:rsid w:val="003D069C"/>
    <w:rsid w:val="003D7646"/>
    <w:rsid w:val="003F113A"/>
    <w:rsid w:val="003F3E63"/>
    <w:rsid w:val="003F4571"/>
    <w:rsid w:val="00407480"/>
    <w:rsid w:val="00414643"/>
    <w:rsid w:val="00417A0F"/>
    <w:rsid w:val="00425667"/>
    <w:rsid w:val="00431C83"/>
    <w:rsid w:val="004421E5"/>
    <w:rsid w:val="004453FC"/>
    <w:rsid w:val="00452284"/>
    <w:rsid w:val="00453F74"/>
    <w:rsid w:val="004566EE"/>
    <w:rsid w:val="00457C8E"/>
    <w:rsid w:val="00460399"/>
    <w:rsid w:val="00464748"/>
    <w:rsid w:val="00480371"/>
    <w:rsid w:val="004856CA"/>
    <w:rsid w:val="00487E67"/>
    <w:rsid w:val="0049606A"/>
    <w:rsid w:val="0049705E"/>
    <w:rsid w:val="00497504"/>
    <w:rsid w:val="004A34A0"/>
    <w:rsid w:val="004A3755"/>
    <w:rsid w:val="004A4F6E"/>
    <w:rsid w:val="004B4848"/>
    <w:rsid w:val="004B622B"/>
    <w:rsid w:val="004D0728"/>
    <w:rsid w:val="004D3F07"/>
    <w:rsid w:val="004D462C"/>
    <w:rsid w:val="004F135D"/>
    <w:rsid w:val="004F18FF"/>
    <w:rsid w:val="005008A8"/>
    <w:rsid w:val="00501BDC"/>
    <w:rsid w:val="00507F86"/>
    <w:rsid w:val="005160F4"/>
    <w:rsid w:val="00516E35"/>
    <w:rsid w:val="005248E5"/>
    <w:rsid w:val="00526B7B"/>
    <w:rsid w:val="005308CE"/>
    <w:rsid w:val="0053318C"/>
    <w:rsid w:val="00540059"/>
    <w:rsid w:val="00541FAD"/>
    <w:rsid w:val="00545BC2"/>
    <w:rsid w:val="00555C73"/>
    <w:rsid w:val="005648BB"/>
    <w:rsid w:val="0057439C"/>
    <w:rsid w:val="00582B88"/>
    <w:rsid w:val="00584452"/>
    <w:rsid w:val="0059064E"/>
    <w:rsid w:val="005A3D94"/>
    <w:rsid w:val="005A757A"/>
    <w:rsid w:val="005B0127"/>
    <w:rsid w:val="005B7A35"/>
    <w:rsid w:val="005C4B73"/>
    <w:rsid w:val="005D3DF1"/>
    <w:rsid w:val="005E1D2B"/>
    <w:rsid w:val="005E4569"/>
    <w:rsid w:val="005E7074"/>
    <w:rsid w:val="005F1023"/>
    <w:rsid w:val="005F2BAF"/>
    <w:rsid w:val="006002D9"/>
    <w:rsid w:val="00600730"/>
    <w:rsid w:val="00600D93"/>
    <w:rsid w:val="0060535F"/>
    <w:rsid w:val="00611CA7"/>
    <w:rsid w:val="006249F4"/>
    <w:rsid w:val="00625F74"/>
    <w:rsid w:val="0063300C"/>
    <w:rsid w:val="00634764"/>
    <w:rsid w:val="00637ABC"/>
    <w:rsid w:val="0064010B"/>
    <w:rsid w:val="00645C14"/>
    <w:rsid w:val="0065279D"/>
    <w:rsid w:val="00655736"/>
    <w:rsid w:val="006572C8"/>
    <w:rsid w:val="006610D9"/>
    <w:rsid w:val="00663B8D"/>
    <w:rsid w:val="006655D8"/>
    <w:rsid w:val="00670EA1"/>
    <w:rsid w:val="006844FD"/>
    <w:rsid w:val="006865E2"/>
    <w:rsid w:val="006906E8"/>
    <w:rsid w:val="0069105E"/>
    <w:rsid w:val="00696C8D"/>
    <w:rsid w:val="006A2AC2"/>
    <w:rsid w:val="006A305D"/>
    <w:rsid w:val="006A3617"/>
    <w:rsid w:val="006A75F6"/>
    <w:rsid w:val="006B5F32"/>
    <w:rsid w:val="006C22A5"/>
    <w:rsid w:val="006C43F3"/>
    <w:rsid w:val="006D0D0E"/>
    <w:rsid w:val="006D18FE"/>
    <w:rsid w:val="006D4EC1"/>
    <w:rsid w:val="006E193F"/>
    <w:rsid w:val="006E2E83"/>
    <w:rsid w:val="006E46E4"/>
    <w:rsid w:val="0071173F"/>
    <w:rsid w:val="00713B9D"/>
    <w:rsid w:val="00717DA5"/>
    <w:rsid w:val="007313BC"/>
    <w:rsid w:val="00733D0B"/>
    <w:rsid w:val="007428ED"/>
    <w:rsid w:val="00743C28"/>
    <w:rsid w:val="00744484"/>
    <w:rsid w:val="00747180"/>
    <w:rsid w:val="00747566"/>
    <w:rsid w:val="00752736"/>
    <w:rsid w:val="00756DDF"/>
    <w:rsid w:val="00763271"/>
    <w:rsid w:val="007710CF"/>
    <w:rsid w:val="00773188"/>
    <w:rsid w:val="00783782"/>
    <w:rsid w:val="00784B8C"/>
    <w:rsid w:val="007879E1"/>
    <w:rsid w:val="00792DE7"/>
    <w:rsid w:val="007A683C"/>
    <w:rsid w:val="007B260C"/>
    <w:rsid w:val="007B38C0"/>
    <w:rsid w:val="007C0339"/>
    <w:rsid w:val="007D1742"/>
    <w:rsid w:val="007E0A37"/>
    <w:rsid w:val="007E1CC5"/>
    <w:rsid w:val="007E7478"/>
    <w:rsid w:val="007F1D28"/>
    <w:rsid w:val="007F2A3D"/>
    <w:rsid w:val="007F5B89"/>
    <w:rsid w:val="007F619A"/>
    <w:rsid w:val="008037C3"/>
    <w:rsid w:val="00807DE3"/>
    <w:rsid w:val="008143F2"/>
    <w:rsid w:val="00815161"/>
    <w:rsid w:val="00816635"/>
    <w:rsid w:val="00823A11"/>
    <w:rsid w:val="0085405E"/>
    <w:rsid w:val="0085414A"/>
    <w:rsid w:val="00855874"/>
    <w:rsid w:val="0086269D"/>
    <w:rsid w:val="00863652"/>
    <w:rsid w:val="00864F67"/>
    <w:rsid w:val="00865356"/>
    <w:rsid w:val="0086543A"/>
    <w:rsid w:val="00866926"/>
    <w:rsid w:val="008724E5"/>
    <w:rsid w:val="00874590"/>
    <w:rsid w:val="00884A9D"/>
    <w:rsid w:val="0088512B"/>
    <w:rsid w:val="008A114C"/>
    <w:rsid w:val="008A2B2D"/>
    <w:rsid w:val="008A342D"/>
    <w:rsid w:val="008A4E1E"/>
    <w:rsid w:val="008B04C0"/>
    <w:rsid w:val="008C296C"/>
    <w:rsid w:val="008C2BD0"/>
    <w:rsid w:val="008D4305"/>
    <w:rsid w:val="008D5B30"/>
    <w:rsid w:val="008E1A85"/>
    <w:rsid w:val="008E4B32"/>
    <w:rsid w:val="00902BC7"/>
    <w:rsid w:val="00902FCD"/>
    <w:rsid w:val="00904DA3"/>
    <w:rsid w:val="00906C2C"/>
    <w:rsid w:val="00906F16"/>
    <w:rsid w:val="009102F7"/>
    <w:rsid w:val="00910EB5"/>
    <w:rsid w:val="009146B4"/>
    <w:rsid w:val="00915E20"/>
    <w:rsid w:val="009163A7"/>
    <w:rsid w:val="009254CF"/>
    <w:rsid w:val="00925551"/>
    <w:rsid w:val="0092760E"/>
    <w:rsid w:val="009322D2"/>
    <w:rsid w:val="00946D0B"/>
    <w:rsid w:val="009523E7"/>
    <w:rsid w:val="009545A9"/>
    <w:rsid w:val="00955877"/>
    <w:rsid w:val="0095669C"/>
    <w:rsid w:val="009605E8"/>
    <w:rsid w:val="00963399"/>
    <w:rsid w:val="00965053"/>
    <w:rsid w:val="00973AD8"/>
    <w:rsid w:val="00987F3D"/>
    <w:rsid w:val="00990626"/>
    <w:rsid w:val="009927A4"/>
    <w:rsid w:val="009A13AC"/>
    <w:rsid w:val="009A18CD"/>
    <w:rsid w:val="009B27FB"/>
    <w:rsid w:val="009C3024"/>
    <w:rsid w:val="009C45A8"/>
    <w:rsid w:val="009C56BB"/>
    <w:rsid w:val="009C6614"/>
    <w:rsid w:val="009D5428"/>
    <w:rsid w:val="009D637E"/>
    <w:rsid w:val="009E2109"/>
    <w:rsid w:val="009E5894"/>
    <w:rsid w:val="009F0285"/>
    <w:rsid w:val="009F0EE9"/>
    <w:rsid w:val="009F2853"/>
    <w:rsid w:val="009F3A48"/>
    <w:rsid w:val="00A02C35"/>
    <w:rsid w:val="00A12558"/>
    <w:rsid w:val="00A13903"/>
    <w:rsid w:val="00A34ED5"/>
    <w:rsid w:val="00A45DBF"/>
    <w:rsid w:val="00A61702"/>
    <w:rsid w:val="00A73B11"/>
    <w:rsid w:val="00A755A2"/>
    <w:rsid w:val="00A82589"/>
    <w:rsid w:val="00A94FE1"/>
    <w:rsid w:val="00A96557"/>
    <w:rsid w:val="00AA34D9"/>
    <w:rsid w:val="00AA6660"/>
    <w:rsid w:val="00AB2C36"/>
    <w:rsid w:val="00AB6DDE"/>
    <w:rsid w:val="00AB70B6"/>
    <w:rsid w:val="00AC5116"/>
    <w:rsid w:val="00AC76DD"/>
    <w:rsid w:val="00AD1A86"/>
    <w:rsid w:val="00AE103E"/>
    <w:rsid w:val="00AE24EB"/>
    <w:rsid w:val="00AE486A"/>
    <w:rsid w:val="00AF0A07"/>
    <w:rsid w:val="00AF4AEC"/>
    <w:rsid w:val="00AF625E"/>
    <w:rsid w:val="00B05029"/>
    <w:rsid w:val="00B054FA"/>
    <w:rsid w:val="00B05A16"/>
    <w:rsid w:val="00B17634"/>
    <w:rsid w:val="00B3463F"/>
    <w:rsid w:val="00B41708"/>
    <w:rsid w:val="00B464E7"/>
    <w:rsid w:val="00B50306"/>
    <w:rsid w:val="00B52653"/>
    <w:rsid w:val="00B60135"/>
    <w:rsid w:val="00B6098C"/>
    <w:rsid w:val="00B73095"/>
    <w:rsid w:val="00B76115"/>
    <w:rsid w:val="00B81029"/>
    <w:rsid w:val="00B91FC9"/>
    <w:rsid w:val="00BB04AF"/>
    <w:rsid w:val="00BB2D08"/>
    <w:rsid w:val="00BB5C53"/>
    <w:rsid w:val="00BC3373"/>
    <w:rsid w:val="00BC68B1"/>
    <w:rsid w:val="00BD52C9"/>
    <w:rsid w:val="00BE0153"/>
    <w:rsid w:val="00BE14B6"/>
    <w:rsid w:val="00BE40B1"/>
    <w:rsid w:val="00BE4D6B"/>
    <w:rsid w:val="00BE6354"/>
    <w:rsid w:val="00BF198B"/>
    <w:rsid w:val="00BF2712"/>
    <w:rsid w:val="00BF58B6"/>
    <w:rsid w:val="00BF5B11"/>
    <w:rsid w:val="00C051B5"/>
    <w:rsid w:val="00C11435"/>
    <w:rsid w:val="00C12E01"/>
    <w:rsid w:val="00C138D1"/>
    <w:rsid w:val="00C2108B"/>
    <w:rsid w:val="00C23A97"/>
    <w:rsid w:val="00C24CDD"/>
    <w:rsid w:val="00C41382"/>
    <w:rsid w:val="00C42191"/>
    <w:rsid w:val="00C504B1"/>
    <w:rsid w:val="00C52E13"/>
    <w:rsid w:val="00C64855"/>
    <w:rsid w:val="00C67B76"/>
    <w:rsid w:val="00C67C0C"/>
    <w:rsid w:val="00C70EA7"/>
    <w:rsid w:val="00C71A65"/>
    <w:rsid w:val="00C7433F"/>
    <w:rsid w:val="00C7516E"/>
    <w:rsid w:val="00C75770"/>
    <w:rsid w:val="00C93B52"/>
    <w:rsid w:val="00CA56BB"/>
    <w:rsid w:val="00CB0542"/>
    <w:rsid w:val="00CB5466"/>
    <w:rsid w:val="00CD0EB1"/>
    <w:rsid w:val="00CD53EB"/>
    <w:rsid w:val="00CE3E97"/>
    <w:rsid w:val="00CE55C1"/>
    <w:rsid w:val="00CE7017"/>
    <w:rsid w:val="00CF3A45"/>
    <w:rsid w:val="00D00B2B"/>
    <w:rsid w:val="00D01765"/>
    <w:rsid w:val="00D14750"/>
    <w:rsid w:val="00D166F8"/>
    <w:rsid w:val="00D24497"/>
    <w:rsid w:val="00D24877"/>
    <w:rsid w:val="00D31475"/>
    <w:rsid w:val="00D41C6D"/>
    <w:rsid w:val="00D5143D"/>
    <w:rsid w:val="00D550D6"/>
    <w:rsid w:val="00D55E4F"/>
    <w:rsid w:val="00D570FC"/>
    <w:rsid w:val="00D66602"/>
    <w:rsid w:val="00D74484"/>
    <w:rsid w:val="00D8250F"/>
    <w:rsid w:val="00D95C4C"/>
    <w:rsid w:val="00D96580"/>
    <w:rsid w:val="00DA36ED"/>
    <w:rsid w:val="00DA44F8"/>
    <w:rsid w:val="00DC3672"/>
    <w:rsid w:val="00DC4FEA"/>
    <w:rsid w:val="00DC5074"/>
    <w:rsid w:val="00DC76D6"/>
    <w:rsid w:val="00DE34F1"/>
    <w:rsid w:val="00DE6160"/>
    <w:rsid w:val="00DE61C5"/>
    <w:rsid w:val="00DE68F1"/>
    <w:rsid w:val="00DF033B"/>
    <w:rsid w:val="00DF2232"/>
    <w:rsid w:val="00DF2BE9"/>
    <w:rsid w:val="00DF4942"/>
    <w:rsid w:val="00E056A7"/>
    <w:rsid w:val="00E0600B"/>
    <w:rsid w:val="00E10BD2"/>
    <w:rsid w:val="00E12E0E"/>
    <w:rsid w:val="00E238AF"/>
    <w:rsid w:val="00E244E1"/>
    <w:rsid w:val="00E24948"/>
    <w:rsid w:val="00E33857"/>
    <w:rsid w:val="00E33DBD"/>
    <w:rsid w:val="00E543EA"/>
    <w:rsid w:val="00E627B1"/>
    <w:rsid w:val="00E70169"/>
    <w:rsid w:val="00E81055"/>
    <w:rsid w:val="00E816CD"/>
    <w:rsid w:val="00E90585"/>
    <w:rsid w:val="00E9254F"/>
    <w:rsid w:val="00E9376C"/>
    <w:rsid w:val="00E95A41"/>
    <w:rsid w:val="00E97A68"/>
    <w:rsid w:val="00EA2025"/>
    <w:rsid w:val="00EA335E"/>
    <w:rsid w:val="00EA528C"/>
    <w:rsid w:val="00EA580C"/>
    <w:rsid w:val="00EC6F8D"/>
    <w:rsid w:val="00EC7B5A"/>
    <w:rsid w:val="00ED52DB"/>
    <w:rsid w:val="00ED5E0D"/>
    <w:rsid w:val="00EE3E6A"/>
    <w:rsid w:val="00EE49F4"/>
    <w:rsid w:val="00EF34E2"/>
    <w:rsid w:val="00EF3967"/>
    <w:rsid w:val="00F070D6"/>
    <w:rsid w:val="00F27BC5"/>
    <w:rsid w:val="00F30DC6"/>
    <w:rsid w:val="00F32C23"/>
    <w:rsid w:val="00F460B3"/>
    <w:rsid w:val="00F50FE4"/>
    <w:rsid w:val="00F53DE9"/>
    <w:rsid w:val="00F576CB"/>
    <w:rsid w:val="00F62C28"/>
    <w:rsid w:val="00F7035D"/>
    <w:rsid w:val="00F71A02"/>
    <w:rsid w:val="00F87923"/>
    <w:rsid w:val="00F87C4F"/>
    <w:rsid w:val="00F920A2"/>
    <w:rsid w:val="00F9426C"/>
    <w:rsid w:val="00F96432"/>
    <w:rsid w:val="00F96908"/>
    <w:rsid w:val="00FA0D63"/>
    <w:rsid w:val="00FA6351"/>
    <w:rsid w:val="00FC324D"/>
    <w:rsid w:val="00FC44C3"/>
    <w:rsid w:val="00FD1226"/>
    <w:rsid w:val="00FE0A0B"/>
    <w:rsid w:val="00FE1AD7"/>
    <w:rsid w:val="00FE2820"/>
    <w:rsid w:val="00FF0FF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22DA446"/>
  <w15:docId w15:val="{327E513E-5489-417F-8D45-B2248C4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basedOn w:val="DefaultParagraphFont"/>
    <w:uiPriority w:val="99"/>
    <w:unhideWhenUsed/>
    <w:rsid w:val="00D41C6D"/>
    <w:rPr>
      <w:color w:val="0000FF" w:themeColor="hyperlink"/>
      <w:u w:val="single"/>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basedOn w:val="DefaultParagraphFont"/>
    <w:link w:val="FootnoteText"/>
    <w:uiPriority w:val="99"/>
    <w:semiHidden/>
    <w:rsid w:val="004A4F6E"/>
    <w:rPr>
      <w:rFonts w:ascii="Times New Roman" w:eastAsia="Times New Roman" w:hAnsi="Times New Roman"/>
    </w:rPr>
  </w:style>
  <w:style w:type="character" w:styleId="FootnoteReference">
    <w:name w:val="footnote reference"/>
    <w:basedOn w:val="DefaultParagraphFont"/>
    <w:uiPriority w:val="99"/>
    <w:semiHidden/>
    <w:unhideWhenUsed/>
    <w:rsid w:val="004A4F6E"/>
    <w:rPr>
      <w:vertAlign w:val="superscript"/>
    </w:rPr>
  </w:style>
  <w:style w:type="character" w:styleId="FollowedHyperlink">
    <w:name w:val="FollowedHyperlink"/>
    <w:basedOn w:val="DefaultParagraphFont"/>
    <w:uiPriority w:val="99"/>
    <w:semiHidden/>
    <w:unhideWhenUsed/>
    <w:rsid w:val="004A4F6E"/>
    <w:rPr>
      <w:color w:val="800080" w:themeColor="followedHyperlink"/>
      <w:u w:val="single"/>
    </w:rPr>
  </w:style>
  <w:style w:type="character" w:styleId="CommentReference">
    <w:name w:val="annotation reference"/>
    <w:basedOn w:val="DefaultParagraphFont"/>
    <w:uiPriority w:val="99"/>
    <w:semiHidden/>
    <w:unhideWhenUsed/>
    <w:rsid w:val="00E81055"/>
    <w:rPr>
      <w:sz w:val="16"/>
      <w:szCs w:val="16"/>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basedOn w:val="DefaultParagraphFont"/>
    <w:link w:val="CommentText"/>
    <w:uiPriority w:val="99"/>
    <w:semiHidden/>
    <w:rsid w:val="00E810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basedOn w:val="CommentTextChar"/>
    <w:link w:val="CommentSubject"/>
    <w:uiPriority w:val="99"/>
    <w:semiHidden/>
    <w:rsid w:val="00E81055"/>
    <w:rPr>
      <w:rFonts w:ascii="Times New Roman" w:eastAsia="Times New Roman" w:hAnsi="Times New Roman"/>
      <w:b/>
      <w:bC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Theme="minorEastAsia" w:hAnsi="Arial" w:cs="Arial"/>
      <w:color w:val="363435"/>
      <w:w w:val="94"/>
      <w:sz w:val="22"/>
      <w:szCs w:val="22"/>
      <w:lang w:val="en-US"/>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SimSun" w:hAnsi="Arial" w:cs="Arial"/>
      <w:w w:val="96"/>
      <w:sz w:val="22"/>
      <w:szCs w:val="22"/>
      <w:lang w:val="en-US"/>
    </w:rPr>
  </w:style>
  <w:style w:type="character" w:customStyle="1" w:styleId="1Char">
    <w:name w:val="1. Char"/>
    <w:link w:val="1"/>
    <w:locked/>
    <w:rsid w:val="00F27BC5"/>
    <w:rPr>
      <w:rFonts w:ascii="Arial" w:hAnsi="Arial" w:cs="Arial"/>
      <w:w w:val="96"/>
      <w:sz w:val="22"/>
      <w:szCs w:val="22"/>
      <w:lang w:val="en-US"/>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3942C4"/>
    <w:pPr>
      <w:numPr>
        <w:numId w:val="8"/>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3942C4"/>
    <w:rPr>
      <w:rFonts w:ascii="Arial" w:hAnsi="Arial" w:cs="Arial"/>
      <w:w w:val="9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_WG-5-EN.doc" TargetMode="External"/><Relationship Id="rId13" Type="http://schemas.openxmlformats.org/officeDocument/2006/relationships/hyperlink" Target="https://ich.unesco.org/doc/src/ITH-17-12.COM_WG-5-EN.doc" TargetMode="External"/><Relationship Id="rId18" Type="http://schemas.openxmlformats.org/officeDocument/2006/relationships/header" Target="header1.xml"/><Relationship Id="rId26" Type="http://schemas.openxmlformats.org/officeDocument/2006/relationships/hyperlink" Target="https://ich.unesco.org/" TargetMode="External"/><Relationship Id="rId3" Type="http://schemas.openxmlformats.org/officeDocument/2006/relationships/styles" Target="styles.xml"/><Relationship Id="rId21" Type="http://schemas.openxmlformats.org/officeDocument/2006/relationships/hyperlink" Target="http://www.unesco.org/culture/ich" TargetMode="External"/><Relationship Id="rId7" Type="http://schemas.openxmlformats.org/officeDocument/2006/relationships/endnotes" Target="endnotes.xml"/><Relationship Id="rId12" Type="http://schemas.openxmlformats.org/officeDocument/2006/relationships/hyperlink" Target="https://ich.unesco.org/en/Decisions/10.COM/6.a" TargetMode="External"/><Relationship Id="rId17" Type="http://schemas.openxmlformats.org/officeDocument/2006/relationships/hyperlink" Target="https://ich.unesco.org/doc/src/ITH-17-12.COM-9-EN.docx" TargetMode="External"/><Relationship Id="rId25" Type="http://schemas.openxmlformats.org/officeDocument/2006/relationships/hyperlink" Target="http://www.unesco.org/culture/ich" TargetMode="External"/><Relationship Id="rId2" Type="http://schemas.openxmlformats.org/officeDocument/2006/relationships/numbering" Target="numbering.xml"/><Relationship Id="rId16" Type="http://schemas.openxmlformats.org/officeDocument/2006/relationships/hyperlink" Target="https://ich.unesco.org/en/Decisions/10.COM/6.b" TargetMode="External"/><Relationship Id="rId20" Type="http://schemas.openxmlformats.org/officeDocument/2006/relationships/header" Target="header3.xml"/><Relationship Id="rId29" Type="http://schemas.openxmlformats.org/officeDocument/2006/relationships/hyperlink" Target="https://ich.unes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1.COM/9.a" TargetMode="External"/><Relationship Id="rId24" Type="http://schemas.openxmlformats.org/officeDocument/2006/relationships/hyperlink" Target="http://www.unesco.org/culture/ich" TargetMode="External"/><Relationship Id="rId5" Type="http://schemas.openxmlformats.org/officeDocument/2006/relationships/webSettings" Target="webSettings.xml"/><Relationship Id="rId15" Type="http://schemas.openxmlformats.org/officeDocument/2006/relationships/hyperlink" Target="https://ich.unesco.org/en/Decisions/11.COM/6" TargetMode="External"/><Relationship Id="rId23" Type="http://schemas.openxmlformats.org/officeDocument/2006/relationships/hyperlink" Target="https://ich.unesco.org/" TargetMode="External"/><Relationship Id="rId28" Type="http://schemas.openxmlformats.org/officeDocument/2006/relationships/hyperlink" Target="http://www.unesco.org/culture/ich" TargetMode="External"/><Relationship Id="rId10" Type="http://schemas.openxmlformats.org/officeDocument/2006/relationships/hyperlink" Target="https://ich.unesco.org/doc/src/ITH-17-12.COM-9-EN.docx"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ITH-17-12.COM_WG-7-EN.doc" TargetMode="External"/><Relationship Id="rId14" Type="http://schemas.openxmlformats.org/officeDocument/2006/relationships/hyperlink" Target="https://ich.unesco.org/doc/src/ITH-17-12.COM_WG-7-EN.doc" TargetMode="External"/><Relationship Id="rId22" Type="http://schemas.openxmlformats.org/officeDocument/2006/relationships/hyperlink" Target="http://www.unesco.org/culture/ich" TargetMode="External"/><Relationship Id="rId27" Type="http://schemas.openxmlformats.org/officeDocument/2006/relationships/hyperlink" Target="http://www.unesco.org/culture/ich"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0218-2D54-4E29-8E31-D200CEE9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TotalTime>
  <Pages>12</Pages>
  <Words>4309</Words>
  <Characters>24564</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3</cp:revision>
  <cp:lastPrinted>2017-10-25T15:46:00Z</cp:lastPrinted>
  <dcterms:created xsi:type="dcterms:W3CDTF">2017-11-01T17:02:00Z</dcterms:created>
  <dcterms:modified xsi:type="dcterms:W3CDTF">2017-11-01T17:27:00Z</dcterms:modified>
</cp:coreProperties>
</file>