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2" w:rsidRPr="00215D8E" w:rsidRDefault="00F75E18" w:rsidP="00C13665">
      <w:pPr>
        <w:spacing w:before="1440"/>
        <w:jc w:val="center"/>
        <w:rPr>
          <w:rFonts w:ascii="Arial" w:hAnsi="Arial" w:cs="Arial"/>
          <w:b/>
          <w:sz w:val="22"/>
          <w:szCs w:val="22"/>
          <w:lang w:val="fr-FR"/>
        </w:rPr>
      </w:pPr>
      <w:bookmarkStart w:id="0" w:name="_GoBack"/>
      <w:bookmarkEnd w:id="0"/>
      <w:r w:rsidRPr="00215D8E">
        <w:rPr>
          <w:rFonts w:ascii="Arial" w:hAnsi="Arial" w:cs="Arial"/>
          <w:b/>
          <w:sz w:val="22"/>
          <w:szCs w:val="22"/>
          <w:lang w:val="fr-FR"/>
        </w:rPr>
        <w:t>CONVENTION POUR LA SAUVEGARDE DU</w:t>
      </w:r>
      <w:r w:rsidRPr="00215D8E">
        <w:rPr>
          <w:rFonts w:ascii="Arial" w:hAnsi="Arial" w:cs="Arial"/>
          <w:b/>
          <w:sz w:val="22"/>
          <w:szCs w:val="22"/>
          <w:lang w:val="fr-FR"/>
        </w:rPr>
        <w:br/>
        <w:t>PATRIMOINE CULTUREL IMMATÉRIEL</w:t>
      </w:r>
    </w:p>
    <w:p w:rsidR="00074CE1" w:rsidRPr="00215D8E" w:rsidRDefault="00074CE1" w:rsidP="00074CE1">
      <w:pPr>
        <w:spacing w:before="1200"/>
        <w:jc w:val="center"/>
        <w:rPr>
          <w:rFonts w:ascii="Arial" w:hAnsi="Arial" w:cs="Arial"/>
          <w:b/>
          <w:sz w:val="22"/>
          <w:szCs w:val="22"/>
          <w:lang w:val="fr-FR"/>
        </w:rPr>
      </w:pPr>
      <w:r w:rsidRPr="00215D8E">
        <w:rPr>
          <w:rFonts w:ascii="Arial" w:hAnsi="Arial" w:cs="Arial"/>
          <w:b/>
          <w:sz w:val="22"/>
          <w:szCs w:val="22"/>
          <w:lang w:val="fr-FR"/>
        </w:rPr>
        <w:t>COMITÉ INTERGOUVERNEMENTAL DE SAUVEGARDE</w:t>
      </w:r>
      <w:r w:rsidRPr="00215D8E">
        <w:rPr>
          <w:rFonts w:ascii="Arial" w:hAnsi="Arial" w:cs="Arial"/>
          <w:b/>
          <w:sz w:val="22"/>
          <w:szCs w:val="22"/>
          <w:lang w:val="fr-FR"/>
        </w:rPr>
        <w:br/>
        <w:t>DU PATRIMOINE CULTUREL IMMATÉRIEL</w:t>
      </w:r>
    </w:p>
    <w:p w:rsidR="00074CE1" w:rsidRPr="0066056F" w:rsidRDefault="00530A1F" w:rsidP="00074CE1">
      <w:pPr>
        <w:spacing w:before="840"/>
        <w:jc w:val="center"/>
        <w:rPr>
          <w:rFonts w:ascii="Arial" w:hAnsi="Arial" w:cs="Arial"/>
          <w:b/>
          <w:sz w:val="22"/>
          <w:szCs w:val="22"/>
          <w:lang w:val="fr-FR"/>
        </w:rPr>
      </w:pPr>
      <w:r w:rsidRPr="0066056F">
        <w:rPr>
          <w:rFonts w:ascii="Arial" w:hAnsi="Arial" w:cs="Arial"/>
          <w:b/>
          <w:sz w:val="22"/>
          <w:szCs w:val="22"/>
          <w:lang w:val="fr-FR"/>
        </w:rPr>
        <w:t>Onzième</w:t>
      </w:r>
      <w:r w:rsidR="00074CE1" w:rsidRPr="0066056F">
        <w:rPr>
          <w:rFonts w:ascii="Arial" w:hAnsi="Arial" w:cs="Arial"/>
          <w:b/>
          <w:sz w:val="22"/>
          <w:szCs w:val="22"/>
          <w:lang w:val="fr-FR"/>
        </w:rPr>
        <w:t xml:space="preserve"> session</w:t>
      </w:r>
    </w:p>
    <w:p w:rsidR="004C3335" w:rsidRPr="00915822" w:rsidRDefault="00BA3560" w:rsidP="001F067C">
      <w:pPr>
        <w:jc w:val="center"/>
        <w:rPr>
          <w:rFonts w:ascii="Arial" w:hAnsi="Arial" w:cs="Arial"/>
          <w:b/>
          <w:sz w:val="22"/>
          <w:szCs w:val="22"/>
          <w:lang w:val="fr-FR"/>
        </w:rPr>
      </w:pPr>
      <w:r w:rsidRPr="00915822">
        <w:rPr>
          <w:rFonts w:ascii="Arial" w:hAnsi="Arial" w:cs="Arial"/>
          <w:b/>
          <w:sz w:val="22"/>
          <w:szCs w:val="22"/>
          <w:lang w:val="fr-FR"/>
        </w:rPr>
        <w:t>Addis-Abeba</w:t>
      </w:r>
      <w:r w:rsidR="0031150D" w:rsidRPr="00915822">
        <w:rPr>
          <w:rFonts w:ascii="Arial" w:hAnsi="Arial" w:cs="Arial"/>
          <w:b/>
          <w:sz w:val="22"/>
          <w:szCs w:val="22"/>
          <w:lang w:val="fr-FR"/>
        </w:rPr>
        <w:t>, Éthiopie</w:t>
      </w:r>
    </w:p>
    <w:p w:rsidR="00074CE1" w:rsidRPr="00915822" w:rsidRDefault="00BA3560" w:rsidP="00074CE1">
      <w:pPr>
        <w:jc w:val="center"/>
        <w:rPr>
          <w:rFonts w:ascii="Arial" w:hAnsi="Arial" w:cs="Arial"/>
          <w:b/>
          <w:sz w:val="22"/>
          <w:szCs w:val="22"/>
          <w:lang w:val="fr-FR"/>
        </w:rPr>
      </w:pPr>
      <w:r w:rsidRPr="00915822">
        <w:rPr>
          <w:rFonts w:ascii="Arial" w:hAnsi="Arial" w:cs="Arial"/>
          <w:b/>
          <w:sz w:val="22"/>
          <w:szCs w:val="22"/>
          <w:lang w:val="fr-FR"/>
        </w:rPr>
        <w:t>28</w:t>
      </w:r>
      <w:r w:rsidR="00061949" w:rsidRPr="00915822">
        <w:rPr>
          <w:rFonts w:ascii="Arial" w:hAnsi="Arial" w:cs="Arial"/>
          <w:b/>
          <w:sz w:val="22"/>
          <w:szCs w:val="22"/>
          <w:lang w:val="fr-FR"/>
        </w:rPr>
        <w:t xml:space="preserve"> novembre</w:t>
      </w:r>
      <w:r w:rsidR="00074CE1" w:rsidRPr="00915822">
        <w:rPr>
          <w:rFonts w:ascii="Arial" w:hAnsi="Arial" w:cs="Arial"/>
          <w:b/>
          <w:sz w:val="22"/>
          <w:szCs w:val="22"/>
          <w:lang w:val="fr-FR"/>
        </w:rPr>
        <w:t xml:space="preserve"> – </w:t>
      </w:r>
      <w:r w:rsidRPr="00915822">
        <w:rPr>
          <w:rFonts w:ascii="Arial" w:hAnsi="Arial" w:cs="Arial"/>
          <w:b/>
          <w:sz w:val="22"/>
          <w:szCs w:val="22"/>
          <w:lang w:val="fr-FR"/>
        </w:rPr>
        <w:t>2</w:t>
      </w:r>
      <w:r w:rsidR="001D5969" w:rsidRPr="00915822">
        <w:rPr>
          <w:rFonts w:ascii="Arial" w:hAnsi="Arial" w:cs="Arial"/>
          <w:b/>
          <w:sz w:val="22"/>
          <w:szCs w:val="22"/>
          <w:lang w:val="fr-FR"/>
        </w:rPr>
        <w:t xml:space="preserve"> décembre 2016</w:t>
      </w:r>
    </w:p>
    <w:p w:rsidR="00141F63" w:rsidRPr="00215D8E" w:rsidRDefault="00141F63" w:rsidP="00141F63">
      <w:pPr>
        <w:pStyle w:val="Sansinterligne1"/>
        <w:spacing w:before="1200" w:after="1200"/>
        <w:jc w:val="center"/>
        <w:rPr>
          <w:rFonts w:ascii="Arial" w:hAnsi="Arial" w:cs="Arial"/>
          <w:b/>
          <w:caps/>
          <w:sz w:val="22"/>
          <w:szCs w:val="22"/>
          <w:u w:val="single"/>
        </w:rPr>
      </w:pPr>
      <w:r w:rsidRPr="00915822">
        <w:rPr>
          <w:rFonts w:ascii="Arial" w:hAnsi="Arial" w:cs="Arial"/>
          <w:b/>
          <w:caps/>
          <w:sz w:val="22"/>
          <w:u w:val="single"/>
        </w:rPr>
        <w:t>État financier pour la période du</w:t>
      </w:r>
      <w:r w:rsidRPr="00915822">
        <w:rPr>
          <w:rFonts w:ascii="Arial" w:hAnsi="Arial" w:cs="Arial"/>
        </w:rPr>
        <w:br/>
      </w:r>
      <w:r w:rsidRPr="00215D8E">
        <w:rPr>
          <w:rFonts w:ascii="Arial" w:hAnsi="Arial" w:cs="Arial"/>
          <w:b/>
          <w:caps/>
          <w:sz w:val="22"/>
          <w:u w:val="single"/>
        </w:rPr>
        <w:t>1</w:t>
      </w:r>
      <w:r w:rsidRPr="00915822">
        <w:rPr>
          <w:rFonts w:ascii="Arial" w:hAnsi="Arial" w:cs="Arial"/>
          <w:b/>
          <w:caps/>
          <w:sz w:val="22"/>
          <w:u w:val="single"/>
          <w:vertAlign w:val="superscript"/>
        </w:rPr>
        <w:t>er</w:t>
      </w:r>
      <w:r w:rsidRPr="00215D8E">
        <w:rPr>
          <w:rFonts w:ascii="Arial" w:hAnsi="Arial" w:cs="Arial"/>
          <w:b/>
          <w:caps/>
          <w:sz w:val="22"/>
          <w:u w:val="single"/>
        </w:rPr>
        <w:t xml:space="preserve"> janvier 2016 au 30 juin 2016</w:t>
      </w:r>
    </w:p>
    <w:tbl>
      <w:tblPr>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tblGrid>
      <w:tr w:rsidR="00141F63" w:rsidRPr="00915822" w:rsidTr="00D3691A">
        <w:trPr>
          <w:jc w:val="center"/>
        </w:trPr>
        <w:tc>
          <w:tcPr>
            <w:tcW w:w="6237" w:type="dxa"/>
          </w:tcPr>
          <w:p w:rsidR="00141F63" w:rsidRPr="0066056F" w:rsidRDefault="00141F63" w:rsidP="00D3691A">
            <w:pPr>
              <w:pStyle w:val="NoSpacing"/>
              <w:spacing w:before="200" w:after="200"/>
              <w:ind w:left="284" w:right="284"/>
              <w:jc w:val="center"/>
              <w:rPr>
                <w:rFonts w:ascii="Arial" w:hAnsi="Arial" w:cs="Arial"/>
                <w:b/>
                <w:sz w:val="22"/>
                <w:szCs w:val="22"/>
                <w:lang w:val="fr-FR"/>
              </w:rPr>
            </w:pPr>
            <w:r w:rsidRPr="0066056F">
              <w:rPr>
                <w:rFonts w:ascii="Arial" w:hAnsi="Arial" w:cs="Arial"/>
                <w:b/>
                <w:sz w:val="22"/>
                <w:lang w:val="fr-FR"/>
              </w:rPr>
              <w:t>Résumé</w:t>
            </w:r>
          </w:p>
          <w:p w:rsidR="00141F63" w:rsidRPr="0066056F" w:rsidRDefault="00141F63" w:rsidP="00D3691A">
            <w:pPr>
              <w:pStyle w:val="Pranumrotrecommenc1"/>
              <w:tabs>
                <w:tab w:val="clear" w:pos="360"/>
              </w:tabs>
              <w:spacing w:before="200" w:after="200"/>
              <w:ind w:left="284" w:right="284" w:firstLine="0"/>
              <w:jc w:val="both"/>
              <w:rPr>
                <w:rFonts w:cs="Arial"/>
                <w:sz w:val="22"/>
                <w:szCs w:val="22"/>
              </w:rPr>
            </w:pPr>
            <w:r w:rsidRPr="00915822">
              <w:rPr>
                <w:rFonts w:cs="Arial"/>
                <w:sz w:val="22"/>
              </w:rPr>
              <w:t>Le présent document comprend le rapport financier du Fonds du patrimoine culturel immatériel pour la période du 1</w:t>
            </w:r>
            <w:r w:rsidRPr="00915822">
              <w:rPr>
                <w:rFonts w:cs="Arial"/>
                <w:sz w:val="22"/>
                <w:vertAlign w:val="superscript"/>
              </w:rPr>
              <w:t>er</w:t>
            </w:r>
            <w:r w:rsidRPr="00215D8E">
              <w:rPr>
                <w:rFonts w:cs="Arial"/>
                <w:sz w:val="22"/>
              </w:rPr>
              <w:t> janvier 2016 au 30 juin 2016, précédé d</w:t>
            </w:r>
            <w:r w:rsidRPr="00215D8E">
              <w:rPr>
                <w:rFonts w:cs="Arial"/>
                <w:sz w:val="22"/>
                <w:cs/>
              </w:rPr>
              <w:t>’</w:t>
            </w:r>
            <w:r w:rsidRPr="00215D8E">
              <w:rPr>
                <w:rFonts w:cs="Arial"/>
                <w:sz w:val="22"/>
              </w:rPr>
              <w:t>une brève note explicative.</w:t>
            </w:r>
          </w:p>
        </w:tc>
      </w:tr>
    </w:tbl>
    <w:p w:rsidR="00141F63" w:rsidRPr="00215D8E" w:rsidRDefault="00141F63" w:rsidP="00141F63">
      <w:pPr>
        <w:pStyle w:val="Default"/>
        <w:pageBreakBefore/>
        <w:spacing w:after="240"/>
        <w:jc w:val="center"/>
        <w:rPr>
          <w:b/>
          <w:bCs/>
          <w:sz w:val="22"/>
          <w:szCs w:val="22"/>
        </w:rPr>
      </w:pPr>
      <w:r w:rsidRPr="00215D8E">
        <w:rPr>
          <w:b/>
          <w:sz w:val="22"/>
          <w:szCs w:val="22"/>
        </w:rPr>
        <w:lastRenderedPageBreak/>
        <w:t>Note explicative</w:t>
      </w:r>
    </w:p>
    <w:p w:rsidR="00141F63" w:rsidRPr="00915822"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66056F">
        <w:rPr>
          <w:rFonts w:ascii="Arial" w:hAnsi="Arial" w:cs="Arial"/>
          <w:sz w:val="22"/>
          <w:szCs w:val="22"/>
          <w:lang w:val="fr-FR"/>
        </w:rPr>
        <w:t>Le rapport financier ci-dessous couvre la période allant du 1</w:t>
      </w:r>
      <w:r w:rsidRPr="00915822">
        <w:rPr>
          <w:rFonts w:ascii="Arial" w:hAnsi="Arial" w:cs="Arial"/>
          <w:sz w:val="22"/>
          <w:szCs w:val="22"/>
          <w:vertAlign w:val="superscript"/>
          <w:lang w:val="fr-FR"/>
        </w:rPr>
        <w:t>er</w:t>
      </w:r>
      <w:r w:rsidR="00611347" w:rsidRPr="00215D8E">
        <w:rPr>
          <w:rFonts w:ascii="Arial" w:hAnsi="Arial" w:cs="Arial"/>
          <w:sz w:val="22"/>
          <w:szCs w:val="22"/>
          <w:lang w:val="fr-FR"/>
        </w:rPr>
        <w:t> </w:t>
      </w:r>
      <w:r w:rsidRPr="0066056F">
        <w:rPr>
          <w:rFonts w:ascii="Arial" w:hAnsi="Arial" w:cs="Arial"/>
          <w:sz w:val="22"/>
          <w:szCs w:val="22"/>
          <w:lang w:val="fr-FR"/>
        </w:rPr>
        <w:t xml:space="preserve">janvier 2016 au 30 juin 2016, </w:t>
      </w:r>
      <w:r w:rsidR="00611347" w:rsidRPr="00915822">
        <w:rPr>
          <w:rFonts w:ascii="Arial" w:hAnsi="Arial" w:cs="Arial"/>
          <w:sz w:val="22"/>
          <w:szCs w:val="22"/>
          <w:lang w:val="fr-FR"/>
        </w:rPr>
        <w:t xml:space="preserve">pendant </w:t>
      </w:r>
      <w:r w:rsidRPr="00915822">
        <w:rPr>
          <w:rFonts w:ascii="Arial" w:hAnsi="Arial" w:cs="Arial"/>
          <w:sz w:val="22"/>
          <w:szCs w:val="22"/>
          <w:lang w:val="fr-FR"/>
        </w:rPr>
        <w:t>laquelle les ressources du Fonds pour la sauvegarde du patrimoine culturel immatériel (« le Fonds ») ont été utilisées conformément au Plan d’utilisation des ressources du Fonds approuvé</w:t>
      </w:r>
      <w:r w:rsidR="00611347" w:rsidRPr="00915822">
        <w:rPr>
          <w:rFonts w:ascii="Arial" w:hAnsi="Arial" w:cs="Arial"/>
          <w:sz w:val="22"/>
          <w:szCs w:val="22"/>
          <w:lang w:val="fr-FR"/>
        </w:rPr>
        <w:t xml:space="preserve">, à titre provisoire pour cette période, </w:t>
      </w:r>
      <w:r w:rsidRPr="00915822">
        <w:rPr>
          <w:rFonts w:ascii="Arial" w:hAnsi="Arial" w:cs="Arial"/>
          <w:sz w:val="22"/>
          <w:szCs w:val="22"/>
          <w:lang w:val="fr-FR"/>
        </w:rPr>
        <w:t>par la cinquième session de l’Assemblée générale en juin 2014 (</w:t>
      </w:r>
      <w:hyperlink r:id="rId8" w:history="1">
        <w:r w:rsidRPr="00915822">
          <w:rPr>
            <w:rStyle w:val="Hyperlink"/>
            <w:rFonts w:ascii="Arial" w:hAnsi="Arial" w:cs="Arial"/>
            <w:sz w:val="22"/>
            <w:szCs w:val="22"/>
          </w:rPr>
          <w:t>résolutio</w:t>
        </w:r>
        <w:bookmarkStart w:id="1" w:name="_Hlt459814832"/>
        <w:bookmarkStart w:id="2" w:name="_Hlt459814833"/>
        <w:r w:rsidRPr="00915822">
          <w:rPr>
            <w:rStyle w:val="Hyperlink"/>
            <w:rFonts w:ascii="Arial" w:hAnsi="Arial" w:cs="Arial"/>
            <w:sz w:val="22"/>
            <w:szCs w:val="22"/>
          </w:rPr>
          <w:t>n</w:t>
        </w:r>
        <w:bookmarkEnd w:id="1"/>
        <w:bookmarkEnd w:id="2"/>
        <w:r w:rsidRPr="00915822">
          <w:rPr>
            <w:rStyle w:val="Hyperlink"/>
            <w:rFonts w:ascii="Arial" w:hAnsi="Arial" w:cs="Arial"/>
            <w:sz w:val="22"/>
            <w:szCs w:val="22"/>
          </w:rPr>
          <w:t> 5</w:t>
        </w:r>
        <w:r w:rsidRPr="00915822">
          <w:rPr>
            <w:rStyle w:val="Hyperlink"/>
            <w:rFonts w:ascii="Arial" w:hAnsi="Arial" w:cs="Arial"/>
            <w:sz w:val="22"/>
            <w:szCs w:val="22"/>
          </w:rPr>
          <w:t>.</w:t>
        </w:r>
        <w:bookmarkStart w:id="3" w:name="_Hlt459823593"/>
        <w:bookmarkStart w:id="4" w:name="_Hlt459823594"/>
        <w:r w:rsidRPr="00915822">
          <w:rPr>
            <w:rStyle w:val="Hyperlink"/>
            <w:rFonts w:ascii="Arial" w:hAnsi="Arial" w:cs="Arial"/>
            <w:sz w:val="22"/>
            <w:szCs w:val="22"/>
          </w:rPr>
          <w:t>G</w:t>
        </w:r>
        <w:bookmarkEnd w:id="3"/>
        <w:bookmarkEnd w:id="4"/>
        <w:r w:rsidRPr="00915822">
          <w:rPr>
            <w:rStyle w:val="Hyperlink"/>
            <w:rFonts w:ascii="Arial" w:hAnsi="Arial" w:cs="Arial"/>
            <w:sz w:val="22"/>
            <w:szCs w:val="22"/>
          </w:rPr>
          <w:t>A 7</w:t>
        </w:r>
      </w:hyperlink>
      <w:r w:rsidRPr="00915822">
        <w:rPr>
          <w:rFonts w:ascii="Arial" w:hAnsi="Arial" w:cs="Arial"/>
          <w:sz w:val="22"/>
          <w:szCs w:val="22"/>
          <w:lang w:val="fr-FR"/>
        </w:rPr>
        <w:t>). Le budget provisoire pour le premier semestre de 2016 a été remplacé par le Plan adopté par la sixième session de l’Assemblée générale (</w:t>
      </w:r>
      <w:hyperlink r:id="rId9" w:history="1">
        <w:r w:rsidRPr="00915822">
          <w:rPr>
            <w:rStyle w:val="Hyperlink"/>
            <w:rFonts w:ascii="Arial" w:hAnsi="Arial" w:cs="Arial"/>
            <w:sz w:val="22"/>
            <w:szCs w:val="22"/>
          </w:rPr>
          <w:t>résol</w:t>
        </w:r>
        <w:r w:rsidRPr="00915822">
          <w:rPr>
            <w:rStyle w:val="Hyperlink"/>
            <w:rFonts w:ascii="Arial" w:hAnsi="Arial" w:cs="Arial"/>
            <w:sz w:val="22"/>
            <w:szCs w:val="22"/>
          </w:rPr>
          <w:t>u</w:t>
        </w:r>
        <w:r w:rsidRPr="00915822">
          <w:rPr>
            <w:rStyle w:val="Hyperlink"/>
            <w:rFonts w:ascii="Arial" w:hAnsi="Arial" w:cs="Arial"/>
            <w:sz w:val="22"/>
            <w:szCs w:val="22"/>
          </w:rPr>
          <w:t>tio</w:t>
        </w:r>
        <w:r w:rsidRPr="00915822">
          <w:rPr>
            <w:rStyle w:val="Hyperlink"/>
            <w:rFonts w:ascii="Arial" w:hAnsi="Arial" w:cs="Arial"/>
            <w:sz w:val="22"/>
            <w:szCs w:val="22"/>
          </w:rPr>
          <w:t>n</w:t>
        </w:r>
        <w:bookmarkStart w:id="5" w:name="_Hlt459814970"/>
        <w:bookmarkStart w:id="6" w:name="_Hlt459814971"/>
        <w:r w:rsidR="00C85CC0" w:rsidRPr="00C85CC0">
          <w:rPr>
            <w:rStyle w:val="Hyperlink"/>
            <w:rFonts w:ascii="Arial" w:hAnsi="Arial" w:cs="Arial"/>
            <w:sz w:val="22"/>
            <w:szCs w:val="22"/>
          </w:rPr>
          <w:t> </w:t>
        </w:r>
        <w:r w:rsidRPr="00915822">
          <w:rPr>
            <w:rStyle w:val="Hyperlink"/>
            <w:rFonts w:ascii="Arial" w:hAnsi="Arial" w:cs="Arial"/>
            <w:sz w:val="22"/>
            <w:szCs w:val="22"/>
          </w:rPr>
          <w:t>6</w:t>
        </w:r>
        <w:bookmarkStart w:id="7" w:name="_Hlt460577927"/>
        <w:bookmarkStart w:id="8" w:name="_Hlt460577928"/>
        <w:bookmarkEnd w:id="5"/>
        <w:bookmarkEnd w:id="6"/>
        <w:r w:rsidRPr="00915822">
          <w:rPr>
            <w:rStyle w:val="Hyperlink"/>
            <w:rFonts w:ascii="Arial" w:hAnsi="Arial" w:cs="Arial"/>
            <w:sz w:val="22"/>
            <w:szCs w:val="22"/>
          </w:rPr>
          <w:t>.</w:t>
        </w:r>
        <w:bookmarkEnd w:id="7"/>
        <w:bookmarkEnd w:id="8"/>
        <w:r w:rsidR="00C85CC0">
          <w:rPr>
            <w:rStyle w:val="Hyperlink"/>
            <w:rFonts w:ascii="Arial" w:hAnsi="Arial" w:cs="Arial"/>
            <w:sz w:val="22"/>
            <w:szCs w:val="22"/>
          </w:rPr>
          <w:t>GA</w:t>
        </w:r>
        <w:r w:rsidR="00C85CC0" w:rsidRPr="00C85CC0">
          <w:rPr>
            <w:rStyle w:val="Hyperlink"/>
            <w:rFonts w:ascii="Arial" w:hAnsi="Arial" w:cs="Arial"/>
            <w:sz w:val="22"/>
            <w:szCs w:val="22"/>
          </w:rPr>
          <w:t> </w:t>
        </w:r>
        <w:r w:rsidRPr="00915822">
          <w:rPr>
            <w:rStyle w:val="Hyperlink"/>
            <w:rFonts w:ascii="Arial" w:hAnsi="Arial" w:cs="Arial"/>
            <w:sz w:val="22"/>
            <w:szCs w:val="22"/>
          </w:rPr>
          <w:t>9</w:t>
        </w:r>
      </w:hyperlink>
      <w:r w:rsidRPr="00915822">
        <w:rPr>
          <w:rFonts w:ascii="Arial" w:hAnsi="Arial" w:cs="Arial"/>
          <w:sz w:val="22"/>
          <w:szCs w:val="22"/>
          <w:lang w:val="fr-FR"/>
        </w:rPr>
        <w:t>).</w:t>
      </w:r>
    </w:p>
    <w:p w:rsidR="00141F63" w:rsidRPr="00915822" w:rsidRDefault="00141F63" w:rsidP="00141F63">
      <w:pPr>
        <w:pStyle w:val="Default"/>
        <w:keepNext/>
        <w:spacing w:after="120"/>
        <w:jc w:val="both"/>
        <w:rPr>
          <w:b/>
          <w:bCs/>
          <w:sz w:val="22"/>
          <w:szCs w:val="22"/>
        </w:rPr>
      </w:pPr>
      <w:r w:rsidRPr="00915822">
        <w:rPr>
          <w:b/>
          <w:sz w:val="22"/>
          <w:szCs w:val="22"/>
        </w:rPr>
        <w:t>Revenus (états financiers I, II et III)</w:t>
      </w:r>
      <w:r w:rsidRPr="00915822">
        <w:rPr>
          <w:rStyle w:val="FootnoteReference"/>
          <w:b/>
          <w:sz w:val="22"/>
          <w:szCs w:val="22"/>
        </w:rPr>
        <w:footnoteReference w:id="1"/>
      </w:r>
    </w:p>
    <w:p w:rsidR="00141F63" w:rsidRPr="00215D8E"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 xml:space="preserve">Conformément à l’article 25.3 de la Convention, les </w:t>
      </w:r>
      <w:r w:rsidR="00C819A3" w:rsidRPr="00915822">
        <w:rPr>
          <w:rFonts w:ascii="Arial" w:hAnsi="Arial" w:cs="Arial"/>
          <w:sz w:val="22"/>
          <w:szCs w:val="22"/>
          <w:lang w:val="fr-FR"/>
        </w:rPr>
        <w:t xml:space="preserve">revenus </w:t>
      </w:r>
      <w:r w:rsidRPr="00915822">
        <w:rPr>
          <w:rFonts w:ascii="Arial" w:hAnsi="Arial" w:cs="Arial"/>
          <w:sz w:val="22"/>
          <w:szCs w:val="22"/>
          <w:lang w:val="fr-FR"/>
        </w:rPr>
        <w:t>du Fonds sont constitués par : a) les contributions des États parties à la Convention ; b) les fonds alloués à cette fin par la Conférence générale de l</w:t>
      </w:r>
      <w:r w:rsidRPr="00915822">
        <w:rPr>
          <w:rFonts w:ascii="Arial" w:hAnsi="Arial" w:cs="Arial"/>
          <w:sz w:val="22"/>
          <w:szCs w:val="22"/>
          <w:cs/>
          <w:lang w:val="fr-FR"/>
        </w:rPr>
        <w:t>’</w:t>
      </w:r>
      <w:r w:rsidRPr="00915822">
        <w:rPr>
          <w:rFonts w:ascii="Arial" w:hAnsi="Arial" w:cs="Arial"/>
          <w:sz w:val="22"/>
          <w:szCs w:val="22"/>
          <w:lang w:val="fr-FR"/>
        </w:rPr>
        <w:t>UNESCO ; c) les versements, dons ou legs que pourront faire d</w:t>
      </w:r>
      <w:r w:rsidRPr="00915822">
        <w:rPr>
          <w:rFonts w:ascii="Arial" w:hAnsi="Arial" w:cs="Arial"/>
          <w:sz w:val="22"/>
          <w:szCs w:val="22"/>
          <w:cs/>
          <w:lang w:val="fr-FR"/>
        </w:rPr>
        <w:t>’</w:t>
      </w:r>
      <w:r w:rsidRPr="00915822">
        <w:rPr>
          <w:rFonts w:ascii="Arial" w:hAnsi="Arial" w:cs="Arial"/>
          <w:sz w:val="22"/>
          <w:szCs w:val="22"/>
          <w:lang w:val="fr-FR"/>
        </w:rPr>
        <w:t>autres États, organisations et programmes du système des Nations Unies, notamment le Programme des Nations Unies pour le développement, ainsi que d</w:t>
      </w:r>
      <w:r w:rsidRPr="00915822">
        <w:rPr>
          <w:rFonts w:ascii="Arial" w:hAnsi="Arial" w:cs="Arial"/>
          <w:sz w:val="22"/>
          <w:szCs w:val="22"/>
          <w:cs/>
          <w:lang w:val="fr-FR"/>
        </w:rPr>
        <w:t>’</w:t>
      </w:r>
      <w:r w:rsidRPr="00915822">
        <w:rPr>
          <w:rFonts w:ascii="Arial" w:hAnsi="Arial" w:cs="Arial"/>
          <w:sz w:val="22"/>
          <w:szCs w:val="22"/>
          <w:lang w:val="fr-FR"/>
        </w:rPr>
        <w:t>autres organisations internationales</w:t>
      </w:r>
      <w:r w:rsidR="00C819A3" w:rsidRPr="00915822">
        <w:rPr>
          <w:rFonts w:ascii="Arial" w:hAnsi="Arial" w:cs="Arial"/>
          <w:sz w:val="22"/>
          <w:szCs w:val="22"/>
          <w:lang w:val="fr-FR"/>
        </w:rPr>
        <w:t xml:space="preserve"> et </w:t>
      </w:r>
      <w:r w:rsidRPr="00915822">
        <w:rPr>
          <w:rFonts w:ascii="Arial" w:hAnsi="Arial" w:cs="Arial"/>
          <w:sz w:val="22"/>
          <w:szCs w:val="22"/>
          <w:lang w:val="fr-FR"/>
        </w:rPr>
        <w:t xml:space="preserve">organismes publics ou privés ou des personnes privées ; d) tout intérêt dû sur les ressources du Fonds ; e) le produit des collectes et les recettes des manifestations organisées au profit du Fonds ; f) toutes autres ressources autorisées par le règlement du Fonds que le Comité élabore. La liste de ces ressources </w:t>
      </w:r>
      <w:r w:rsidR="00C819A3" w:rsidRPr="00915822">
        <w:rPr>
          <w:rFonts w:ascii="Arial" w:hAnsi="Arial" w:cs="Arial"/>
          <w:sz w:val="22"/>
          <w:szCs w:val="22"/>
          <w:lang w:val="fr-FR"/>
        </w:rPr>
        <w:t xml:space="preserve">se trouve également </w:t>
      </w:r>
      <w:r w:rsidRPr="00915822">
        <w:rPr>
          <w:rFonts w:ascii="Arial" w:hAnsi="Arial" w:cs="Arial"/>
          <w:sz w:val="22"/>
          <w:szCs w:val="22"/>
          <w:lang w:val="fr-FR"/>
        </w:rPr>
        <w:t xml:space="preserve">dans le Règlement financier du Compte spécial </w:t>
      </w:r>
      <w:r w:rsidR="00C819A3" w:rsidRPr="00915822">
        <w:rPr>
          <w:rFonts w:ascii="Arial" w:hAnsi="Arial" w:cs="Arial"/>
          <w:sz w:val="22"/>
          <w:szCs w:val="22"/>
          <w:lang w:val="fr-FR"/>
        </w:rPr>
        <w:t xml:space="preserve">du </w:t>
      </w:r>
      <w:r w:rsidRPr="00915822">
        <w:rPr>
          <w:rFonts w:ascii="Arial" w:hAnsi="Arial" w:cs="Arial"/>
          <w:sz w:val="22"/>
          <w:szCs w:val="22"/>
          <w:lang w:val="fr-FR"/>
        </w:rPr>
        <w:t>Fonds pour la sauvegarde du patrimoine culturel immatériel, adopté par le Comité lors de sa première session extraordinaire (</w:t>
      </w:r>
      <w:hyperlink r:id="rId10" w:history="1">
        <w:r w:rsidRPr="00915822">
          <w:rPr>
            <w:rStyle w:val="Hyperlink"/>
            <w:rFonts w:ascii="Arial" w:hAnsi="Arial" w:cs="Arial"/>
            <w:sz w:val="22"/>
            <w:szCs w:val="22"/>
          </w:rPr>
          <w:t>décision</w:t>
        </w:r>
        <w:r w:rsidR="003136ED" w:rsidRPr="00915822">
          <w:rPr>
            <w:rStyle w:val="Hyperlink"/>
            <w:rFonts w:ascii="Arial" w:hAnsi="Arial" w:cs="Arial"/>
            <w:sz w:val="22"/>
            <w:szCs w:val="22"/>
          </w:rPr>
          <w:t> </w:t>
        </w:r>
        <w:r w:rsidRPr="00915822">
          <w:rPr>
            <w:rStyle w:val="Hyperlink"/>
            <w:rFonts w:ascii="Arial" w:hAnsi="Arial" w:cs="Arial"/>
            <w:sz w:val="22"/>
            <w:szCs w:val="22"/>
          </w:rPr>
          <w:t>1.E</w:t>
        </w:r>
        <w:r w:rsidRPr="00915822">
          <w:rPr>
            <w:rStyle w:val="Hyperlink"/>
            <w:rFonts w:ascii="Arial" w:hAnsi="Arial" w:cs="Arial"/>
            <w:sz w:val="22"/>
            <w:szCs w:val="22"/>
          </w:rPr>
          <w:t>X</w:t>
        </w:r>
        <w:r w:rsidRPr="00915822">
          <w:rPr>
            <w:rStyle w:val="Hyperlink"/>
            <w:rFonts w:ascii="Arial" w:hAnsi="Arial" w:cs="Arial"/>
            <w:sz w:val="22"/>
            <w:szCs w:val="22"/>
          </w:rPr>
          <w:t>T</w:t>
        </w:r>
        <w:r w:rsidR="00C85CC0">
          <w:rPr>
            <w:rStyle w:val="Hyperlink"/>
            <w:rFonts w:ascii="Arial" w:hAnsi="Arial" w:cs="Arial"/>
            <w:sz w:val="22"/>
            <w:szCs w:val="22"/>
          </w:rPr>
          <w:t>.COM</w:t>
        </w:r>
        <w:r w:rsidR="00C85CC0" w:rsidRPr="00C85CC0">
          <w:rPr>
            <w:rStyle w:val="Hyperlink"/>
            <w:rFonts w:ascii="Arial" w:hAnsi="Arial" w:cs="Arial"/>
            <w:sz w:val="22"/>
            <w:szCs w:val="22"/>
          </w:rPr>
          <w:t> </w:t>
        </w:r>
        <w:r w:rsidRPr="00915822">
          <w:rPr>
            <w:rStyle w:val="Hyperlink"/>
            <w:rFonts w:ascii="Arial" w:hAnsi="Arial" w:cs="Arial"/>
            <w:sz w:val="22"/>
            <w:szCs w:val="22"/>
          </w:rPr>
          <w:t>9</w:t>
        </w:r>
      </w:hyperlink>
      <w:r w:rsidRPr="00915822">
        <w:rPr>
          <w:rFonts w:ascii="Arial" w:hAnsi="Arial" w:cs="Arial"/>
          <w:sz w:val="22"/>
          <w:szCs w:val="22"/>
          <w:lang w:val="fr-FR"/>
        </w:rPr>
        <w:t>).</w:t>
      </w:r>
    </w:p>
    <w:p w:rsidR="00141F63" w:rsidRPr="00915822" w:rsidRDefault="00141F63" w:rsidP="00215D8E">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215D8E">
        <w:rPr>
          <w:rFonts w:ascii="Arial" w:hAnsi="Arial" w:cs="Arial"/>
          <w:sz w:val="22"/>
          <w:szCs w:val="22"/>
          <w:lang w:val="fr-FR"/>
        </w:rPr>
        <w:t xml:space="preserve">Pendant la période considérée, les revenus du Fonds </w:t>
      </w:r>
      <w:r w:rsidR="00B911A3" w:rsidRPr="0066056F">
        <w:rPr>
          <w:rFonts w:ascii="Arial" w:hAnsi="Arial" w:cs="Arial"/>
          <w:sz w:val="22"/>
          <w:szCs w:val="22"/>
          <w:lang w:val="fr-FR"/>
        </w:rPr>
        <w:t>étaient constitués par</w:t>
      </w:r>
      <w:r w:rsidR="003136ED" w:rsidRPr="00915822">
        <w:rPr>
          <w:rFonts w:ascii="Arial" w:hAnsi="Arial" w:cs="Arial"/>
          <w:sz w:val="22"/>
          <w:szCs w:val="22"/>
          <w:lang w:val="fr-FR"/>
        </w:rPr>
        <w:t> </w:t>
      </w:r>
      <w:r w:rsidRPr="00915822">
        <w:rPr>
          <w:rFonts w:ascii="Arial" w:hAnsi="Arial" w:cs="Arial"/>
          <w:sz w:val="22"/>
          <w:szCs w:val="22"/>
          <w:lang w:val="fr-FR"/>
        </w:rPr>
        <w:t>:</w:t>
      </w:r>
    </w:p>
    <w:tbl>
      <w:tblPr>
        <w:tblW w:w="9072" w:type="dxa"/>
        <w:tblInd w:w="675" w:type="dxa"/>
        <w:tblLayout w:type="fixed"/>
        <w:tblLook w:val="04A0" w:firstRow="1" w:lastRow="0" w:firstColumn="1" w:lastColumn="0" w:noHBand="0" w:noVBand="1"/>
      </w:tblPr>
      <w:tblGrid>
        <w:gridCol w:w="6946"/>
        <w:gridCol w:w="2126"/>
      </w:tblGrid>
      <w:tr w:rsidR="00141F63" w:rsidRPr="00CB1A2F" w:rsidTr="00D3691A">
        <w:trPr>
          <w:cantSplit/>
        </w:trPr>
        <w:tc>
          <w:tcPr>
            <w:tcW w:w="9072" w:type="dxa"/>
            <w:gridSpan w:val="2"/>
            <w:shd w:val="clear" w:color="auto" w:fill="auto"/>
          </w:tcPr>
          <w:p w:rsidR="00141F63" w:rsidRPr="00CB1A2F" w:rsidRDefault="00141F63" w:rsidP="00215D8E">
            <w:pPr>
              <w:pStyle w:val="Paragraph"/>
              <w:numPr>
                <w:ilvl w:val="0"/>
                <w:numId w:val="16"/>
              </w:numPr>
              <w:spacing w:before="60" w:after="60"/>
              <w:ind w:left="357" w:hanging="357"/>
              <w:rPr>
                <w:rFonts w:cs="Arial"/>
                <w:sz w:val="18"/>
                <w:szCs w:val="20"/>
              </w:rPr>
            </w:pPr>
            <w:r w:rsidRPr="00CB1A2F">
              <w:rPr>
                <w:rFonts w:cs="Arial"/>
                <w:sz w:val="18"/>
                <w:szCs w:val="20"/>
                <w:u w:val="single"/>
              </w:rPr>
              <w:t xml:space="preserve">Des contributions </w:t>
            </w:r>
            <w:r w:rsidR="00C84902" w:rsidRPr="00CB1A2F">
              <w:rPr>
                <w:rFonts w:cs="Arial"/>
                <w:sz w:val="18"/>
                <w:szCs w:val="20"/>
                <w:u w:val="single"/>
              </w:rPr>
              <w:t xml:space="preserve">règlementaires </w:t>
            </w:r>
            <w:r w:rsidRPr="00CB1A2F">
              <w:rPr>
                <w:rFonts w:cs="Arial"/>
                <w:sz w:val="18"/>
                <w:szCs w:val="20"/>
                <w:u w:val="single"/>
              </w:rPr>
              <w:t>obligatoires et volontaires des États parties</w:t>
            </w:r>
            <w:r w:rsidRPr="00CB1A2F">
              <w:rPr>
                <w:rStyle w:val="FootnoteReference"/>
                <w:rFonts w:cs="Arial"/>
                <w:bCs w:val="0"/>
                <w:sz w:val="18"/>
                <w:szCs w:val="20"/>
                <w:u w:val="single"/>
              </w:rPr>
              <w:footnoteReference w:id="2"/>
            </w: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spacing w:before="60" w:after="60"/>
              <w:jc w:val="left"/>
              <w:rPr>
                <w:rFonts w:cs="Arial"/>
                <w:sz w:val="18"/>
                <w:szCs w:val="20"/>
              </w:rPr>
            </w:pPr>
            <w:r w:rsidRPr="00CB1A2F">
              <w:rPr>
                <w:rFonts w:cs="Arial"/>
                <w:sz w:val="18"/>
                <w:szCs w:val="20"/>
              </w:rPr>
              <w:t>Contributions obligatoires de 162 États parties à la Convention, telles que décrites à l’article 26.1 de la Convention</w:t>
            </w:r>
          </w:p>
        </w:tc>
        <w:tc>
          <w:tcPr>
            <w:tcW w:w="2126" w:type="dxa"/>
            <w:shd w:val="clear" w:color="auto" w:fill="auto"/>
            <w:vAlign w:val="center"/>
          </w:tcPr>
          <w:p w:rsidR="00141F63" w:rsidRPr="00CB1A2F" w:rsidRDefault="00141F63" w:rsidP="00215D8E">
            <w:pPr>
              <w:pStyle w:val="Paragraph"/>
              <w:spacing w:before="60" w:after="60"/>
              <w:jc w:val="right"/>
              <w:rPr>
                <w:rFonts w:cs="Arial"/>
                <w:sz w:val="18"/>
                <w:szCs w:val="20"/>
              </w:rPr>
            </w:pPr>
            <w:r w:rsidRPr="00CB1A2F">
              <w:rPr>
                <w:rFonts w:cs="Arial"/>
                <w:sz w:val="18"/>
                <w:szCs w:val="20"/>
              </w:rPr>
              <w:t>1 769 682 dollars des États-Unis</w:t>
            </w: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spacing w:before="60" w:after="60"/>
              <w:jc w:val="left"/>
              <w:rPr>
                <w:rFonts w:cs="Arial"/>
                <w:sz w:val="18"/>
                <w:szCs w:val="20"/>
              </w:rPr>
            </w:pPr>
            <w:r w:rsidRPr="00CB1A2F">
              <w:rPr>
                <w:rFonts w:cs="Arial"/>
                <w:sz w:val="18"/>
                <w:szCs w:val="20"/>
              </w:rPr>
              <w:t>Contributions volontaires de cinq États parties qui, au moment de leur ratification, ont eu recours à l</w:t>
            </w:r>
            <w:r w:rsidR="001A1795" w:rsidRPr="00CB1A2F">
              <w:rPr>
                <w:rFonts w:cs="Arial"/>
                <w:sz w:val="18"/>
                <w:szCs w:val="20"/>
              </w:rPr>
              <w:t>’</w:t>
            </w:r>
            <w:r w:rsidRPr="00CB1A2F">
              <w:rPr>
                <w:rFonts w:cs="Arial"/>
                <w:sz w:val="18"/>
                <w:szCs w:val="20"/>
              </w:rPr>
              <w:t>article 26.2 de la Convention</w:t>
            </w:r>
          </w:p>
        </w:tc>
        <w:tc>
          <w:tcPr>
            <w:tcW w:w="2126" w:type="dxa"/>
            <w:shd w:val="clear" w:color="auto" w:fill="auto"/>
            <w:vAlign w:val="center"/>
          </w:tcPr>
          <w:p w:rsidR="00141F63" w:rsidRPr="00CB1A2F" w:rsidRDefault="00141F63" w:rsidP="00215D8E">
            <w:pPr>
              <w:pStyle w:val="Paragraph"/>
              <w:spacing w:before="60" w:after="60"/>
              <w:jc w:val="right"/>
              <w:rPr>
                <w:rFonts w:cs="Arial"/>
                <w:sz w:val="18"/>
                <w:szCs w:val="20"/>
              </w:rPr>
            </w:pPr>
            <w:r w:rsidRPr="00CB1A2F">
              <w:rPr>
                <w:rFonts w:cs="Arial"/>
                <w:sz w:val="18"/>
                <w:szCs w:val="20"/>
              </w:rPr>
              <w:t>53 873 dollars des États-Unis</w:t>
            </w: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numPr>
                <w:ilvl w:val="0"/>
                <w:numId w:val="16"/>
              </w:numPr>
              <w:spacing w:before="60" w:after="60"/>
              <w:ind w:left="357" w:hanging="357"/>
              <w:jc w:val="left"/>
              <w:rPr>
                <w:rFonts w:cs="Arial"/>
                <w:sz w:val="18"/>
                <w:szCs w:val="20"/>
                <w:u w:val="single"/>
              </w:rPr>
            </w:pPr>
            <w:r w:rsidRPr="00CB1A2F">
              <w:rPr>
                <w:rFonts w:cs="Arial"/>
                <w:sz w:val="18"/>
                <w:szCs w:val="20"/>
                <w:u w:val="single"/>
              </w:rPr>
              <w:t>De</w:t>
            </w:r>
            <w:r w:rsidR="00964CB4" w:rsidRPr="00CB1A2F">
              <w:rPr>
                <w:rFonts w:cs="Arial"/>
                <w:sz w:val="18"/>
                <w:szCs w:val="20"/>
                <w:u w:val="single"/>
              </w:rPr>
              <w:t>s</w:t>
            </w:r>
            <w:r w:rsidRPr="00CB1A2F">
              <w:rPr>
                <w:rFonts w:cs="Arial"/>
                <w:sz w:val="18"/>
                <w:szCs w:val="20"/>
                <w:u w:val="single"/>
              </w:rPr>
              <w:t xml:space="preserve"> contributions volontaires supplémentaires</w:t>
            </w:r>
          </w:p>
        </w:tc>
        <w:tc>
          <w:tcPr>
            <w:tcW w:w="2126" w:type="dxa"/>
            <w:shd w:val="clear" w:color="auto" w:fill="auto"/>
            <w:vAlign w:val="center"/>
          </w:tcPr>
          <w:p w:rsidR="00141F63" w:rsidRPr="00CB1A2F" w:rsidRDefault="00141F63" w:rsidP="00215D8E">
            <w:pPr>
              <w:pStyle w:val="Paragraph"/>
              <w:spacing w:before="60" w:after="60"/>
              <w:jc w:val="right"/>
              <w:rPr>
                <w:rFonts w:cs="Arial"/>
                <w:sz w:val="18"/>
                <w:szCs w:val="20"/>
              </w:rPr>
            </w:pP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spacing w:before="60" w:after="60"/>
              <w:jc w:val="left"/>
              <w:rPr>
                <w:rFonts w:cs="Arial"/>
                <w:i/>
                <w:sz w:val="18"/>
                <w:szCs w:val="20"/>
              </w:rPr>
            </w:pPr>
            <w:r w:rsidRPr="00CB1A2F">
              <w:rPr>
                <w:rFonts w:cs="Arial"/>
                <w:i/>
                <w:sz w:val="18"/>
                <w:szCs w:val="20"/>
              </w:rPr>
              <w:t>Contributions affectées à des fins spécifiques se rapportant à des projets déterminés approuvés par le Comité, conformément à l</w:t>
            </w:r>
            <w:r w:rsidR="00964CB4" w:rsidRPr="00CB1A2F">
              <w:rPr>
                <w:rFonts w:cs="Arial"/>
                <w:i/>
                <w:sz w:val="18"/>
                <w:szCs w:val="20"/>
              </w:rPr>
              <w:t>’</w:t>
            </w:r>
            <w:r w:rsidRPr="00CB1A2F">
              <w:rPr>
                <w:rFonts w:cs="Arial"/>
                <w:i/>
                <w:sz w:val="18"/>
                <w:szCs w:val="20"/>
              </w:rPr>
              <w:t>article 25.5 de la Convention</w:t>
            </w:r>
          </w:p>
        </w:tc>
        <w:tc>
          <w:tcPr>
            <w:tcW w:w="2126" w:type="dxa"/>
            <w:shd w:val="clear" w:color="auto" w:fill="auto"/>
            <w:vAlign w:val="center"/>
          </w:tcPr>
          <w:p w:rsidR="00141F63" w:rsidRPr="00CB1A2F" w:rsidRDefault="00141F63" w:rsidP="00215D8E">
            <w:pPr>
              <w:pStyle w:val="Paragraph"/>
              <w:spacing w:before="60" w:after="60"/>
              <w:jc w:val="right"/>
              <w:rPr>
                <w:rFonts w:cs="Arial"/>
                <w:strike/>
                <w:sz w:val="18"/>
                <w:szCs w:val="20"/>
              </w:rPr>
            </w:pP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spacing w:before="60" w:after="60"/>
              <w:jc w:val="left"/>
              <w:rPr>
                <w:rFonts w:cs="Arial"/>
                <w:sz w:val="18"/>
                <w:szCs w:val="20"/>
              </w:rPr>
            </w:pPr>
            <w:r w:rsidRPr="00CB1A2F">
              <w:rPr>
                <w:rFonts w:cs="Arial"/>
                <w:sz w:val="18"/>
                <w:szCs w:val="20"/>
              </w:rPr>
              <w:t xml:space="preserve">Transfert au sous-fonds du Fonds des </w:t>
            </w:r>
            <w:r w:rsidR="00F76D90" w:rsidRPr="00CB1A2F">
              <w:rPr>
                <w:rFonts w:cs="Arial"/>
                <w:sz w:val="18"/>
                <w:szCs w:val="20"/>
              </w:rPr>
              <w:t xml:space="preserve">fonds restants provenant des </w:t>
            </w:r>
            <w:r w:rsidRPr="00CB1A2F">
              <w:rPr>
                <w:rFonts w:cs="Arial"/>
                <w:sz w:val="18"/>
                <w:szCs w:val="20"/>
              </w:rPr>
              <w:t>activités spécifiques terminées</w:t>
            </w:r>
          </w:p>
        </w:tc>
        <w:tc>
          <w:tcPr>
            <w:tcW w:w="2126" w:type="dxa"/>
            <w:shd w:val="clear" w:color="auto" w:fill="auto"/>
            <w:vAlign w:val="center"/>
          </w:tcPr>
          <w:p w:rsidR="00141F63" w:rsidRPr="00CB1A2F" w:rsidRDefault="00141F63" w:rsidP="00215D8E">
            <w:pPr>
              <w:pStyle w:val="Paragraph"/>
              <w:spacing w:before="60" w:after="60"/>
              <w:jc w:val="right"/>
              <w:rPr>
                <w:rFonts w:cs="Arial"/>
                <w:sz w:val="18"/>
                <w:szCs w:val="20"/>
              </w:rPr>
            </w:pPr>
            <w:r w:rsidRPr="00CB1A2F">
              <w:rPr>
                <w:rFonts w:cs="Arial"/>
                <w:sz w:val="18"/>
                <w:szCs w:val="20"/>
              </w:rPr>
              <w:t>(14 176 dollars des États-Unis)</w:t>
            </w:r>
          </w:p>
        </w:tc>
      </w:tr>
      <w:tr w:rsidR="00141F63" w:rsidRPr="00CB1A2F" w:rsidTr="00D3691A">
        <w:trPr>
          <w:cantSplit/>
        </w:trPr>
        <w:tc>
          <w:tcPr>
            <w:tcW w:w="6946" w:type="dxa"/>
            <w:shd w:val="clear" w:color="auto" w:fill="auto"/>
            <w:vAlign w:val="center"/>
          </w:tcPr>
          <w:p w:rsidR="00141F63" w:rsidRPr="00CB1A2F" w:rsidRDefault="00141F63" w:rsidP="00915822">
            <w:pPr>
              <w:pStyle w:val="Paragraph"/>
              <w:widowControl w:val="0"/>
              <w:spacing w:before="60" w:after="60"/>
              <w:jc w:val="left"/>
              <w:rPr>
                <w:rFonts w:cs="Arial"/>
                <w:i/>
                <w:sz w:val="18"/>
                <w:szCs w:val="20"/>
              </w:rPr>
            </w:pPr>
            <w:r w:rsidRPr="00CB1A2F">
              <w:rPr>
                <w:rFonts w:cs="Arial"/>
                <w:i/>
                <w:sz w:val="18"/>
                <w:szCs w:val="20"/>
              </w:rPr>
              <w:t xml:space="preserve">Sous-fonds créé au sein du Fonds du patrimoine culturel immatériel et destiné exclusivement au renforcement des capacités humaines du Secrétariat </w:t>
            </w:r>
            <w:r w:rsidR="00964CB4" w:rsidRPr="00CB1A2F">
              <w:rPr>
                <w:rFonts w:cs="Arial"/>
                <w:i/>
                <w:sz w:val="18"/>
                <w:szCs w:val="20"/>
              </w:rPr>
              <w:t>(</w:t>
            </w:r>
            <w:hyperlink r:id="rId11" w:history="1">
              <w:r w:rsidRPr="00CB1A2F">
                <w:rPr>
                  <w:rStyle w:val="Hyperlink"/>
                  <w:rFonts w:cs="Arial"/>
                  <w:i/>
                  <w:sz w:val="18"/>
                  <w:szCs w:val="20"/>
                </w:rPr>
                <w:t>résolutio</w:t>
              </w:r>
              <w:r w:rsidRPr="00CB1A2F">
                <w:rPr>
                  <w:rStyle w:val="Hyperlink"/>
                  <w:rFonts w:cs="Arial"/>
                  <w:i/>
                  <w:sz w:val="18"/>
                  <w:szCs w:val="20"/>
                </w:rPr>
                <w:t>n</w:t>
              </w:r>
              <w:r w:rsidR="00964CB4" w:rsidRPr="00CB1A2F">
                <w:rPr>
                  <w:rStyle w:val="Hyperlink"/>
                  <w:rFonts w:cs="Arial"/>
                  <w:i/>
                  <w:sz w:val="18"/>
                  <w:szCs w:val="20"/>
                </w:rPr>
                <w:t> </w:t>
              </w:r>
              <w:r w:rsidRPr="00CB1A2F">
                <w:rPr>
                  <w:rStyle w:val="Hyperlink"/>
                  <w:rFonts w:cs="Arial"/>
                  <w:i/>
                  <w:sz w:val="18"/>
                  <w:szCs w:val="20"/>
                </w:rPr>
                <w:t>3.G</w:t>
              </w:r>
              <w:r w:rsidRPr="00CB1A2F">
                <w:rPr>
                  <w:rStyle w:val="Hyperlink"/>
                  <w:rFonts w:cs="Arial"/>
                  <w:i/>
                  <w:sz w:val="18"/>
                  <w:szCs w:val="20"/>
                </w:rPr>
                <w:t>A</w:t>
              </w:r>
              <w:r w:rsidRPr="00CB1A2F">
                <w:rPr>
                  <w:rStyle w:val="Hyperlink"/>
                  <w:rFonts w:cs="Arial"/>
                  <w:i/>
                  <w:sz w:val="18"/>
                  <w:szCs w:val="20"/>
                </w:rPr>
                <w:t> 9</w:t>
              </w:r>
            </w:hyperlink>
            <w:r w:rsidRPr="00CB1A2F">
              <w:rPr>
                <w:rFonts w:cs="Arial"/>
                <w:i/>
                <w:color w:val="auto"/>
                <w:sz w:val="18"/>
                <w:szCs w:val="20"/>
              </w:rPr>
              <w:t>)</w:t>
            </w:r>
            <w:r w:rsidRPr="00CB1A2F">
              <w:rPr>
                <w:rFonts w:cs="Arial"/>
                <w:bCs w:val="0"/>
                <w:i/>
                <w:sz w:val="18"/>
                <w:szCs w:val="20"/>
                <w:vertAlign w:val="superscript"/>
              </w:rPr>
              <w:footnoteReference w:id="3"/>
            </w:r>
          </w:p>
        </w:tc>
        <w:tc>
          <w:tcPr>
            <w:tcW w:w="2126" w:type="dxa"/>
            <w:shd w:val="clear" w:color="auto" w:fill="auto"/>
            <w:vAlign w:val="center"/>
          </w:tcPr>
          <w:p w:rsidR="00141F63" w:rsidRPr="00CB1A2F" w:rsidRDefault="00141F63" w:rsidP="00215D8E">
            <w:pPr>
              <w:pStyle w:val="Paragraph"/>
              <w:spacing w:before="60" w:after="60"/>
              <w:jc w:val="right"/>
              <w:rPr>
                <w:rFonts w:cs="Arial"/>
                <w:sz w:val="18"/>
                <w:szCs w:val="20"/>
              </w:rPr>
            </w:pP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spacing w:before="60" w:after="60"/>
              <w:ind w:left="317"/>
              <w:jc w:val="left"/>
              <w:rPr>
                <w:rFonts w:cs="Arial"/>
                <w:sz w:val="18"/>
                <w:szCs w:val="20"/>
              </w:rPr>
            </w:pPr>
            <w:r w:rsidRPr="00CB1A2F">
              <w:rPr>
                <w:rFonts w:cs="Arial"/>
                <w:sz w:val="18"/>
                <w:szCs w:val="20"/>
              </w:rPr>
              <w:t xml:space="preserve">Azerbaïdjan, Émirats arabes unis, transfert </w:t>
            </w:r>
            <w:r w:rsidR="00964CB4" w:rsidRPr="00CB1A2F">
              <w:rPr>
                <w:rFonts w:cs="Arial"/>
                <w:sz w:val="18"/>
                <w:szCs w:val="20"/>
              </w:rPr>
              <w:t>des fonds restants provenant des activités spécifiques terminées</w:t>
            </w:r>
            <w:r w:rsidRPr="00CB1A2F">
              <w:rPr>
                <w:rFonts w:cs="Arial"/>
                <w:sz w:val="18"/>
                <w:szCs w:val="20"/>
              </w:rPr>
              <w:t xml:space="preserve"> </w:t>
            </w:r>
          </w:p>
        </w:tc>
        <w:tc>
          <w:tcPr>
            <w:tcW w:w="2126" w:type="dxa"/>
            <w:shd w:val="clear" w:color="auto" w:fill="auto"/>
            <w:vAlign w:val="center"/>
          </w:tcPr>
          <w:p w:rsidR="00141F63" w:rsidRPr="00CB1A2F" w:rsidRDefault="00141F63" w:rsidP="00215D8E">
            <w:pPr>
              <w:pStyle w:val="Paragraph"/>
              <w:spacing w:before="60" w:after="60"/>
              <w:jc w:val="right"/>
              <w:rPr>
                <w:rFonts w:cs="Arial"/>
                <w:sz w:val="18"/>
                <w:szCs w:val="20"/>
              </w:rPr>
            </w:pPr>
            <w:r w:rsidRPr="00CB1A2F">
              <w:rPr>
                <w:rFonts w:cs="Arial"/>
                <w:sz w:val="18"/>
                <w:szCs w:val="20"/>
              </w:rPr>
              <w:t>112 054 dollars des États-Unis</w:t>
            </w: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numPr>
                <w:ilvl w:val="0"/>
                <w:numId w:val="16"/>
              </w:numPr>
              <w:spacing w:before="60" w:after="60"/>
              <w:ind w:left="357" w:hanging="357"/>
              <w:jc w:val="left"/>
              <w:rPr>
                <w:rFonts w:cs="Arial"/>
                <w:sz w:val="18"/>
                <w:szCs w:val="20"/>
                <w:u w:val="single"/>
              </w:rPr>
            </w:pPr>
            <w:r w:rsidRPr="00CB1A2F">
              <w:rPr>
                <w:rFonts w:cs="Arial"/>
                <w:sz w:val="18"/>
                <w:szCs w:val="20"/>
                <w:u w:val="single"/>
              </w:rPr>
              <w:t xml:space="preserve">Des intérêts </w:t>
            </w:r>
            <w:r w:rsidR="00FA5201" w:rsidRPr="00CB1A2F">
              <w:rPr>
                <w:rFonts w:cs="Arial"/>
                <w:sz w:val="18"/>
                <w:szCs w:val="20"/>
                <w:u w:val="single"/>
              </w:rPr>
              <w:t xml:space="preserve">acquis </w:t>
            </w:r>
            <w:r w:rsidRPr="00CB1A2F">
              <w:rPr>
                <w:rFonts w:cs="Arial"/>
                <w:sz w:val="18"/>
                <w:szCs w:val="20"/>
                <w:u w:val="single"/>
              </w:rPr>
              <w:t>sur les ressources du Fonds</w:t>
            </w:r>
          </w:p>
        </w:tc>
        <w:tc>
          <w:tcPr>
            <w:tcW w:w="2126" w:type="dxa"/>
            <w:shd w:val="clear" w:color="auto" w:fill="auto"/>
            <w:vAlign w:val="center"/>
          </w:tcPr>
          <w:p w:rsidR="00141F63" w:rsidRPr="00CB1A2F" w:rsidRDefault="00141F63" w:rsidP="00215D8E">
            <w:pPr>
              <w:pStyle w:val="Paragraph"/>
              <w:spacing w:before="60" w:after="60"/>
              <w:jc w:val="right"/>
              <w:rPr>
                <w:rFonts w:cs="Arial"/>
                <w:sz w:val="18"/>
                <w:szCs w:val="20"/>
              </w:rPr>
            </w:pPr>
            <w:r w:rsidRPr="00CB1A2F">
              <w:rPr>
                <w:rFonts w:cs="Arial"/>
                <w:sz w:val="18"/>
                <w:szCs w:val="20"/>
              </w:rPr>
              <w:t>42 550 dollars des États-Unis</w:t>
            </w:r>
          </w:p>
        </w:tc>
      </w:tr>
      <w:tr w:rsidR="00141F63" w:rsidRPr="00CB1A2F" w:rsidTr="00D3691A">
        <w:trPr>
          <w:cantSplit/>
        </w:trPr>
        <w:tc>
          <w:tcPr>
            <w:tcW w:w="6946" w:type="dxa"/>
            <w:shd w:val="clear" w:color="auto" w:fill="auto"/>
            <w:vAlign w:val="center"/>
          </w:tcPr>
          <w:p w:rsidR="00141F63" w:rsidRPr="00CB1A2F" w:rsidRDefault="00141F63" w:rsidP="00215D8E">
            <w:pPr>
              <w:pStyle w:val="Paragraph"/>
              <w:spacing w:before="60" w:after="60"/>
              <w:ind w:firstLine="34"/>
              <w:jc w:val="right"/>
              <w:rPr>
                <w:rFonts w:cs="Arial"/>
                <w:b/>
                <w:sz w:val="18"/>
                <w:szCs w:val="20"/>
              </w:rPr>
            </w:pPr>
            <w:r w:rsidRPr="00CB1A2F">
              <w:rPr>
                <w:rFonts w:cs="Arial"/>
                <w:b/>
                <w:sz w:val="18"/>
                <w:szCs w:val="20"/>
              </w:rPr>
              <w:t>TOTAL</w:t>
            </w:r>
          </w:p>
        </w:tc>
        <w:tc>
          <w:tcPr>
            <w:tcW w:w="2126" w:type="dxa"/>
            <w:shd w:val="clear" w:color="auto" w:fill="auto"/>
            <w:vAlign w:val="center"/>
          </w:tcPr>
          <w:p w:rsidR="00141F63" w:rsidRPr="00CB1A2F" w:rsidRDefault="00141F63" w:rsidP="00215D8E">
            <w:pPr>
              <w:pStyle w:val="Paragraph"/>
              <w:spacing w:before="60" w:after="60"/>
              <w:jc w:val="right"/>
              <w:rPr>
                <w:rFonts w:cs="Arial"/>
                <w:b/>
                <w:sz w:val="18"/>
                <w:szCs w:val="20"/>
              </w:rPr>
            </w:pPr>
            <w:r w:rsidRPr="00CB1A2F">
              <w:rPr>
                <w:rFonts w:cs="Arial"/>
                <w:b/>
                <w:sz w:val="18"/>
                <w:szCs w:val="20"/>
              </w:rPr>
              <w:t>1 963 983 dollars des États-Unis</w:t>
            </w:r>
          </w:p>
        </w:tc>
      </w:tr>
    </w:tbl>
    <w:p w:rsidR="00141F63" w:rsidRPr="00915822"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215D8E">
        <w:rPr>
          <w:rFonts w:ascii="Arial" w:hAnsi="Arial" w:cs="Arial"/>
          <w:sz w:val="22"/>
          <w:szCs w:val="22"/>
          <w:lang w:val="fr-FR"/>
        </w:rPr>
        <w:lastRenderedPageBreak/>
        <w:t>Le total des revenus au 30 juin 2016 est supérieur de 5 % à celui du précédent exercice pour la même période (30 juin 2014). Cette crois</w:t>
      </w:r>
      <w:r w:rsidRPr="0066056F">
        <w:rPr>
          <w:rFonts w:ascii="Arial" w:hAnsi="Arial" w:cs="Arial"/>
          <w:sz w:val="22"/>
          <w:szCs w:val="22"/>
          <w:lang w:val="fr-FR"/>
        </w:rPr>
        <w:t>sance modeste est due à l’augmentation du nombre d’États parties (167 États parties au 30 juin 2016 contre 159 au 30 juin 2014), malgré</w:t>
      </w:r>
      <w:r w:rsidRPr="00915822">
        <w:rPr>
          <w:rFonts w:ascii="Arial" w:hAnsi="Arial" w:cs="Arial"/>
          <w:sz w:val="22"/>
          <w:szCs w:val="22"/>
          <w:lang w:val="fr-FR"/>
        </w:rPr>
        <w:t xml:space="preserve"> un taux de ratification qui se stabilise (</w:t>
      </w:r>
      <w:r w:rsidR="00CA5C21" w:rsidRPr="00915822">
        <w:rPr>
          <w:rFonts w:ascii="Arial" w:hAnsi="Arial" w:cs="Arial"/>
          <w:sz w:val="22"/>
          <w:szCs w:val="22"/>
          <w:lang w:val="fr-FR"/>
        </w:rPr>
        <w:t xml:space="preserve">les contributions obligatoires représentent </w:t>
      </w:r>
      <w:r w:rsidRPr="00915822">
        <w:rPr>
          <w:rFonts w:ascii="Arial" w:hAnsi="Arial" w:cs="Arial"/>
          <w:sz w:val="22"/>
          <w:szCs w:val="22"/>
          <w:lang w:val="fr-FR"/>
        </w:rPr>
        <w:t xml:space="preserve">46 % de la croissance), à une légère hausse de l’intérêt (27 % de la croissance) et à une tout aussi légère hausse des contributions volontaires supplémentaires reçues durant la première moitié </w:t>
      </w:r>
      <w:r w:rsidR="00B539FE" w:rsidRPr="00915822">
        <w:rPr>
          <w:rFonts w:ascii="Arial" w:hAnsi="Arial" w:cs="Arial"/>
          <w:sz w:val="22"/>
          <w:szCs w:val="22"/>
          <w:lang w:val="fr-FR"/>
        </w:rPr>
        <w:t>du biennium</w:t>
      </w:r>
      <w:r w:rsidRPr="00915822">
        <w:rPr>
          <w:rFonts w:ascii="Arial" w:hAnsi="Arial" w:cs="Arial"/>
          <w:sz w:val="22"/>
          <w:szCs w:val="22"/>
          <w:lang w:val="fr-FR"/>
        </w:rPr>
        <w:t xml:space="preserve"> (27 % de la croissance). Il convient néanmoins de noter que pendant la période considérée, le Fonds n’a reçu aucune contribution volontaire affectée à des activités approuvées par le Comité.</w:t>
      </w:r>
    </w:p>
    <w:p w:rsidR="00141F63" w:rsidRPr="00215D8E" w:rsidRDefault="009F3A09" w:rsidP="00141F63">
      <w:pPr>
        <w:pStyle w:val="Default"/>
        <w:keepNext/>
        <w:spacing w:before="240" w:after="120"/>
        <w:rPr>
          <w:b/>
          <w:bCs/>
          <w:sz w:val="22"/>
          <w:szCs w:val="22"/>
        </w:rPr>
      </w:pPr>
      <w:r w:rsidRPr="00915822">
        <w:rPr>
          <w:rStyle w:val="ParagraphChar"/>
          <w:b/>
        </w:rPr>
        <w:t>Échelonnement</w:t>
      </w:r>
      <w:r w:rsidR="00141F63" w:rsidRPr="00915822">
        <w:rPr>
          <w:b/>
          <w:sz w:val="22"/>
          <w:szCs w:val="22"/>
        </w:rPr>
        <w:t xml:space="preserve"> des crédits et des dépenses pour l</w:t>
      </w:r>
      <w:r w:rsidR="00141F63" w:rsidRPr="00915822">
        <w:rPr>
          <w:b/>
          <w:sz w:val="22"/>
          <w:szCs w:val="22"/>
          <w:cs/>
        </w:rPr>
        <w:t>’</w:t>
      </w:r>
      <w:r w:rsidR="00141F63" w:rsidRPr="00915822">
        <w:rPr>
          <w:b/>
          <w:sz w:val="22"/>
          <w:szCs w:val="22"/>
        </w:rPr>
        <w:t>exercice du 1er janvier 2016 au 30 juin 2016 (état financier I, page 7</w:t>
      </w:r>
      <w:r w:rsidR="00141F63" w:rsidRPr="00215D8E">
        <w:rPr>
          <w:b/>
          <w:sz w:val="22"/>
          <w:szCs w:val="22"/>
        </w:rPr>
        <w:t>)</w:t>
      </w:r>
    </w:p>
    <w:p w:rsidR="00141F63" w:rsidRPr="00915822" w:rsidRDefault="005B3562"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66056F">
        <w:rPr>
          <w:rFonts w:ascii="Arial" w:hAnsi="Arial" w:cs="Arial"/>
          <w:sz w:val="22"/>
          <w:szCs w:val="22"/>
          <w:lang w:val="fr-FR"/>
        </w:rPr>
        <w:t xml:space="preserve">Le budget opérationnel total </w:t>
      </w:r>
      <w:r w:rsidRPr="00915822">
        <w:rPr>
          <w:rFonts w:ascii="Arial" w:hAnsi="Arial" w:cs="Arial"/>
          <w:sz w:val="22"/>
          <w:szCs w:val="22"/>
          <w:lang w:val="fr-FR"/>
        </w:rPr>
        <w:t>présenté</w:t>
      </w:r>
      <w:r w:rsidR="00141F63" w:rsidRPr="00915822">
        <w:rPr>
          <w:rFonts w:ascii="Arial" w:hAnsi="Arial" w:cs="Arial"/>
          <w:sz w:val="22"/>
          <w:szCs w:val="22"/>
          <w:lang w:val="fr-FR"/>
        </w:rPr>
        <w:t xml:space="preserve"> dans </w:t>
      </w:r>
      <w:r w:rsidRPr="00915822">
        <w:rPr>
          <w:rFonts w:ascii="Arial" w:hAnsi="Arial" w:cs="Arial"/>
          <w:sz w:val="22"/>
          <w:szCs w:val="22"/>
          <w:lang w:val="fr-FR"/>
        </w:rPr>
        <w:t>l’échelonnement</w:t>
      </w:r>
      <w:r w:rsidR="00141F63" w:rsidRPr="00915822">
        <w:rPr>
          <w:rFonts w:ascii="Arial" w:hAnsi="Arial" w:cs="Arial"/>
          <w:sz w:val="22"/>
          <w:szCs w:val="22"/>
          <w:lang w:val="fr-FR"/>
        </w:rPr>
        <w:t xml:space="preserve"> des crédits et des dépenses (7 977 920 dollars des États-Unis) correspond au solde du Fonds au 1</w:t>
      </w:r>
      <w:r w:rsidR="00141F63" w:rsidRPr="00915822">
        <w:rPr>
          <w:rFonts w:ascii="Arial" w:hAnsi="Arial" w:cs="Arial"/>
          <w:sz w:val="22"/>
          <w:szCs w:val="22"/>
          <w:vertAlign w:val="superscript"/>
          <w:lang w:val="fr-FR"/>
        </w:rPr>
        <w:t>er</w:t>
      </w:r>
      <w:r w:rsidR="00141F63" w:rsidRPr="00215D8E">
        <w:rPr>
          <w:rFonts w:ascii="Arial" w:hAnsi="Arial" w:cs="Arial"/>
          <w:sz w:val="22"/>
          <w:szCs w:val="22"/>
          <w:lang w:val="fr-FR"/>
        </w:rPr>
        <w:t xml:space="preserve"> janvier 2016 (8 953 730 dollars des États-Unis) auquel a été soustrait le Fonds de réserve accumulé </w:t>
      </w:r>
      <w:r w:rsidR="00141F63" w:rsidRPr="0066056F">
        <w:rPr>
          <w:rFonts w:ascii="Arial" w:hAnsi="Arial" w:cs="Arial"/>
          <w:sz w:val="22"/>
          <w:szCs w:val="22"/>
          <w:lang w:val="fr-FR"/>
        </w:rPr>
        <w:t xml:space="preserve">à ce jour (975 810 dollars des États-Unis). </w:t>
      </w:r>
      <w:r w:rsidRPr="0066056F">
        <w:rPr>
          <w:rFonts w:ascii="Arial" w:hAnsi="Arial" w:cs="Arial"/>
          <w:sz w:val="22"/>
          <w:szCs w:val="22"/>
          <w:lang w:val="fr-FR"/>
        </w:rPr>
        <w:t>C</w:t>
      </w:r>
      <w:r w:rsidR="00141F63" w:rsidRPr="00915822">
        <w:rPr>
          <w:rFonts w:ascii="Arial" w:hAnsi="Arial" w:cs="Arial"/>
          <w:sz w:val="22"/>
          <w:szCs w:val="22"/>
          <w:lang w:val="fr-FR"/>
        </w:rPr>
        <w:t xml:space="preserve">e Fonds de réserve a été créé, conformément au Règlement financier du Compte spécial </w:t>
      </w:r>
      <w:r w:rsidRPr="00915822">
        <w:rPr>
          <w:rFonts w:ascii="Arial" w:hAnsi="Arial" w:cs="Arial"/>
          <w:sz w:val="22"/>
          <w:szCs w:val="22"/>
          <w:lang w:val="fr-FR"/>
        </w:rPr>
        <w:t>du</w:t>
      </w:r>
      <w:r w:rsidR="00141F63" w:rsidRPr="00915822">
        <w:rPr>
          <w:rFonts w:ascii="Arial" w:hAnsi="Arial" w:cs="Arial"/>
          <w:sz w:val="22"/>
          <w:szCs w:val="22"/>
          <w:lang w:val="fr-FR"/>
        </w:rPr>
        <w:t xml:space="preserve"> Fonds, pour répondre aux demandes d’assistance internationale </w:t>
      </w:r>
      <w:r w:rsidR="00E15C95" w:rsidRPr="00915822">
        <w:rPr>
          <w:rFonts w:ascii="Arial" w:hAnsi="Arial" w:cs="Arial"/>
          <w:sz w:val="22"/>
          <w:szCs w:val="22"/>
          <w:lang w:val="fr-FR"/>
        </w:rPr>
        <w:t>en</w:t>
      </w:r>
      <w:r w:rsidR="00141F63" w:rsidRPr="00915822">
        <w:rPr>
          <w:rFonts w:ascii="Arial" w:hAnsi="Arial" w:cs="Arial"/>
          <w:sz w:val="22"/>
          <w:szCs w:val="22"/>
          <w:lang w:val="fr-FR"/>
        </w:rPr>
        <w:t xml:space="preserve"> cas d’extrême urgence et lorsque le</w:t>
      </w:r>
      <w:r w:rsidR="00E15C95" w:rsidRPr="00915822">
        <w:rPr>
          <w:rFonts w:ascii="Arial" w:hAnsi="Arial" w:cs="Arial"/>
          <w:sz w:val="22"/>
          <w:szCs w:val="22"/>
          <w:lang w:val="fr-FR"/>
        </w:rPr>
        <w:t>s</w:t>
      </w:r>
      <w:r w:rsidR="00141F63" w:rsidRPr="00915822">
        <w:rPr>
          <w:rFonts w:ascii="Arial" w:hAnsi="Arial" w:cs="Arial"/>
          <w:sz w:val="22"/>
          <w:szCs w:val="22"/>
          <w:lang w:val="fr-FR"/>
        </w:rPr>
        <w:t xml:space="preserve"> fonds alloué</w:t>
      </w:r>
      <w:r w:rsidR="00E15C95" w:rsidRPr="00915822">
        <w:rPr>
          <w:rFonts w:ascii="Arial" w:hAnsi="Arial" w:cs="Arial"/>
          <w:sz w:val="22"/>
          <w:szCs w:val="22"/>
          <w:lang w:val="fr-FR"/>
        </w:rPr>
        <w:t>s</w:t>
      </w:r>
      <w:r w:rsidR="00141F63" w:rsidRPr="00915822">
        <w:rPr>
          <w:rFonts w:ascii="Arial" w:hAnsi="Arial" w:cs="Arial"/>
          <w:sz w:val="22"/>
          <w:szCs w:val="22"/>
          <w:lang w:val="fr-FR"/>
        </w:rPr>
        <w:t xml:space="preserve"> à l’assistance internationale (ligne budgétaire 1) </w:t>
      </w:r>
      <w:r w:rsidR="00E15C95" w:rsidRPr="00915822">
        <w:rPr>
          <w:rFonts w:ascii="Arial" w:hAnsi="Arial" w:cs="Arial"/>
          <w:sz w:val="22"/>
          <w:szCs w:val="22"/>
          <w:lang w:val="fr-FR"/>
        </w:rPr>
        <w:t xml:space="preserve">sont </w:t>
      </w:r>
      <w:r w:rsidR="00141F63" w:rsidRPr="00915822">
        <w:rPr>
          <w:rFonts w:ascii="Arial" w:hAnsi="Arial" w:cs="Arial"/>
          <w:sz w:val="22"/>
          <w:szCs w:val="22"/>
          <w:lang w:val="fr-FR"/>
        </w:rPr>
        <w:t>épuisé</w:t>
      </w:r>
      <w:r w:rsidR="00E15C95" w:rsidRPr="00915822">
        <w:rPr>
          <w:rFonts w:ascii="Arial" w:hAnsi="Arial" w:cs="Arial"/>
          <w:sz w:val="22"/>
          <w:szCs w:val="22"/>
          <w:lang w:val="fr-FR"/>
        </w:rPr>
        <w:t>s</w:t>
      </w:r>
      <w:r w:rsidR="00141F63" w:rsidRPr="00915822">
        <w:rPr>
          <w:rFonts w:ascii="Arial" w:hAnsi="Arial" w:cs="Arial"/>
          <w:sz w:val="22"/>
          <w:szCs w:val="22"/>
          <w:lang w:val="fr-FR"/>
        </w:rPr>
        <w:t>. Le nouveau transfert au Fonds de réserve (24 190 dollars des États-Unis), qui a eu lieu lorsque le Plan d’utilisation des ressources du Fonds a été approuvé par la sixième session de l’Assemblée générale en juin 2016, apparaît dans l’</w:t>
      </w:r>
      <w:r w:rsidR="00E15C95" w:rsidRPr="00915822">
        <w:rPr>
          <w:rStyle w:val="Paragraph"/>
          <w:rFonts w:ascii="Arial" w:hAnsi="Arial" w:cs="Arial"/>
          <w:sz w:val="22"/>
          <w:szCs w:val="22"/>
          <w:lang w:val="fr-FR"/>
        </w:rPr>
        <w:t>É</w:t>
      </w:r>
      <w:r w:rsidR="00141F63" w:rsidRPr="00215D8E">
        <w:rPr>
          <w:rFonts w:ascii="Arial" w:hAnsi="Arial" w:cs="Arial"/>
          <w:sz w:val="22"/>
          <w:szCs w:val="22"/>
          <w:lang w:val="fr-FR"/>
        </w:rPr>
        <w:t>tat</w:t>
      </w:r>
      <w:r w:rsidR="00215D8E">
        <w:rPr>
          <w:rFonts w:ascii="Arial" w:hAnsi="Arial" w:cs="Arial"/>
          <w:sz w:val="22"/>
          <w:szCs w:val="22"/>
          <w:lang w:val="fr-FR"/>
        </w:rPr>
        <w:t xml:space="preserve"> financier </w:t>
      </w:r>
      <w:r w:rsidR="00141F63" w:rsidRPr="0066056F">
        <w:rPr>
          <w:rFonts w:ascii="Arial" w:hAnsi="Arial" w:cs="Arial"/>
          <w:sz w:val="22"/>
          <w:szCs w:val="22"/>
          <w:lang w:val="fr-FR"/>
        </w:rPr>
        <w:t xml:space="preserve">II </w:t>
      </w:r>
      <w:r w:rsidR="00E15C95" w:rsidRPr="00915822">
        <w:rPr>
          <w:rFonts w:ascii="Arial" w:hAnsi="Arial" w:cs="Arial"/>
          <w:sz w:val="22"/>
          <w:szCs w:val="22"/>
          <w:lang w:val="fr-FR"/>
        </w:rPr>
        <w:t>comme une augmentation</w:t>
      </w:r>
      <w:r w:rsidR="00141F63" w:rsidRPr="00915822">
        <w:rPr>
          <w:rFonts w:ascii="Arial" w:hAnsi="Arial" w:cs="Arial"/>
          <w:sz w:val="22"/>
          <w:szCs w:val="22"/>
          <w:lang w:val="fr-FR"/>
        </w:rPr>
        <w:t xml:space="preserve"> du Fonds de réserve d’un exercice </w:t>
      </w:r>
      <w:r w:rsidR="00E15C95" w:rsidRPr="00915822">
        <w:rPr>
          <w:rFonts w:ascii="Arial" w:hAnsi="Arial" w:cs="Arial"/>
          <w:sz w:val="22"/>
          <w:szCs w:val="22"/>
          <w:lang w:val="fr-FR"/>
        </w:rPr>
        <w:t xml:space="preserve">biennal </w:t>
      </w:r>
      <w:r w:rsidR="00141F63" w:rsidRPr="00915822">
        <w:rPr>
          <w:rFonts w:ascii="Arial" w:hAnsi="Arial" w:cs="Arial"/>
          <w:sz w:val="22"/>
          <w:szCs w:val="22"/>
          <w:lang w:val="fr-FR"/>
        </w:rPr>
        <w:t xml:space="preserve">à l’autre, </w:t>
      </w:r>
      <w:r w:rsidR="00E15C95" w:rsidRPr="00915822">
        <w:rPr>
          <w:rFonts w:ascii="Arial" w:hAnsi="Arial" w:cs="Arial"/>
          <w:sz w:val="22"/>
          <w:szCs w:val="22"/>
          <w:lang w:val="fr-FR"/>
        </w:rPr>
        <w:t xml:space="preserve">afin de fixer son </w:t>
      </w:r>
      <w:r w:rsidR="00141F63" w:rsidRPr="00915822">
        <w:rPr>
          <w:rFonts w:ascii="Arial" w:hAnsi="Arial" w:cs="Arial"/>
          <w:sz w:val="22"/>
          <w:szCs w:val="22"/>
          <w:lang w:val="fr-FR"/>
        </w:rPr>
        <w:t xml:space="preserve">montant total </w:t>
      </w:r>
      <w:r w:rsidR="00E15C95" w:rsidRPr="00915822">
        <w:rPr>
          <w:rFonts w:ascii="Arial" w:hAnsi="Arial" w:cs="Arial"/>
          <w:sz w:val="22"/>
          <w:szCs w:val="22"/>
          <w:lang w:val="fr-FR"/>
        </w:rPr>
        <w:t xml:space="preserve">à </w:t>
      </w:r>
      <w:r w:rsidR="00141F63" w:rsidRPr="00915822">
        <w:rPr>
          <w:rFonts w:ascii="Arial" w:hAnsi="Arial" w:cs="Arial"/>
          <w:sz w:val="22"/>
          <w:szCs w:val="22"/>
          <w:lang w:val="fr-FR"/>
        </w:rPr>
        <w:t>1 million de dollars des États-Unis.</w:t>
      </w:r>
    </w:p>
    <w:p w:rsidR="00141F63" w:rsidRPr="00915822"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 xml:space="preserve">Le rapport financier </w:t>
      </w:r>
      <w:r w:rsidR="006836F0" w:rsidRPr="00915822">
        <w:rPr>
          <w:rFonts w:ascii="Arial" w:hAnsi="Arial" w:cs="Arial"/>
          <w:sz w:val="22"/>
          <w:szCs w:val="22"/>
          <w:lang w:val="fr-FR"/>
        </w:rPr>
        <w:t xml:space="preserve">montre </w:t>
      </w:r>
      <w:r w:rsidRPr="00915822">
        <w:rPr>
          <w:rFonts w:ascii="Arial" w:hAnsi="Arial" w:cs="Arial"/>
          <w:sz w:val="22"/>
          <w:szCs w:val="22"/>
          <w:lang w:val="fr-FR"/>
        </w:rPr>
        <w:t xml:space="preserve">une dépense totale de 633 793 dollars des États-Unis au 30 juin 2016, </w:t>
      </w:r>
      <w:r w:rsidR="006836F0" w:rsidRPr="00915822">
        <w:rPr>
          <w:rFonts w:ascii="Arial" w:hAnsi="Arial" w:cs="Arial"/>
          <w:sz w:val="22"/>
          <w:szCs w:val="22"/>
          <w:lang w:val="fr-FR"/>
        </w:rPr>
        <w:t>soit</w:t>
      </w:r>
      <w:r w:rsidRPr="00915822">
        <w:rPr>
          <w:rFonts w:ascii="Arial" w:hAnsi="Arial" w:cs="Arial"/>
          <w:sz w:val="22"/>
          <w:szCs w:val="22"/>
          <w:lang w:val="fr-FR"/>
        </w:rPr>
        <w:t xml:space="preserve"> 8 % du budget </w:t>
      </w:r>
      <w:r w:rsidR="00215D8E" w:rsidRPr="0062627B">
        <w:rPr>
          <w:rFonts w:ascii="Arial" w:hAnsi="Arial" w:cs="Arial"/>
          <w:sz w:val="22"/>
          <w:szCs w:val="22"/>
          <w:lang w:val="fr-FR"/>
        </w:rPr>
        <w:t>opérationnel</w:t>
      </w:r>
      <w:r w:rsidRPr="00215D8E">
        <w:rPr>
          <w:rFonts w:ascii="Arial" w:hAnsi="Arial" w:cs="Arial"/>
          <w:sz w:val="22"/>
          <w:szCs w:val="22"/>
          <w:lang w:val="fr-FR"/>
        </w:rPr>
        <w:t xml:space="preserve"> approuvé par l’Assemblée générale dans sa </w:t>
      </w:r>
      <w:hyperlink r:id="rId12" w:history="1">
        <w:r w:rsidRPr="00915822">
          <w:rPr>
            <w:rStyle w:val="Hyperlink"/>
            <w:rFonts w:ascii="Arial" w:hAnsi="Arial" w:cs="Arial"/>
            <w:sz w:val="22"/>
            <w:szCs w:val="22"/>
          </w:rPr>
          <w:t>résolution</w:t>
        </w:r>
        <w:r w:rsidR="00215D8E">
          <w:rPr>
            <w:rStyle w:val="Hyperlink"/>
            <w:rFonts w:ascii="Arial" w:hAnsi="Arial" w:cs="Arial"/>
            <w:sz w:val="22"/>
            <w:szCs w:val="22"/>
          </w:rPr>
          <w:t> </w:t>
        </w:r>
        <w:r w:rsidRPr="00915822">
          <w:rPr>
            <w:rStyle w:val="Hyperlink"/>
            <w:rFonts w:ascii="Arial" w:hAnsi="Arial" w:cs="Arial"/>
            <w:sz w:val="22"/>
            <w:szCs w:val="22"/>
          </w:rPr>
          <w:t>6.</w:t>
        </w:r>
        <w:r w:rsidR="00215D8E" w:rsidRPr="00915822">
          <w:rPr>
            <w:rStyle w:val="Hyperlink"/>
            <w:rFonts w:ascii="Arial" w:hAnsi="Arial" w:cs="Arial"/>
            <w:sz w:val="22"/>
            <w:szCs w:val="22"/>
          </w:rPr>
          <w:t>GA</w:t>
        </w:r>
        <w:r w:rsidR="00215D8E">
          <w:rPr>
            <w:rStyle w:val="Hyperlink"/>
            <w:rFonts w:ascii="Arial" w:hAnsi="Arial" w:cs="Arial"/>
            <w:sz w:val="22"/>
            <w:szCs w:val="22"/>
          </w:rPr>
          <w:t> </w:t>
        </w:r>
        <w:r w:rsidRPr="00915822">
          <w:rPr>
            <w:rStyle w:val="Hyperlink"/>
            <w:rFonts w:ascii="Arial" w:hAnsi="Arial" w:cs="Arial"/>
            <w:sz w:val="22"/>
            <w:szCs w:val="22"/>
          </w:rPr>
          <w:t>9</w:t>
        </w:r>
      </w:hyperlink>
      <w:r w:rsidR="00215D8E">
        <w:rPr>
          <w:rStyle w:val="Hyperlink"/>
          <w:rFonts w:ascii="Arial" w:hAnsi="Arial" w:cs="Arial"/>
          <w:sz w:val="22"/>
          <w:szCs w:val="22"/>
          <w:u w:val="none"/>
        </w:rPr>
        <w:t xml:space="preserve"> </w:t>
      </w:r>
      <w:r w:rsidRPr="00215D8E">
        <w:rPr>
          <w:rFonts w:ascii="Arial" w:hAnsi="Arial" w:cs="Arial"/>
          <w:sz w:val="22"/>
          <w:szCs w:val="22"/>
          <w:cs/>
          <w:lang w:val="fr-FR"/>
        </w:rPr>
        <w:t xml:space="preserve">– </w:t>
      </w:r>
      <w:r w:rsidRPr="00215D8E">
        <w:rPr>
          <w:rFonts w:ascii="Arial" w:hAnsi="Arial" w:cs="Arial"/>
          <w:sz w:val="22"/>
          <w:szCs w:val="22"/>
          <w:lang w:val="fr-FR"/>
        </w:rPr>
        <w:t>à l’exclu</w:t>
      </w:r>
      <w:r w:rsidRPr="0066056F">
        <w:rPr>
          <w:rFonts w:ascii="Arial" w:hAnsi="Arial" w:cs="Arial"/>
          <w:sz w:val="22"/>
          <w:szCs w:val="22"/>
          <w:lang w:val="fr-FR"/>
        </w:rPr>
        <w:t xml:space="preserve">sion des fonds </w:t>
      </w:r>
      <w:r w:rsidR="006836F0" w:rsidRPr="00915822">
        <w:rPr>
          <w:rFonts w:ascii="Arial" w:hAnsi="Arial" w:cs="Arial"/>
          <w:sz w:val="22"/>
          <w:szCs w:val="22"/>
          <w:lang w:val="fr-FR"/>
        </w:rPr>
        <w:t>destinés au</w:t>
      </w:r>
      <w:r w:rsidRPr="00915822">
        <w:rPr>
          <w:rFonts w:ascii="Arial" w:hAnsi="Arial" w:cs="Arial"/>
          <w:sz w:val="22"/>
          <w:szCs w:val="22"/>
          <w:lang w:val="fr-FR"/>
        </w:rPr>
        <w:t xml:space="preserve"> Fonds de réserve. Les explications de chaque ligne budgétaire </w:t>
      </w:r>
      <w:r w:rsidR="006836F0" w:rsidRPr="00915822">
        <w:rPr>
          <w:rFonts w:ascii="Arial" w:hAnsi="Arial" w:cs="Arial"/>
          <w:sz w:val="22"/>
          <w:szCs w:val="22"/>
          <w:lang w:val="fr-FR"/>
        </w:rPr>
        <w:t>de l’échelonnement</w:t>
      </w:r>
      <w:r w:rsidRPr="00915822">
        <w:rPr>
          <w:rFonts w:ascii="Arial" w:hAnsi="Arial" w:cs="Arial"/>
          <w:sz w:val="22"/>
          <w:szCs w:val="22"/>
          <w:lang w:val="fr-FR"/>
        </w:rPr>
        <w:t xml:space="preserve"> des crédits et des dépenses sont fournies ci-après.</w:t>
      </w:r>
    </w:p>
    <w:p w:rsidR="00141F63" w:rsidRPr="00915822"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Conformément aux priorités définies par les Orientations pour l</w:t>
      </w:r>
      <w:r w:rsidRPr="00915822">
        <w:rPr>
          <w:rFonts w:ascii="Arial" w:hAnsi="Arial" w:cs="Arial"/>
          <w:sz w:val="22"/>
          <w:szCs w:val="22"/>
          <w:cs/>
          <w:lang w:val="fr-FR"/>
        </w:rPr>
        <w:t>’</w:t>
      </w:r>
      <w:r w:rsidRPr="00915822">
        <w:rPr>
          <w:rFonts w:ascii="Arial" w:hAnsi="Arial" w:cs="Arial"/>
          <w:sz w:val="22"/>
          <w:szCs w:val="22"/>
          <w:lang w:val="fr-FR"/>
        </w:rPr>
        <w:t xml:space="preserve">utilisation des ressources du Fonds, au chapitre II.1 des Directives opérationnelles, l’Assemblée générale a de nouveau décidé que la </w:t>
      </w:r>
      <w:r w:rsidR="004D4695" w:rsidRPr="00915822">
        <w:rPr>
          <w:rFonts w:ascii="Arial" w:hAnsi="Arial" w:cs="Arial"/>
          <w:sz w:val="22"/>
          <w:szCs w:val="22"/>
          <w:lang w:val="fr-FR"/>
        </w:rPr>
        <w:t xml:space="preserve">majeure partie </w:t>
      </w:r>
      <w:r w:rsidRPr="00915822">
        <w:rPr>
          <w:rFonts w:ascii="Arial" w:hAnsi="Arial" w:cs="Arial"/>
          <w:sz w:val="22"/>
          <w:szCs w:val="22"/>
          <w:lang w:val="fr-FR"/>
        </w:rPr>
        <w:t>des ressources (</w:t>
      </w:r>
      <w:r w:rsidRPr="00915822">
        <w:rPr>
          <w:rFonts w:ascii="Arial" w:hAnsi="Arial" w:cs="Arial"/>
          <w:b/>
          <w:sz w:val="22"/>
          <w:szCs w:val="22"/>
          <w:lang w:val="fr-FR"/>
        </w:rPr>
        <w:t>ligne budgétaire 1</w:t>
      </w:r>
      <w:r w:rsidRPr="00915822">
        <w:rPr>
          <w:rFonts w:ascii="Arial" w:hAnsi="Arial" w:cs="Arial"/>
          <w:sz w:val="22"/>
          <w:szCs w:val="22"/>
          <w:lang w:val="fr-FR"/>
        </w:rPr>
        <w:t xml:space="preserve">, 59 %) serait </w:t>
      </w:r>
      <w:r w:rsidR="008F184D" w:rsidRPr="00915822">
        <w:rPr>
          <w:rFonts w:ascii="Arial" w:hAnsi="Arial" w:cs="Arial"/>
          <w:sz w:val="22"/>
          <w:szCs w:val="22"/>
          <w:lang w:val="fr-FR"/>
        </w:rPr>
        <w:t xml:space="preserve">allouée </w:t>
      </w:r>
      <w:r w:rsidRPr="00915822">
        <w:rPr>
          <w:rFonts w:ascii="Arial" w:hAnsi="Arial" w:cs="Arial"/>
          <w:sz w:val="22"/>
          <w:szCs w:val="22"/>
          <w:lang w:val="fr-FR"/>
        </w:rPr>
        <w:t>à l</w:t>
      </w:r>
      <w:r w:rsidRPr="00915822">
        <w:rPr>
          <w:rFonts w:ascii="Arial" w:hAnsi="Arial" w:cs="Arial"/>
          <w:sz w:val="22"/>
          <w:szCs w:val="22"/>
          <w:cs/>
          <w:lang w:val="fr-FR"/>
        </w:rPr>
        <w:t>’</w:t>
      </w:r>
      <w:r w:rsidRPr="00915822">
        <w:rPr>
          <w:rFonts w:ascii="Arial" w:hAnsi="Arial" w:cs="Arial"/>
          <w:sz w:val="22"/>
          <w:szCs w:val="22"/>
          <w:lang w:val="fr-FR"/>
        </w:rPr>
        <w:t xml:space="preserve">assistance internationale aux États parties pour </w:t>
      </w:r>
      <w:r w:rsidR="00215D8E">
        <w:rPr>
          <w:rFonts w:ascii="Arial" w:hAnsi="Arial" w:cs="Arial"/>
          <w:sz w:val="22"/>
          <w:szCs w:val="22"/>
          <w:lang w:val="fr-FR"/>
        </w:rPr>
        <w:t>venir en complément de</w:t>
      </w:r>
      <w:r w:rsidR="00215D8E" w:rsidRPr="00215D8E">
        <w:rPr>
          <w:rFonts w:ascii="Arial" w:hAnsi="Arial" w:cs="Arial"/>
          <w:sz w:val="22"/>
          <w:szCs w:val="22"/>
          <w:lang w:val="fr-FR"/>
        </w:rPr>
        <w:t xml:space="preserve"> </w:t>
      </w:r>
      <w:r w:rsidRPr="00215D8E">
        <w:rPr>
          <w:rFonts w:ascii="Arial" w:hAnsi="Arial" w:cs="Arial"/>
          <w:sz w:val="22"/>
          <w:szCs w:val="22"/>
          <w:lang w:val="fr-FR"/>
        </w:rPr>
        <w:t xml:space="preserve">leurs efforts nationaux en matière de sauvegarde du patrimoine culturel immatériel. Les dépenses spécifiées dans cette ligne budgétaire correspondent à </w:t>
      </w:r>
      <w:r w:rsidR="008F184D" w:rsidRPr="0066056F">
        <w:rPr>
          <w:rFonts w:ascii="Arial" w:hAnsi="Arial" w:cs="Arial"/>
          <w:sz w:val="22"/>
          <w:szCs w:val="22"/>
          <w:lang w:val="fr-FR"/>
        </w:rPr>
        <w:t>l’</w:t>
      </w:r>
      <w:r w:rsidRPr="00915822">
        <w:rPr>
          <w:rFonts w:ascii="Arial" w:hAnsi="Arial" w:cs="Arial"/>
          <w:sz w:val="22"/>
          <w:szCs w:val="22"/>
          <w:lang w:val="fr-FR"/>
        </w:rPr>
        <w:t>assistance internationale accordée fin 2015 à deux projets, l’un par la dixième session du Comité, et l’autre par son Bureau. Étant donné que</w:t>
      </w:r>
      <w:r w:rsidR="00215D8E">
        <w:rPr>
          <w:rFonts w:ascii="Arial" w:hAnsi="Arial" w:cs="Arial"/>
          <w:sz w:val="22"/>
          <w:szCs w:val="22"/>
          <w:lang w:val="fr-FR"/>
        </w:rPr>
        <w:t>,</w:t>
      </w:r>
      <w:r w:rsidRPr="00215D8E">
        <w:rPr>
          <w:rFonts w:ascii="Arial" w:hAnsi="Arial" w:cs="Arial"/>
          <w:sz w:val="22"/>
          <w:szCs w:val="22"/>
          <w:lang w:val="fr-FR"/>
        </w:rPr>
        <w:t xml:space="preserve"> dans les deux cas, l’organe décisionnaire a demandé à l’État bénéficiaire de travailler en collaboration avec le Secrétariat pour clarifier le budget et la planification des projets pour lesquels un soutien financier a été sollicité, les demandes n’ont </w:t>
      </w:r>
      <w:r w:rsidRPr="0066056F">
        <w:rPr>
          <w:rFonts w:ascii="Arial" w:hAnsi="Arial" w:cs="Arial"/>
          <w:sz w:val="22"/>
          <w:szCs w:val="22"/>
          <w:lang w:val="fr-FR"/>
        </w:rPr>
        <w:t xml:space="preserve">pu </w:t>
      </w:r>
      <w:r w:rsidR="008F184D" w:rsidRPr="00915822">
        <w:rPr>
          <w:rFonts w:ascii="Arial" w:hAnsi="Arial" w:cs="Arial"/>
          <w:sz w:val="22"/>
          <w:szCs w:val="22"/>
          <w:lang w:val="fr-FR"/>
        </w:rPr>
        <w:t>donner lieu à</w:t>
      </w:r>
      <w:r w:rsidRPr="00915822">
        <w:rPr>
          <w:rFonts w:ascii="Arial" w:hAnsi="Arial" w:cs="Arial"/>
          <w:sz w:val="22"/>
          <w:szCs w:val="22"/>
          <w:lang w:val="fr-FR"/>
        </w:rPr>
        <w:t xml:space="preserve"> de</w:t>
      </w:r>
      <w:r w:rsidR="008F184D" w:rsidRPr="00915822">
        <w:rPr>
          <w:rFonts w:ascii="Arial" w:hAnsi="Arial" w:cs="Arial"/>
          <w:sz w:val="22"/>
          <w:szCs w:val="22"/>
          <w:lang w:val="fr-FR"/>
        </w:rPr>
        <w:t>s</w:t>
      </w:r>
      <w:r w:rsidRPr="00915822">
        <w:rPr>
          <w:rFonts w:ascii="Arial" w:hAnsi="Arial" w:cs="Arial"/>
          <w:sz w:val="22"/>
          <w:szCs w:val="22"/>
          <w:lang w:val="fr-FR"/>
        </w:rPr>
        <w:t xml:space="preserve"> contrats avant le premier semestre de 2016. Bien que le taux de dépense de cette ligne budgétaire </w:t>
      </w:r>
      <w:r w:rsidR="008F184D" w:rsidRPr="00915822">
        <w:rPr>
          <w:rFonts w:ascii="Arial" w:hAnsi="Arial" w:cs="Arial"/>
          <w:sz w:val="22"/>
          <w:szCs w:val="22"/>
          <w:lang w:val="fr-FR"/>
        </w:rPr>
        <w:t>demeure</w:t>
      </w:r>
      <w:r w:rsidRPr="00915822">
        <w:rPr>
          <w:rFonts w:ascii="Arial" w:hAnsi="Arial" w:cs="Arial"/>
          <w:sz w:val="22"/>
          <w:szCs w:val="22"/>
          <w:lang w:val="fr-FR"/>
        </w:rPr>
        <w:t xml:space="preserve"> un</w:t>
      </w:r>
      <w:r w:rsidR="008F184D" w:rsidRPr="00915822">
        <w:rPr>
          <w:rFonts w:ascii="Arial" w:hAnsi="Arial" w:cs="Arial"/>
          <w:sz w:val="22"/>
          <w:szCs w:val="22"/>
          <w:lang w:val="fr-FR"/>
        </w:rPr>
        <w:t>e</w:t>
      </w:r>
      <w:r w:rsidRPr="00915822">
        <w:rPr>
          <w:rFonts w:ascii="Arial" w:hAnsi="Arial" w:cs="Arial"/>
          <w:sz w:val="22"/>
          <w:szCs w:val="22"/>
          <w:lang w:val="fr-FR"/>
        </w:rPr>
        <w:t xml:space="preserve"> sérieu</w:t>
      </w:r>
      <w:r w:rsidR="008F184D" w:rsidRPr="00915822">
        <w:rPr>
          <w:rFonts w:ascii="Arial" w:hAnsi="Arial" w:cs="Arial"/>
          <w:sz w:val="22"/>
          <w:szCs w:val="22"/>
          <w:lang w:val="fr-FR"/>
        </w:rPr>
        <w:t>se</w:t>
      </w:r>
      <w:r w:rsidRPr="00915822">
        <w:rPr>
          <w:rFonts w:ascii="Arial" w:hAnsi="Arial" w:cs="Arial"/>
          <w:sz w:val="22"/>
          <w:szCs w:val="22"/>
          <w:lang w:val="fr-FR"/>
        </w:rPr>
        <w:t xml:space="preserve"> </w:t>
      </w:r>
      <w:r w:rsidR="008F184D" w:rsidRPr="00915822">
        <w:rPr>
          <w:rFonts w:ascii="Arial" w:hAnsi="Arial" w:cs="Arial"/>
          <w:sz w:val="22"/>
          <w:szCs w:val="22"/>
          <w:lang w:val="fr-FR"/>
        </w:rPr>
        <w:t>préoccupation</w:t>
      </w:r>
      <w:r w:rsidRPr="00915822">
        <w:rPr>
          <w:rFonts w:ascii="Arial" w:hAnsi="Arial" w:cs="Arial"/>
          <w:sz w:val="22"/>
          <w:szCs w:val="22"/>
          <w:lang w:val="fr-FR"/>
        </w:rPr>
        <w:t xml:space="preserve">, il convient de noter que, pendant la période considérée, le Bureau du Comité a </w:t>
      </w:r>
      <w:r w:rsidR="008F184D" w:rsidRPr="00915822">
        <w:rPr>
          <w:rFonts w:ascii="Arial" w:hAnsi="Arial" w:cs="Arial"/>
          <w:sz w:val="22"/>
          <w:szCs w:val="22"/>
          <w:lang w:val="fr-FR"/>
        </w:rPr>
        <w:t xml:space="preserve">accordé </w:t>
      </w:r>
      <w:r w:rsidR="003E232F" w:rsidRPr="00915822">
        <w:rPr>
          <w:rFonts w:ascii="Arial" w:hAnsi="Arial" w:cs="Arial"/>
          <w:sz w:val="22"/>
          <w:szCs w:val="22"/>
          <w:lang w:val="fr-FR"/>
        </w:rPr>
        <w:t>l’</w:t>
      </w:r>
      <w:r w:rsidRPr="00915822">
        <w:rPr>
          <w:rFonts w:ascii="Arial" w:hAnsi="Arial" w:cs="Arial"/>
          <w:sz w:val="22"/>
          <w:szCs w:val="22"/>
          <w:lang w:val="fr-FR"/>
        </w:rPr>
        <w:t xml:space="preserve">assistance internationale à cinq projets pour un montant total de 123 313 dollars des États-Unis. Le présent rapport financier ne </w:t>
      </w:r>
      <w:r w:rsidR="003E232F" w:rsidRPr="00915822">
        <w:rPr>
          <w:rFonts w:ascii="Arial" w:hAnsi="Arial" w:cs="Arial"/>
          <w:sz w:val="22"/>
          <w:szCs w:val="22"/>
          <w:lang w:val="fr-FR"/>
        </w:rPr>
        <w:t xml:space="preserve">tient </w:t>
      </w:r>
      <w:r w:rsidRPr="00915822">
        <w:rPr>
          <w:rFonts w:ascii="Arial" w:hAnsi="Arial" w:cs="Arial"/>
          <w:sz w:val="22"/>
          <w:szCs w:val="22"/>
          <w:lang w:val="fr-FR"/>
        </w:rPr>
        <w:t xml:space="preserve">pas </w:t>
      </w:r>
      <w:r w:rsidR="003E232F" w:rsidRPr="00915822">
        <w:rPr>
          <w:rFonts w:ascii="Arial" w:hAnsi="Arial" w:cs="Arial"/>
          <w:sz w:val="22"/>
          <w:szCs w:val="22"/>
          <w:lang w:val="fr-FR"/>
        </w:rPr>
        <w:t xml:space="preserve">compte de </w:t>
      </w:r>
      <w:r w:rsidRPr="00915822">
        <w:rPr>
          <w:rFonts w:ascii="Arial" w:hAnsi="Arial" w:cs="Arial"/>
          <w:sz w:val="22"/>
          <w:szCs w:val="22"/>
          <w:lang w:val="fr-FR"/>
        </w:rPr>
        <w:t xml:space="preserve">ces dépenses, car les modalités contractuelles </w:t>
      </w:r>
      <w:r w:rsidR="000C76FF" w:rsidRPr="00915822">
        <w:rPr>
          <w:rFonts w:ascii="Arial" w:hAnsi="Arial" w:cs="Arial"/>
          <w:sz w:val="22"/>
          <w:szCs w:val="22"/>
          <w:lang w:val="fr-FR"/>
        </w:rPr>
        <w:t xml:space="preserve">relatives </w:t>
      </w:r>
      <w:r w:rsidRPr="00915822">
        <w:rPr>
          <w:rFonts w:ascii="Arial" w:hAnsi="Arial" w:cs="Arial"/>
          <w:sz w:val="22"/>
          <w:szCs w:val="22"/>
          <w:lang w:val="fr-FR"/>
        </w:rPr>
        <w:t xml:space="preserve">à ces projets </w:t>
      </w:r>
      <w:r w:rsidR="000C76FF" w:rsidRPr="00915822">
        <w:rPr>
          <w:rFonts w:ascii="Arial" w:hAnsi="Arial" w:cs="Arial"/>
          <w:sz w:val="22"/>
          <w:szCs w:val="22"/>
          <w:lang w:val="fr-FR"/>
        </w:rPr>
        <w:t xml:space="preserve">ont été conclues après le </w:t>
      </w:r>
      <w:r w:rsidR="00055F51">
        <w:rPr>
          <w:rFonts w:ascii="Arial" w:hAnsi="Arial" w:cs="Arial"/>
          <w:sz w:val="22"/>
          <w:szCs w:val="22"/>
          <w:lang w:val="fr-FR"/>
        </w:rPr>
        <w:t>30 juin 2016.</w:t>
      </w:r>
    </w:p>
    <w:p w:rsidR="00141F63" w:rsidRPr="00915822"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 xml:space="preserve">Aucune demande d’assistance préparatoire pour l’élaboration de candidatures à la Liste du patrimoine culturel immatériel nécessitant une sauvegarde urgente ou de propositions au Registre des meilleures pratiques de sauvegarde n’a été reçue avant la date limite du 31 mars 2016. Par conséquent, les seules dépenses figurant </w:t>
      </w:r>
      <w:r w:rsidR="000768AA" w:rsidRPr="00915822">
        <w:rPr>
          <w:rFonts w:ascii="Arial" w:hAnsi="Arial" w:cs="Arial"/>
          <w:sz w:val="22"/>
          <w:szCs w:val="22"/>
          <w:lang w:val="fr-FR"/>
        </w:rPr>
        <w:t xml:space="preserve">à </w:t>
      </w:r>
      <w:r w:rsidRPr="00915822">
        <w:rPr>
          <w:rFonts w:ascii="Arial" w:hAnsi="Arial" w:cs="Arial"/>
          <w:sz w:val="22"/>
          <w:szCs w:val="22"/>
          <w:lang w:val="fr-FR"/>
        </w:rPr>
        <w:t xml:space="preserve">la </w:t>
      </w:r>
      <w:r w:rsidRPr="00915822">
        <w:rPr>
          <w:rFonts w:ascii="Arial" w:hAnsi="Arial" w:cs="Arial"/>
          <w:b/>
          <w:sz w:val="22"/>
          <w:szCs w:val="22"/>
          <w:lang w:val="fr-FR"/>
        </w:rPr>
        <w:t>ligne budgétaire 2</w:t>
      </w:r>
      <w:r w:rsidR="00C1052F" w:rsidRPr="00915822">
        <w:rPr>
          <w:rFonts w:ascii="Arial" w:hAnsi="Arial" w:cs="Arial"/>
          <w:b/>
          <w:sz w:val="22"/>
          <w:szCs w:val="22"/>
          <w:lang w:val="fr-FR"/>
        </w:rPr>
        <w:t xml:space="preserve"> </w:t>
      </w:r>
      <w:r w:rsidRPr="00915822">
        <w:rPr>
          <w:rFonts w:ascii="Arial" w:hAnsi="Arial" w:cs="Arial"/>
          <w:sz w:val="22"/>
          <w:szCs w:val="22"/>
          <w:lang w:val="fr-FR"/>
        </w:rPr>
        <w:t xml:space="preserve">correspondent à l’assistance technique, conformément à la </w:t>
      </w:r>
      <w:hyperlink r:id="rId13" w:history="1">
        <w:r w:rsidR="00722924">
          <w:rPr>
            <w:rStyle w:val="Hyperlink"/>
            <w:rFonts w:ascii="Arial" w:hAnsi="Arial" w:cs="Arial"/>
            <w:sz w:val="22"/>
            <w:szCs w:val="22"/>
          </w:rPr>
          <w:t>décision</w:t>
        </w:r>
        <w:r w:rsidR="00722924" w:rsidRPr="00722924">
          <w:rPr>
            <w:rStyle w:val="Hyperlink"/>
            <w:rFonts w:ascii="Arial" w:hAnsi="Arial" w:cs="Arial"/>
            <w:sz w:val="22"/>
            <w:szCs w:val="22"/>
          </w:rPr>
          <w:t> </w:t>
        </w:r>
        <w:r w:rsidRPr="00915822">
          <w:rPr>
            <w:rStyle w:val="Hyperlink"/>
            <w:rFonts w:ascii="Arial" w:hAnsi="Arial" w:cs="Arial"/>
            <w:sz w:val="22"/>
            <w:szCs w:val="22"/>
          </w:rPr>
          <w:t>8.COM</w:t>
        </w:r>
        <w:r w:rsidRPr="00915822">
          <w:rPr>
            <w:rStyle w:val="Hyperlink"/>
            <w:rFonts w:ascii="Arial" w:hAnsi="Arial" w:cs="Arial"/>
            <w:sz w:val="22"/>
            <w:szCs w:val="22"/>
          </w:rPr>
          <w:t> </w:t>
        </w:r>
        <w:r w:rsidRPr="00915822">
          <w:rPr>
            <w:rStyle w:val="Hyperlink"/>
            <w:rFonts w:ascii="Arial" w:hAnsi="Arial" w:cs="Arial"/>
            <w:sz w:val="22"/>
            <w:szCs w:val="22"/>
          </w:rPr>
          <w:t>7.c</w:t>
        </w:r>
      </w:hyperlink>
      <w:r w:rsidRPr="00215D8E">
        <w:rPr>
          <w:rFonts w:ascii="Arial" w:hAnsi="Arial" w:cs="Arial"/>
          <w:sz w:val="22"/>
          <w:szCs w:val="22"/>
          <w:lang w:val="fr-FR"/>
        </w:rPr>
        <w:t xml:space="preserve"> dans laquelle le Comité demandait au Secrétariat de « trouver un moyen, à plus court terme et</w:t>
      </w:r>
      <w:r w:rsidRPr="0066056F">
        <w:rPr>
          <w:rFonts w:ascii="Arial" w:hAnsi="Arial" w:cs="Arial"/>
          <w:sz w:val="22"/>
          <w:szCs w:val="22"/>
          <w:lang w:val="fr-FR"/>
        </w:rPr>
        <w:t xml:space="preserve"> à titre expérimental, d</w:t>
      </w:r>
      <w:r w:rsidRPr="00915822">
        <w:rPr>
          <w:rFonts w:ascii="Arial" w:hAnsi="Arial" w:cs="Arial"/>
          <w:sz w:val="22"/>
          <w:szCs w:val="22"/>
          <w:cs/>
          <w:lang w:val="fr-FR"/>
        </w:rPr>
        <w:t>’</w:t>
      </w:r>
      <w:r w:rsidRPr="00915822">
        <w:rPr>
          <w:rFonts w:ascii="Arial" w:hAnsi="Arial" w:cs="Arial"/>
          <w:sz w:val="22"/>
          <w:szCs w:val="22"/>
          <w:lang w:val="fr-FR"/>
        </w:rPr>
        <w:t>offrir une assistance technique, à travers la mise à disposition d</w:t>
      </w:r>
      <w:r w:rsidRPr="00915822">
        <w:rPr>
          <w:rFonts w:ascii="Arial" w:hAnsi="Arial" w:cs="Arial"/>
          <w:sz w:val="22"/>
          <w:szCs w:val="22"/>
          <w:cs/>
          <w:lang w:val="fr-FR"/>
        </w:rPr>
        <w:t>’</w:t>
      </w:r>
      <w:r w:rsidRPr="00915822">
        <w:rPr>
          <w:rFonts w:ascii="Arial" w:hAnsi="Arial" w:cs="Arial"/>
          <w:sz w:val="22"/>
          <w:szCs w:val="22"/>
          <w:lang w:val="fr-FR"/>
        </w:rPr>
        <w:t>experts, telle que décrite à l</w:t>
      </w:r>
      <w:r w:rsidRPr="00915822">
        <w:rPr>
          <w:rFonts w:ascii="Arial" w:hAnsi="Arial" w:cs="Arial"/>
          <w:sz w:val="22"/>
          <w:szCs w:val="22"/>
          <w:cs/>
          <w:lang w:val="fr-FR"/>
        </w:rPr>
        <w:t>’</w:t>
      </w:r>
      <w:r w:rsidRPr="00915822">
        <w:rPr>
          <w:rFonts w:ascii="Arial" w:hAnsi="Arial" w:cs="Arial"/>
          <w:sz w:val="22"/>
          <w:szCs w:val="22"/>
          <w:lang w:val="fr-FR"/>
        </w:rPr>
        <w:t>article 21 de la Convention, aux États parties souhaitant élaborer une demande d</w:t>
      </w:r>
      <w:r w:rsidRPr="00915822">
        <w:rPr>
          <w:rFonts w:ascii="Arial" w:hAnsi="Arial" w:cs="Arial"/>
          <w:sz w:val="22"/>
          <w:szCs w:val="22"/>
          <w:cs/>
          <w:lang w:val="fr-FR"/>
        </w:rPr>
        <w:t>’</w:t>
      </w:r>
      <w:r w:rsidRPr="00915822">
        <w:rPr>
          <w:rFonts w:ascii="Arial" w:hAnsi="Arial" w:cs="Arial"/>
          <w:sz w:val="22"/>
          <w:szCs w:val="22"/>
          <w:lang w:val="fr-FR"/>
        </w:rPr>
        <w:t xml:space="preserve">assistance internationale ». Il convient de signaler que l’une des demandes approuvées par le Bureau pendant la période considérée est le résultat </w:t>
      </w:r>
      <w:r w:rsidR="000768AA" w:rsidRPr="00915822">
        <w:rPr>
          <w:rFonts w:ascii="Arial" w:hAnsi="Arial" w:cs="Arial"/>
          <w:sz w:val="22"/>
          <w:szCs w:val="22"/>
          <w:lang w:val="fr-FR"/>
        </w:rPr>
        <w:t>d’une assistance de ce type</w:t>
      </w:r>
      <w:r w:rsidRPr="00915822">
        <w:rPr>
          <w:rFonts w:ascii="Arial" w:hAnsi="Arial" w:cs="Arial"/>
          <w:sz w:val="22"/>
          <w:szCs w:val="22"/>
          <w:lang w:val="fr-FR"/>
        </w:rPr>
        <w:t xml:space="preserve">, </w:t>
      </w:r>
      <w:r w:rsidR="000768AA" w:rsidRPr="00915822">
        <w:rPr>
          <w:rFonts w:ascii="Arial" w:hAnsi="Arial" w:cs="Arial"/>
          <w:sz w:val="22"/>
          <w:szCs w:val="22"/>
          <w:lang w:val="fr-FR"/>
        </w:rPr>
        <w:t>sous</w:t>
      </w:r>
      <w:r w:rsidRPr="00915822">
        <w:rPr>
          <w:rFonts w:ascii="Arial" w:hAnsi="Arial" w:cs="Arial"/>
          <w:sz w:val="22"/>
          <w:szCs w:val="22"/>
          <w:lang w:val="fr-FR"/>
        </w:rPr>
        <w:t xml:space="preserve"> forme d’une étroite coopération entre le Secrétariat, un expert et un homologue nationa</w:t>
      </w:r>
      <w:r w:rsidR="000768AA" w:rsidRPr="00915822">
        <w:rPr>
          <w:rFonts w:ascii="Arial" w:hAnsi="Arial" w:cs="Arial"/>
          <w:sz w:val="22"/>
          <w:szCs w:val="22"/>
          <w:lang w:val="fr-FR"/>
        </w:rPr>
        <w:t>l</w:t>
      </w:r>
      <w:r w:rsidRPr="00915822">
        <w:rPr>
          <w:rFonts w:ascii="Arial" w:hAnsi="Arial" w:cs="Arial"/>
          <w:sz w:val="22"/>
          <w:szCs w:val="22"/>
          <w:lang w:val="fr-FR"/>
        </w:rPr>
        <w:t>.</w:t>
      </w:r>
    </w:p>
    <w:p w:rsidR="00141F63" w:rsidRPr="00CB1A2F"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CB1A2F">
        <w:rPr>
          <w:rFonts w:ascii="Arial" w:hAnsi="Arial" w:cs="Arial"/>
          <w:sz w:val="22"/>
          <w:szCs w:val="22"/>
          <w:lang w:val="fr-FR"/>
        </w:rPr>
        <w:t>L</w:t>
      </w:r>
      <w:r w:rsidRPr="00CB1A2F">
        <w:rPr>
          <w:rFonts w:ascii="Arial" w:hAnsi="Arial" w:cs="Arial"/>
          <w:sz w:val="22"/>
          <w:szCs w:val="22"/>
          <w:cs/>
          <w:lang w:val="fr-FR"/>
        </w:rPr>
        <w:t>’</w:t>
      </w:r>
      <w:r w:rsidRPr="00CB1A2F">
        <w:rPr>
          <w:rFonts w:ascii="Arial" w:hAnsi="Arial" w:cs="Arial"/>
          <w:sz w:val="22"/>
          <w:szCs w:val="22"/>
          <w:lang w:val="fr-FR"/>
        </w:rPr>
        <w:t>utilisation du budget pour les « autres fonctions du Comité » (</w:t>
      </w:r>
      <w:r w:rsidRPr="00CB1A2F">
        <w:rPr>
          <w:rFonts w:ascii="Arial" w:hAnsi="Arial" w:cs="Arial"/>
          <w:b/>
          <w:sz w:val="22"/>
          <w:szCs w:val="22"/>
          <w:lang w:val="fr-FR"/>
        </w:rPr>
        <w:t>ligne budgétaire 3</w:t>
      </w:r>
      <w:r w:rsidRPr="00CB1A2F">
        <w:rPr>
          <w:rFonts w:ascii="Arial" w:hAnsi="Arial" w:cs="Arial"/>
          <w:sz w:val="22"/>
          <w:szCs w:val="22"/>
          <w:lang w:val="fr-FR"/>
        </w:rPr>
        <w:t>) est décidée par le Bureau sur la base de propositions spécifiques préparées par le Secrétariat (</w:t>
      </w:r>
      <w:hyperlink r:id="rId14" w:history="1">
        <w:r w:rsidRPr="00CB1A2F">
          <w:rPr>
            <w:rStyle w:val="Hyperlink"/>
            <w:rFonts w:ascii="Arial" w:hAnsi="Arial" w:cs="Arial"/>
            <w:sz w:val="22"/>
            <w:szCs w:val="22"/>
          </w:rPr>
          <w:t>décision </w:t>
        </w:r>
        <w:bookmarkStart w:id="9" w:name="_Hlt460578372"/>
        <w:r w:rsidRPr="00CB1A2F">
          <w:rPr>
            <w:rStyle w:val="Hyperlink"/>
            <w:rFonts w:ascii="Arial" w:hAnsi="Arial" w:cs="Arial"/>
            <w:sz w:val="22"/>
            <w:szCs w:val="22"/>
          </w:rPr>
          <w:t>1</w:t>
        </w:r>
        <w:bookmarkEnd w:id="9"/>
        <w:r w:rsidRPr="00CB1A2F">
          <w:rPr>
            <w:rStyle w:val="Hyperlink"/>
            <w:rFonts w:ascii="Arial" w:hAnsi="Arial" w:cs="Arial"/>
            <w:sz w:val="22"/>
            <w:szCs w:val="22"/>
          </w:rPr>
          <w:t>0</w:t>
        </w:r>
        <w:r w:rsidRPr="00CB1A2F">
          <w:rPr>
            <w:rStyle w:val="Hyperlink"/>
            <w:rFonts w:ascii="Arial" w:hAnsi="Arial" w:cs="Arial"/>
            <w:sz w:val="22"/>
            <w:szCs w:val="22"/>
          </w:rPr>
          <w:t>.</w:t>
        </w:r>
        <w:bookmarkStart w:id="10" w:name="_Hlt460577812"/>
        <w:bookmarkStart w:id="11" w:name="_Hlt460577813"/>
        <w:r w:rsidRPr="00CB1A2F">
          <w:rPr>
            <w:rStyle w:val="Hyperlink"/>
            <w:rFonts w:ascii="Arial" w:hAnsi="Arial" w:cs="Arial"/>
            <w:sz w:val="22"/>
            <w:szCs w:val="22"/>
          </w:rPr>
          <w:t>C</w:t>
        </w:r>
        <w:bookmarkEnd w:id="10"/>
        <w:bookmarkEnd w:id="11"/>
        <w:r w:rsidRPr="00CB1A2F">
          <w:rPr>
            <w:rStyle w:val="Hyperlink"/>
            <w:rFonts w:ascii="Arial" w:hAnsi="Arial" w:cs="Arial"/>
            <w:sz w:val="22"/>
            <w:szCs w:val="22"/>
          </w:rPr>
          <w:t>O</w:t>
        </w:r>
        <w:bookmarkStart w:id="12" w:name="_Hlt460578363"/>
        <w:bookmarkStart w:id="13" w:name="_Hlt460578364"/>
        <w:r w:rsidRPr="00CB1A2F">
          <w:rPr>
            <w:rStyle w:val="Hyperlink"/>
            <w:rFonts w:ascii="Arial" w:hAnsi="Arial" w:cs="Arial"/>
            <w:sz w:val="22"/>
            <w:szCs w:val="22"/>
          </w:rPr>
          <w:t>M</w:t>
        </w:r>
        <w:bookmarkStart w:id="14" w:name="_Hlt460578223"/>
        <w:bookmarkStart w:id="15" w:name="_Hlt460578224"/>
        <w:bookmarkEnd w:id="12"/>
        <w:bookmarkEnd w:id="13"/>
        <w:r w:rsidRPr="00CB1A2F">
          <w:rPr>
            <w:rStyle w:val="Hyperlink"/>
            <w:rFonts w:ascii="Arial" w:hAnsi="Arial" w:cs="Arial"/>
            <w:sz w:val="22"/>
            <w:szCs w:val="22"/>
          </w:rPr>
          <w:t> </w:t>
        </w:r>
        <w:bookmarkEnd w:id="14"/>
        <w:bookmarkEnd w:id="15"/>
        <w:r w:rsidRPr="00CB1A2F">
          <w:rPr>
            <w:rStyle w:val="Hyperlink"/>
            <w:rFonts w:ascii="Arial" w:hAnsi="Arial" w:cs="Arial"/>
            <w:sz w:val="22"/>
            <w:szCs w:val="22"/>
          </w:rPr>
          <w:t>8</w:t>
        </w:r>
      </w:hyperlink>
      <w:r w:rsidRPr="00CB1A2F">
        <w:rPr>
          <w:rFonts w:ascii="Arial" w:hAnsi="Arial" w:cs="Arial"/>
          <w:sz w:val="22"/>
          <w:szCs w:val="22"/>
          <w:lang w:val="fr-FR"/>
        </w:rPr>
        <w:t xml:space="preserve">). Conformément au plan approuvé par le Bureau dans sa </w:t>
      </w:r>
      <w:hyperlink r:id="rId15" w:history="1">
        <w:r w:rsidRPr="00CB1A2F">
          <w:rPr>
            <w:rStyle w:val="Hyperlink"/>
            <w:rFonts w:ascii="Arial" w:hAnsi="Arial" w:cs="Arial"/>
            <w:sz w:val="22"/>
            <w:szCs w:val="22"/>
          </w:rPr>
          <w:t>décisio</w:t>
        </w:r>
        <w:bookmarkStart w:id="16" w:name="_Hlt460578953"/>
        <w:bookmarkStart w:id="17" w:name="_Hlt460578954"/>
        <w:r w:rsidRPr="00CB1A2F">
          <w:rPr>
            <w:rStyle w:val="Hyperlink"/>
            <w:rFonts w:ascii="Arial" w:hAnsi="Arial" w:cs="Arial"/>
            <w:sz w:val="22"/>
            <w:szCs w:val="22"/>
          </w:rPr>
          <w:t>n</w:t>
        </w:r>
        <w:bookmarkEnd w:id="16"/>
        <w:bookmarkEnd w:id="17"/>
        <w:r w:rsidRPr="00CB1A2F">
          <w:rPr>
            <w:rStyle w:val="Hyperlink"/>
            <w:rFonts w:ascii="Arial" w:hAnsi="Arial" w:cs="Arial"/>
            <w:sz w:val="22"/>
            <w:szCs w:val="22"/>
          </w:rPr>
          <w:t> 11.CO</w:t>
        </w:r>
        <w:r w:rsidRPr="00CB1A2F">
          <w:rPr>
            <w:rStyle w:val="Hyperlink"/>
            <w:rFonts w:ascii="Arial" w:hAnsi="Arial" w:cs="Arial"/>
            <w:sz w:val="22"/>
            <w:szCs w:val="22"/>
          </w:rPr>
          <w:t>M</w:t>
        </w:r>
        <w:bookmarkStart w:id="18" w:name="_Hlt460578383"/>
        <w:bookmarkStart w:id="19" w:name="_Hlt460578384"/>
        <w:r w:rsidRPr="00CB1A2F">
          <w:rPr>
            <w:rStyle w:val="Hyperlink"/>
            <w:rFonts w:ascii="Arial" w:hAnsi="Arial" w:cs="Arial"/>
            <w:sz w:val="22"/>
            <w:szCs w:val="22"/>
          </w:rPr>
          <w:t> </w:t>
        </w:r>
        <w:bookmarkEnd w:id="18"/>
        <w:bookmarkEnd w:id="19"/>
        <w:r w:rsidRPr="00CB1A2F">
          <w:rPr>
            <w:rStyle w:val="Hyperlink"/>
            <w:rFonts w:ascii="Arial" w:hAnsi="Arial" w:cs="Arial"/>
            <w:sz w:val="22"/>
            <w:szCs w:val="22"/>
          </w:rPr>
          <w:t>2.BU</w:t>
        </w:r>
        <w:r w:rsidRPr="00CB1A2F">
          <w:rPr>
            <w:rStyle w:val="Hyperlink"/>
            <w:rFonts w:ascii="Arial" w:hAnsi="Arial" w:cs="Arial"/>
            <w:sz w:val="22"/>
            <w:szCs w:val="22"/>
          </w:rPr>
          <w:t>R</w:t>
        </w:r>
        <w:r w:rsidRPr="00CB1A2F">
          <w:rPr>
            <w:rStyle w:val="Hyperlink"/>
            <w:rFonts w:ascii="Arial" w:hAnsi="Arial" w:cs="Arial"/>
            <w:sz w:val="22"/>
            <w:szCs w:val="22"/>
          </w:rPr>
          <w:t> </w:t>
        </w:r>
        <w:r w:rsidRPr="00CB1A2F">
          <w:rPr>
            <w:rStyle w:val="Hyperlink"/>
            <w:rFonts w:ascii="Arial" w:hAnsi="Arial" w:cs="Arial"/>
            <w:sz w:val="22"/>
            <w:szCs w:val="22"/>
          </w:rPr>
          <w:t>1</w:t>
        </w:r>
      </w:hyperlink>
      <w:r w:rsidRPr="00CB1A2F">
        <w:rPr>
          <w:rStyle w:val="hps"/>
          <w:rFonts w:ascii="Arial" w:hAnsi="Arial" w:cs="Arial"/>
          <w:sz w:val="22"/>
          <w:szCs w:val="22"/>
          <w:lang w:val="fr-FR"/>
        </w:rPr>
        <w:t>,</w:t>
      </w:r>
      <w:r w:rsidRPr="00CB1A2F">
        <w:rPr>
          <w:rFonts w:ascii="Arial" w:hAnsi="Arial" w:cs="Arial"/>
          <w:sz w:val="22"/>
          <w:szCs w:val="22"/>
          <w:lang w:val="fr-FR"/>
        </w:rPr>
        <w:t xml:space="preserve"> ces fonds sont </w:t>
      </w:r>
      <w:r w:rsidR="00D121D8" w:rsidRPr="00CB1A2F">
        <w:rPr>
          <w:rFonts w:ascii="Arial" w:hAnsi="Arial" w:cs="Arial"/>
          <w:sz w:val="22"/>
          <w:szCs w:val="22"/>
          <w:lang w:val="fr-FR"/>
        </w:rPr>
        <w:t xml:space="preserve">répartis </w:t>
      </w:r>
      <w:r w:rsidRPr="00CB1A2F">
        <w:rPr>
          <w:rFonts w:ascii="Arial" w:hAnsi="Arial" w:cs="Arial"/>
          <w:sz w:val="22"/>
          <w:szCs w:val="22"/>
          <w:lang w:val="fr-FR"/>
        </w:rPr>
        <w:t xml:space="preserve">entre le programme de renforcement des capacités et les conseils </w:t>
      </w:r>
      <w:r w:rsidR="00D121D8" w:rsidRPr="00CB1A2F">
        <w:rPr>
          <w:rFonts w:ascii="Arial" w:hAnsi="Arial" w:cs="Arial"/>
          <w:sz w:val="22"/>
          <w:szCs w:val="22"/>
          <w:lang w:val="fr-FR"/>
        </w:rPr>
        <w:t>sur des</w:t>
      </w:r>
      <w:r w:rsidRPr="00CB1A2F">
        <w:rPr>
          <w:rFonts w:ascii="Arial" w:hAnsi="Arial" w:cs="Arial"/>
          <w:sz w:val="22"/>
          <w:szCs w:val="22"/>
          <w:lang w:val="fr-FR"/>
        </w:rPr>
        <w:t xml:space="preserve"> mesures de sauvegarde et de bonnes pratiques (51,38 %), les services de gestion des connaissances (24,32 %), les </w:t>
      </w:r>
      <w:r w:rsidR="00D121D8" w:rsidRPr="00CB1A2F">
        <w:rPr>
          <w:rFonts w:ascii="Arial" w:hAnsi="Arial" w:cs="Arial"/>
          <w:sz w:val="22"/>
          <w:szCs w:val="22"/>
          <w:lang w:val="fr-FR"/>
        </w:rPr>
        <w:t>actions de sensibilisation et d’information</w:t>
      </w:r>
      <w:r w:rsidRPr="00CB1A2F">
        <w:rPr>
          <w:rFonts w:ascii="Arial" w:hAnsi="Arial" w:cs="Arial"/>
          <w:sz w:val="22"/>
          <w:szCs w:val="22"/>
          <w:lang w:val="fr-FR"/>
        </w:rPr>
        <w:t xml:space="preserve"> (21,15 %) et le suivi de la mise en œuvre de la Convention (3,15 %). 13 % des fonds approuvés pour l’exercice en cours faisaient l’objet d’un engagement de dépenses au 30 juin 2016. Un rapport détaillé sur l’avancement de la mise en œuvre de ces fonds figure dans le document ITH/16/11.COM/5, « Rapport du Secrétariat sur ses activités ».</w:t>
      </w:r>
    </w:p>
    <w:p w:rsidR="00141F63" w:rsidRPr="00915822" w:rsidRDefault="00477628"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 xml:space="preserve">Suite à </w:t>
      </w:r>
      <w:r w:rsidR="00141F63" w:rsidRPr="00915822">
        <w:rPr>
          <w:rFonts w:ascii="Arial" w:hAnsi="Arial" w:cs="Arial"/>
          <w:sz w:val="22"/>
          <w:szCs w:val="22"/>
          <w:lang w:val="fr-FR"/>
        </w:rPr>
        <w:t>la recommandation émise par le Service d</w:t>
      </w:r>
      <w:r w:rsidR="00141F63" w:rsidRPr="00915822">
        <w:rPr>
          <w:rFonts w:ascii="Arial" w:hAnsi="Arial" w:cs="Arial"/>
          <w:sz w:val="22"/>
          <w:szCs w:val="22"/>
          <w:cs/>
          <w:lang w:val="fr-FR"/>
        </w:rPr>
        <w:t>’</w:t>
      </w:r>
      <w:r w:rsidR="00141F63" w:rsidRPr="00915822">
        <w:rPr>
          <w:rFonts w:ascii="Arial" w:hAnsi="Arial" w:cs="Arial"/>
          <w:sz w:val="22"/>
          <w:szCs w:val="22"/>
          <w:lang w:val="fr-FR"/>
        </w:rPr>
        <w:t>évaluation et d</w:t>
      </w:r>
      <w:r w:rsidR="00141F63" w:rsidRPr="00915822">
        <w:rPr>
          <w:rFonts w:ascii="Arial" w:hAnsi="Arial" w:cs="Arial"/>
          <w:sz w:val="22"/>
          <w:szCs w:val="22"/>
          <w:cs/>
          <w:lang w:val="fr-FR"/>
        </w:rPr>
        <w:t>’</w:t>
      </w:r>
      <w:r w:rsidR="00141F63" w:rsidRPr="00915822">
        <w:rPr>
          <w:rFonts w:ascii="Arial" w:hAnsi="Arial" w:cs="Arial"/>
          <w:sz w:val="22"/>
          <w:szCs w:val="22"/>
          <w:lang w:val="fr-FR"/>
        </w:rPr>
        <w:t>audit dans son audit des méthodes de travail des conventions culturelles (</w:t>
      </w:r>
      <w:hyperlink r:id="rId16" w:history="1">
        <w:r w:rsidR="00141F63" w:rsidRPr="00915822">
          <w:rPr>
            <w:rStyle w:val="Hyperlink"/>
            <w:rFonts w:ascii="Arial" w:hAnsi="Arial" w:cs="Arial"/>
            <w:sz w:val="22"/>
            <w:szCs w:val="22"/>
          </w:rPr>
          <w:t>IOS/AUD/2</w:t>
        </w:r>
        <w:r w:rsidR="00141F63" w:rsidRPr="00915822">
          <w:rPr>
            <w:rStyle w:val="Hyperlink"/>
            <w:rFonts w:ascii="Arial" w:hAnsi="Arial" w:cs="Arial"/>
            <w:sz w:val="22"/>
            <w:szCs w:val="22"/>
          </w:rPr>
          <w:t>0</w:t>
        </w:r>
        <w:r w:rsidR="00141F63" w:rsidRPr="00915822">
          <w:rPr>
            <w:rStyle w:val="Hyperlink"/>
            <w:rFonts w:ascii="Arial" w:hAnsi="Arial" w:cs="Arial"/>
            <w:sz w:val="22"/>
            <w:szCs w:val="22"/>
          </w:rPr>
          <w:t>1</w:t>
        </w:r>
        <w:r w:rsidR="00141F63" w:rsidRPr="00915822">
          <w:rPr>
            <w:rStyle w:val="Hyperlink"/>
            <w:rFonts w:ascii="Arial" w:hAnsi="Arial" w:cs="Arial"/>
            <w:sz w:val="22"/>
            <w:szCs w:val="22"/>
          </w:rPr>
          <w:t>3/06</w:t>
        </w:r>
      </w:hyperlink>
      <w:r w:rsidR="00141F63" w:rsidRPr="00215D8E">
        <w:rPr>
          <w:rFonts w:ascii="Arial" w:hAnsi="Arial" w:cs="Arial"/>
          <w:sz w:val="22"/>
          <w:szCs w:val="22"/>
          <w:lang w:val="fr-FR"/>
        </w:rPr>
        <w:t xml:space="preserve">), le Comité a demandé au Secrétariat, dans sa </w:t>
      </w:r>
      <w:hyperlink r:id="rId17" w:history="1">
        <w:r w:rsidR="00141F63" w:rsidRPr="00915822">
          <w:rPr>
            <w:rStyle w:val="Hyperlink"/>
            <w:rFonts w:ascii="Arial" w:hAnsi="Arial" w:cs="Arial"/>
            <w:sz w:val="22"/>
            <w:szCs w:val="22"/>
          </w:rPr>
          <w:t>décisi</w:t>
        </w:r>
        <w:r w:rsidR="00141F63" w:rsidRPr="00915822">
          <w:rPr>
            <w:rStyle w:val="Hyperlink"/>
            <w:rFonts w:ascii="Arial" w:hAnsi="Arial" w:cs="Arial"/>
            <w:sz w:val="22"/>
            <w:szCs w:val="22"/>
          </w:rPr>
          <w:t>o</w:t>
        </w:r>
        <w:r w:rsidR="00141F63" w:rsidRPr="00915822">
          <w:rPr>
            <w:rStyle w:val="Hyperlink"/>
            <w:rFonts w:ascii="Arial" w:hAnsi="Arial" w:cs="Arial"/>
            <w:sz w:val="22"/>
            <w:szCs w:val="22"/>
          </w:rPr>
          <w:t>n 8.CO</w:t>
        </w:r>
        <w:r w:rsidR="00141F63" w:rsidRPr="00915822">
          <w:rPr>
            <w:rStyle w:val="Hyperlink"/>
            <w:rFonts w:ascii="Arial" w:hAnsi="Arial" w:cs="Arial"/>
            <w:sz w:val="22"/>
            <w:szCs w:val="22"/>
          </w:rPr>
          <w:t>M</w:t>
        </w:r>
        <w:r w:rsidR="00141F63" w:rsidRPr="00915822">
          <w:rPr>
            <w:rStyle w:val="Hyperlink"/>
            <w:rFonts w:ascii="Arial" w:hAnsi="Arial" w:cs="Arial"/>
            <w:sz w:val="22"/>
            <w:szCs w:val="22"/>
          </w:rPr>
          <w:t> 11</w:t>
        </w:r>
      </w:hyperlink>
      <w:r w:rsidR="00141F63" w:rsidRPr="00215D8E">
        <w:rPr>
          <w:rFonts w:ascii="Arial" w:hAnsi="Arial" w:cs="Arial"/>
          <w:sz w:val="22"/>
          <w:szCs w:val="22"/>
          <w:lang w:val="fr-FR"/>
        </w:rPr>
        <w:t>, d</w:t>
      </w:r>
      <w:r w:rsidR="00141F63" w:rsidRPr="00215D8E">
        <w:rPr>
          <w:rFonts w:ascii="Arial" w:hAnsi="Arial" w:cs="Arial"/>
          <w:sz w:val="22"/>
          <w:szCs w:val="22"/>
          <w:cs/>
          <w:lang w:val="fr-FR"/>
        </w:rPr>
        <w:t>’</w:t>
      </w:r>
      <w:r w:rsidR="00141F63" w:rsidRPr="0066056F">
        <w:rPr>
          <w:rFonts w:ascii="Arial" w:hAnsi="Arial" w:cs="Arial"/>
          <w:sz w:val="22"/>
          <w:szCs w:val="22"/>
          <w:lang w:val="fr-FR"/>
        </w:rPr>
        <w:t xml:space="preserve">appliquer la politique </w:t>
      </w:r>
      <w:r w:rsidR="00136749" w:rsidRPr="0066056F">
        <w:rPr>
          <w:rFonts w:ascii="Arial" w:hAnsi="Arial" w:cs="Arial"/>
          <w:sz w:val="22"/>
          <w:szCs w:val="22"/>
          <w:lang w:val="fr-FR"/>
        </w:rPr>
        <w:t xml:space="preserve">de </w:t>
      </w:r>
      <w:r w:rsidR="00141F63" w:rsidRPr="00915822">
        <w:rPr>
          <w:rFonts w:ascii="Arial" w:hAnsi="Arial" w:cs="Arial"/>
          <w:sz w:val="22"/>
          <w:szCs w:val="22"/>
          <w:lang w:val="fr-FR"/>
        </w:rPr>
        <w:t xml:space="preserve">recouvrement des coûts de manière </w:t>
      </w:r>
      <w:r w:rsidR="00136749" w:rsidRPr="00915822">
        <w:rPr>
          <w:rFonts w:ascii="Arial" w:hAnsi="Arial" w:cs="Arial"/>
          <w:sz w:val="22"/>
          <w:szCs w:val="22"/>
          <w:lang w:val="fr-FR"/>
        </w:rPr>
        <w:t xml:space="preserve">systématique </w:t>
      </w:r>
      <w:r w:rsidR="00141F63" w:rsidRPr="00915822">
        <w:rPr>
          <w:rFonts w:ascii="Arial" w:hAnsi="Arial" w:cs="Arial"/>
          <w:sz w:val="22"/>
          <w:szCs w:val="22"/>
          <w:lang w:val="fr-FR"/>
        </w:rPr>
        <w:t>dans le cadre de l</w:t>
      </w:r>
      <w:r w:rsidR="00141F63" w:rsidRPr="00915822">
        <w:rPr>
          <w:rFonts w:ascii="Arial" w:hAnsi="Arial" w:cs="Arial"/>
          <w:sz w:val="22"/>
          <w:szCs w:val="22"/>
          <w:cs/>
          <w:lang w:val="fr-FR"/>
        </w:rPr>
        <w:t>’</w:t>
      </w:r>
      <w:r w:rsidR="00141F63" w:rsidRPr="00915822">
        <w:rPr>
          <w:rFonts w:ascii="Arial" w:hAnsi="Arial" w:cs="Arial"/>
          <w:sz w:val="22"/>
          <w:szCs w:val="22"/>
          <w:lang w:val="fr-FR"/>
        </w:rPr>
        <w:t xml:space="preserve">utilisation des ressources du Fonds. Par conséquent, et conformément à l’article 5.2 du Règlement financier du Fonds, </w:t>
      </w:r>
      <w:r w:rsidR="00136749" w:rsidRPr="00915822">
        <w:rPr>
          <w:rFonts w:ascii="Arial" w:hAnsi="Arial" w:cs="Arial"/>
          <w:sz w:val="22"/>
          <w:szCs w:val="22"/>
          <w:lang w:val="fr-FR"/>
        </w:rPr>
        <w:t>d</w:t>
      </w:r>
      <w:r w:rsidR="00141F63" w:rsidRPr="00915822">
        <w:rPr>
          <w:rFonts w:ascii="Arial" w:hAnsi="Arial" w:cs="Arial"/>
          <w:sz w:val="22"/>
          <w:szCs w:val="22"/>
          <w:lang w:val="fr-FR"/>
        </w:rPr>
        <w:t xml:space="preserve">es </w:t>
      </w:r>
      <w:r w:rsidR="00136749" w:rsidRPr="00915822">
        <w:rPr>
          <w:rFonts w:ascii="Arial" w:hAnsi="Arial" w:cs="Arial"/>
          <w:sz w:val="22"/>
          <w:szCs w:val="22"/>
          <w:lang w:val="fr-FR"/>
        </w:rPr>
        <w:t xml:space="preserve">coûts </w:t>
      </w:r>
      <w:r w:rsidR="00141F63" w:rsidRPr="00915822">
        <w:rPr>
          <w:rFonts w:ascii="Arial" w:hAnsi="Arial" w:cs="Arial"/>
          <w:sz w:val="22"/>
          <w:szCs w:val="22"/>
          <w:lang w:val="fr-FR"/>
        </w:rPr>
        <w:t>directs liés à la mise en œuvre de l’assistance technique et de l’assistance internationale accordées</w:t>
      </w:r>
      <w:r w:rsidR="00136749" w:rsidRPr="00915822">
        <w:rPr>
          <w:rFonts w:ascii="Arial" w:hAnsi="Arial" w:cs="Arial"/>
          <w:sz w:val="22"/>
          <w:szCs w:val="22"/>
          <w:lang w:val="fr-FR"/>
        </w:rPr>
        <w:t xml:space="preserve">, ainsi que des </w:t>
      </w:r>
      <w:r w:rsidR="00141F63" w:rsidRPr="00915822">
        <w:rPr>
          <w:rFonts w:ascii="Arial" w:hAnsi="Arial" w:cs="Arial"/>
          <w:sz w:val="22"/>
          <w:szCs w:val="22"/>
          <w:lang w:val="fr-FR"/>
        </w:rPr>
        <w:t>activités approuvées par le Bureau</w:t>
      </w:r>
      <w:r w:rsidR="00136749" w:rsidRPr="00915822">
        <w:rPr>
          <w:rFonts w:ascii="Arial" w:hAnsi="Arial" w:cs="Arial"/>
          <w:sz w:val="22"/>
          <w:szCs w:val="22"/>
          <w:lang w:val="fr-FR"/>
        </w:rPr>
        <w:t>,</w:t>
      </w:r>
      <w:r w:rsidR="00141F63" w:rsidRPr="00915822">
        <w:rPr>
          <w:rFonts w:ascii="Arial" w:hAnsi="Arial" w:cs="Arial"/>
          <w:sz w:val="22"/>
          <w:szCs w:val="22"/>
          <w:lang w:val="fr-FR"/>
        </w:rPr>
        <w:t xml:space="preserve"> ont été imputées aux lignes budgétaires 1 à 3.</w:t>
      </w:r>
    </w:p>
    <w:p w:rsidR="00141F63" w:rsidRPr="00915822" w:rsidRDefault="00275191"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En l’absence de</w:t>
      </w:r>
      <w:r w:rsidR="00141F63" w:rsidRPr="00915822">
        <w:rPr>
          <w:rFonts w:ascii="Arial" w:hAnsi="Arial" w:cs="Arial"/>
          <w:sz w:val="22"/>
          <w:szCs w:val="22"/>
          <w:lang w:val="fr-FR"/>
        </w:rPr>
        <w:t xml:space="preserve"> réunion </w:t>
      </w:r>
      <w:r w:rsidRPr="00915822">
        <w:rPr>
          <w:rFonts w:ascii="Arial" w:hAnsi="Arial" w:cs="Arial"/>
          <w:sz w:val="22"/>
          <w:szCs w:val="22"/>
          <w:lang w:val="fr-FR"/>
        </w:rPr>
        <w:t xml:space="preserve">du Comité </w:t>
      </w:r>
      <w:r w:rsidR="00141F63" w:rsidRPr="00915822">
        <w:rPr>
          <w:rFonts w:ascii="Arial" w:hAnsi="Arial" w:cs="Arial"/>
          <w:sz w:val="22"/>
          <w:szCs w:val="22"/>
          <w:lang w:val="fr-FR"/>
        </w:rPr>
        <w:t xml:space="preserve">pendant la période considérée et son Bureau n’ayant organisé qu’une seule réunion en face à face le 2 juin 2016, la </w:t>
      </w:r>
      <w:r w:rsidR="00141F63" w:rsidRPr="00915822">
        <w:rPr>
          <w:rFonts w:ascii="Arial" w:hAnsi="Arial" w:cs="Arial"/>
          <w:b/>
          <w:sz w:val="22"/>
          <w:szCs w:val="22"/>
          <w:lang w:val="fr-FR"/>
        </w:rPr>
        <w:t>ligne budgétaire 4</w:t>
      </w:r>
      <w:r w:rsidR="00141F63" w:rsidRPr="00915822">
        <w:rPr>
          <w:rFonts w:ascii="Arial" w:hAnsi="Arial" w:cs="Arial"/>
          <w:sz w:val="22"/>
          <w:szCs w:val="22"/>
          <w:lang w:val="fr-FR"/>
        </w:rPr>
        <w:t xml:space="preserve">, utilisée pour financer la participation des experts représentant des pays en développement membres du Comité à ses sessions, montre un taux de dépense très faible (0,6 %). Les </w:t>
      </w:r>
      <w:r w:rsidR="00141F63" w:rsidRPr="00915822">
        <w:rPr>
          <w:rFonts w:ascii="Arial" w:hAnsi="Arial" w:cs="Arial"/>
          <w:b/>
          <w:sz w:val="22"/>
          <w:szCs w:val="22"/>
          <w:lang w:val="fr-FR"/>
        </w:rPr>
        <w:t>lignes budgétaires 5 et 6</w:t>
      </w:r>
      <w:r w:rsidR="00141F63" w:rsidRPr="00915822">
        <w:rPr>
          <w:rFonts w:ascii="Arial" w:hAnsi="Arial" w:cs="Arial"/>
          <w:sz w:val="22"/>
          <w:szCs w:val="22"/>
          <w:lang w:val="fr-FR"/>
        </w:rPr>
        <w:t xml:space="preserve"> en revanche, utilisées pour financer la participation des membres de l’Organe d’évaluation éligibles à ce type de soutien (dix dans la configuration actuelle) indiquent des dépenses liées aux deux réunions de l’Organe d’évaluation tenues pendant la période considérée. La ligne budgétaire 5 a servi à financer les frais de participation de quatre membres de l’Organe d’évaluation représentant des États parties en développement non membres du Comité alors que la ligne budgétaire 6 a servi à financer les frais de participation des six organisations non gouvernementales accréditées membres de l’Organe d’évaluation.</w:t>
      </w:r>
    </w:p>
    <w:p w:rsidR="00141F63" w:rsidRPr="00915822" w:rsidRDefault="00141F63" w:rsidP="00141F63">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 xml:space="preserve">Enfin, la </w:t>
      </w:r>
      <w:r w:rsidRPr="00915822">
        <w:rPr>
          <w:rFonts w:ascii="Arial" w:hAnsi="Arial" w:cs="Arial"/>
          <w:b/>
          <w:sz w:val="22"/>
          <w:szCs w:val="22"/>
          <w:lang w:val="fr-FR"/>
        </w:rPr>
        <w:t>ligne budgétaire 7</w:t>
      </w:r>
      <w:r w:rsidRPr="00915822">
        <w:rPr>
          <w:rFonts w:ascii="Arial" w:hAnsi="Arial" w:cs="Arial"/>
          <w:sz w:val="22"/>
          <w:szCs w:val="22"/>
          <w:lang w:val="fr-FR"/>
        </w:rPr>
        <w:t xml:space="preserve"> (« coût des services consultatifs fournis à la demande du Comité ») </w:t>
      </w:r>
      <w:r w:rsidR="00275191" w:rsidRPr="00915822">
        <w:rPr>
          <w:rFonts w:ascii="Arial" w:hAnsi="Arial" w:cs="Arial"/>
          <w:sz w:val="22"/>
          <w:szCs w:val="22"/>
          <w:lang w:val="fr-FR"/>
        </w:rPr>
        <w:t xml:space="preserve">présente </w:t>
      </w:r>
      <w:r w:rsidRPr="00915822">
        <w:rPr>
          <w:rFonts w:ascii="Arial" w:hAnsi="Arial" w:cs="Arial"/>
          <w:sz w:val="22"/>
          <w:szCs w:val="22"/>
          <w:lang w:val="fr-FR"/>
        </w:rPr>
        <w:t>un taux de dépense de 18,9 %, correspond</w:t>
      </w:r>
      <w:r w:rsidR="00275191" w:rsidRPr="00915822">
        <w:rPr>
          <w:rFonts w:ascii="Arial" w:hAnsi="Arial" w:cs="Arial"/>
          <w:sz w:val="22"/>
          <w:szCs w:val="22"/>
          <w:lang w:val="fr-FR"/>
        </w:rPr>
        <w:t>ant</w:t>
      </w:r>
      <w:r w:rsidRPr="00915822">
        <w:rPr>
          <w:rFonts w:ascii="Arial" w:hAnsi="Arial" w:cs="Arial"/>
          <w:sz w:val="22"/>
          <w:szCs w:val="22"/>
          <w:lang w:val="fr-FR"/>
        </w:rPr>
        <w:t xml:space="preserve"> aux honoraires des dix membres de l</w:t>
      </w:r>
      <w:r w:rsidRPr="00915822">
        <w:rPr>
          <w:rFonts w:ascii="Arial" w:hAnsi="Arial" w:cs="Arial"/>
          <w:sz w:val="22"/>
          <w:szCs w:val="22"/>
          <w:cs/>
          <w:lang w:val="fr-FR"/>
        </w:rPr>
        <w:t>’</w:t>
      </w:r>
      <w:r w:rsidRPr="00915822">
        <w:rPr>
          <w:rFonts w:ascii="Arial" w:hAnsi="Arial" w:cs="Arial"/>
          <w:sz w:val="22"/>
          <w:szCs w:val="22"/>
          <w:lang w:val="fr-FR"/>
        </w:rPr>
        <w:t xml:space="preserve">Organe d’évaluation </w:t>
      </w:r>
      <w:r w:rsidR="00275191" w:rsidRPr="00915822">
        <w:rPr>
          <w:rFonts w:ascii="Arial" w:hAnsi="Arial" w:cs="Arial"/>
          <w:sz w:val="22"/>
          <w:szCs w:val="22"/>
          <w:lang w:val="fr-FR"/>
        </w:rPr>
        <w:t xml:space="preserve">qui ont </w:t>
      </w:r>
      <w:r w:rsidRPr="00915822">
        <w:rPr>
          <w:rFonts w:ascii="Arial" w:hAnsi="Arial" w:cs="Arial"/>
          <w:sz w:val="22"/>
          <w:szCs w:val="22"/>
          <w:lang w:val="fr-FR"/>
        </w:rPr>
        <w:t xml:space="preserve">évalué les dossiers pour le cycle 2016 et </w:t>
      </w:r>
      <w:r w:rsidR="00275191" w:rsidRPr="00915822">
        <w:rPr>
          <w:rFonts w:ascii="Arial" w:hAnsi="Arial" w:cs="Arial"/>
          <w:sz w:val="22"/>
          <w:szCs w:val="22"/>
          <w:lang w:val="fr-FR"/>
        </w:rPr>
        <w:t xml:space="preserve">qui sont </w:t>
      </w:r>
      <w:r w:rsidRPr="00915822">
        <w:rPr>
          <w:rFonts w:ascii="Arial" w:hAnsi="Arial" w:cs="Arial"/>
          <w:sz w:val="22"/>
          <w:szCs w:val="22"/>
          <w:lang w:val="fr-FR"/>
        </w:rPr>
        <w:t xml:space="preserve">autorisés à recevoir un soutien financier. Étant donné que le travail d’évaluation n’était pas </w:t>
      </w:r>
      <w:r w:rsidR="00275191" w:rsidRPr="00915822">
        <w:rPr>
          <w:rFonts w:ascii="Arial" w:hAnsi="Arial" w:cs="Arial"/>
          <w:sz w:val="22"/>
          <w:szCs w:val="22"/>
          <w:lang w:val="fr-FR"/>
        </w:rPr>
        <w:t xml:space="preserve">achevé </w:t>
      </w:r>
      <w:r w:rsidRPr="00915822">
        <w:rPr>
          <w:rFonts w:ascii="Arial" w:hAnsi="Arial" w:cs="Arial"/>
          <w:sz w:val="22"/>
          <w:szCs w:val="22"/>
          <w:lang w:val="fr-FR"/>
        </w:rPr>
        <w:t xml:space="preserve">au 30 juin 2016, les honoraires inclus dans leurs contrats apparaissent comme des « engagements non liquidés » et non pas encore </w:t>
      </w:r>
      <w:r w:rsidR="00275191" w:rsidRPr="00915822">
        <w:rPr>
          <w:rFonts w:ascii="Arial" w:hAnsi="Arial" w:cs="Arial"/>
          <w:sz w:val="22"/>
          <w:szCs w:val="22"/>
          <w:lang w:val="fr-FR"/>
        </w:rPr>
        <w:t>des</w:t>
      </w:r>
      <w:r w:rsidR="00055F51">
        <w:rPr>
          <w:rFonts w:ascii="Arial" w:hAnsi="Arial" w:cs="Arial"/>
          <w:sz w:val="22"/>
          <w:szCs w:val="22"/>
          <w:lang w:val="fr-FR"/>
        </w:rPr>
        <w:t xml:space="preserve"> « décaissements ».</w:t>
      </w:r>
    </w:p>
    <w:p w:rsidR="00141F63" w:rsidRPr="00915822" w:rsidRDefault="00141F63" w:rsidP="00141F63">
      <w:pPr>
        <w:pStyle w:val="Default"/>
        <w:keepNext/>
        <w:spacing w:before="240" w:after="240"/>
        <w:rPr>
          <w:b/>
          <w:bCs/>
          <w:sz w:val="22"/>
          <w:szCs w:val="22"/>
        </w:rPr>
      </w:pPr>
      <w:r w:rsidRPr="00915822">
        <w:rPr>
          <w:b/>
          <w:sz w:val="22"/>
          <w:szCs w:val="22"/>
        </w:rPr>
        <w:t>Rapports supplémentaires</w:t>
      </w:r>
    </w:p>
    <w:p w:rsidR="00141F63" w:rsidRPr="00915822" w:rsidRDefault="00141F63" w:rsidP="00CB1A2F">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 xml:space="preserve">Le présent rapport </w:t>
      </w:r>
      <w:r w:rsidR="007E773F" w:rsidRPr="00915822">
        <w:rPr>
          <w:rFonts w:ascii="Arial" w:hAnsi="Arial" w:cs="Arial"/>
          <w:sz w:val="22"/>
          <w:szCs w:val="22"/>
          <w:lang w:val="fr-FR"/>
        </w:rPr>
        <w:t xml:space="preserve">contient en </w:t>
      </w:r>
      <w:r w:rsidRPr="00915822">
        <w:rPr>
          <w:rFonts w:ascii="Arial" w:hAnsi="Arial" w:cs="Arial"/>
          <w:sz w:val="22"/>
          <w:szCs w:val="22"/>
          <w:lang w:val="fr-FR"/>
        </w:rPr>
        <w:t>annexe 1 (page 10</w:t>
      </w:r>
      <w:r w:rsidRPr="0066056F">
        <w:rPr>
          <w:rFonts w:ascii="Arial" w:hAnsi="Arial" w:cs="Arial"/>
          <w:sz w:val="22"/>
          <w:szCs w:val="22"/>
          <w:lang w:val="fr-FR"/>
        </w:rPr>
        <w:t>) la liste des contributions volontaires supplémentaires versées à des fins spécifique</w:t>
      </w:r>
      <w:r w:rsidRPr="00915822">
        <w:rPr>
          <w:rFonts w:ascii="Arial" w:hAnsi="Arial" w:cs="Arial"/>
          <w:sz w:val="22"/>
          <w:szCs w:val="22"/>
          <w:lang w:val="fr-FR"/>
        </w:rPr>
        <w:t>s, comme le prévoit l</w:t>
      </w:r>
      <w:r w:rsidRPr="00915822">
        <w:rPr>
          <w:rFonts w:ascii="Arial" w:hAnsi="Arial" w:cs="Arial"/>
          <w:sz w:val="22"/>
          <w:szCs w:val="22"/>
          <w:cs/>
          <w:lang w:val="fr-FR"/>
        </w:rPr>
        <w:t>’</w:t>
      </w:r>
      <w:r w:rsidRPr="00915822">
        <w:rPr>
          <w:rFonts w:ascii="Arial" w:hAnsi="Arial" w:cs="Arial"/>
          <w:sz w:val="22"/>
          <w:szCs w:val="22"/>
          <w:lang w:val="fr-FR"/>
        </w:rPr>
        <w:t xml:space="preserve">article 25.5 de la Convention, pour la période </w:t>
      </w:r>
      <w:r w:rsidR="007E773F" w:rsidRPr="00915822">
        <w:rPr>
          <w:rFonts w:ascii="Arial" w:hAnsi="Arial" w:cs="Arial"/>
          <w:sz w:val="22"/>
          <w:szCs w:val="22"/>
          <w:lang w:val="fr-FR"/>
        </w:rPr>
        <w:t xml:space="preserve">allant </w:t>
      </w:r>
      <w:r w:rsidRPr="00915822">
        <w:rPr>
          <w:rFonts w:ascii="Arial" w:hAnsi="Arial" w:cs="Arial"/>
          <w:sz w:val="22"/>
          <w:szCs w:val="22"/>
          <w:lang w:val="fr-FR"/>
        </w:rPr>
        <w:t>du 1</w:t>
      </w:r>
      <w:r w:rsidRPr="00915822">
        <w:rPr>
          <w:rFonts w:ascii="Arial" w:hAnsi="Arial" w:cs="Arial"/>
          <w:sz w:val="22"/>
          <w:szCs w:val="22"/>
          <w:vertAlign w:val="superscript"/>
          <w:lang w:val="fr-FR"/>
        </w:rPr>
        <w:t>er</w:t>
      </w:r>
      <w:r w:rsidR="00A637A3">
        <w:rPr>
          <w:rFonts w:ascii="Arial" w:hAnsi="Arial" w:cs="Arial"/>
          <w:sz w:val="22"/>
          <w:szCs w:val="22"/>
          <w:lang w:val="fr-FR"/>
        </w:rPr>
        <w:t> </w:t>
      </w:r>
      <w:r w:rsidRPr="0066056F">
        <w:rPr>
          <w:rFonts w:ascii="Arial" w:hAnsi="Arial" w:cs="Arial"/>
          <w:sz w:val="22"/>
          <w:szCs w:val="22"/>
          <w:lang w:val="fr-FR"/>
        </w:rPr>
        <w:t>janvier 2016 au 30 juin 2016. Comme indiqué au paragraphe 4, aucune contribution volontaire dédiée à des activités spécifiques approuvées par le Comité n’a été reçue pendan</w:t>
      </w:r>
      <w:r w:rsidR="00055F51">
        <w:rPr>
          <w:rFonts w:ascii="Arial" w:hAnsi="Arial" w:cs="Arial"/>
          <w:sz w:val="22"/>
          <w:szCs w:val="22"/>
          <w:lang w:val="fr-FR"/>
        </w:rPr>
        <w:t>t la période considérée.</w:t>
      </w:r>
    </w:p>
    <w:p w:rsidR="00141F63" w:rsidRPr="00215D8E" w:rsidRDefault="00141F63" w:rsidP="00CB1A2F">
      <w:pPr>
        <w:pStyle w:val="ListParagraph"/>
        <w:numPr>
          <w:ilvl w:val="0"/>
          <w:numId w:val="15"/>
        </w:numPr>
        <w:tabs>
          <w:tab w:val="left" w:pos="567"/>
        </w:tabs>
        <w:snapToGrid w:val="0"/>
        <w:spacing w:after="120"/>
        <w:ind w:left="567" w:hanging="567"/>
        <w:contextualSpacing w:val="0"/>
        <w:jc w:val="both"/>
        <w:rPr>
          <w:rFonts w:ascii="Arial" w:hAnsi="Arial" w:cs="Arial"/>
          <w:sz w:val="22"/>
          <w:szCs w:val="22"/>
          <w:lang w:val="fr-FR"/>
        </w:rPr>
      </w:pPr>
      <w:r w:rsidRPr="00915822">
        <w:rPr>
          <w:rFonts w:ascii="Arial" w:hAnsi="Arial" w:cs="Arial"/>
          <w:sz w:val="22"/>
          <w:szCs w:val="22"/>
          <w:lang w:val="fr-FR"/>
        </w:rPr>
        <w:t xml:space="preserve">Les contributions affectées à des projets spécifiques sont </w:t>
      </w:r>
      <w:r w:rsidR="00A637A3">
        <w:rPr>
          <w:rFonts w:ascii="Arial" w:hAnsi="Arial" w:cs="Arial"/>
          <w:sz w:val="22"/>
          <w:szCs w:val="22"/>
          <w:lang w:val="fr-FR"/>
        </w:rPr>
        <w:t>sujettes à des décisions du</w:t>
      </w:r>
      <w:r w:rsidR="00A637A3" w:rsidRPr="0066056F">
        <w:rPr>
          <w:rFonts w:ascii="Arial" w:hAnsi="Arial" w:cs="Arial"/>
          <w:sz w:val="22"/>
          <w:szCs w:val="22"/>
          <w:lang w:val="fr-FR"/>
        </w:rPr>
        <w:t xml:space="preserve"> </w:t>
      </w:r>
      <w:r w:rsidRPr="00915822">
        <w:rPr>
          <w:rFonts w:ascii="Arial" w:hAnsi="Arial" w:cs="Arial"/>
          <w:sz w:val="22"/>
          <w:szCs w:val="22"/>
          <w:lang w:val="fr-FR"/>
        </w:rPr>
        <w:t xml:space="preserve">Comité </w:t>
      </w:r>
      <w:r w:rsidR="007E773F" w:rsidRPr="00915822">
        <w:rPr>
          <w:rFonts w:ascii="Arial" w:hAnsi="Arial" w:cs="Arial"/>
          <w:sz w:val="22"/>
          <w:szCs w:val="22"/>
          <w:lang w:val="fr-FR"/>
        </w:rPr>
        <w:t xml:space="preserve">de les accepter </w:t>
      </w:r>
      <w:r w:rsidRPr="00915822">
        <w:rPr>
          <w:rFonts w:ascii="Arial" w:hAnsi="Arial" w:cs="Arial"/>
          <w:sz w:val="22"/>
          <w:szCs w:val="22"/>
          <w:lang w:val="fr-FR"/>
        </w:rPr>
        <w:t xml:space="preserve">ou non. Le tableau de l’annexe 2 montre les dépenses totales engagées pour chaque projet depuis son lancement jusqu’au 30 juin 2016. Ce tableau montre également que, concernant cinq projets, il existe une différence de 204 980 dollars des États-Unis entre le budget approuvé par le Comité et le budget révisé </w:t>
      </w:r>
      <w:r w:rsidR="007E773F" w:rsidRPr="00915822">
        <w:rPr>
          <w:rFonts w:ascii="Arial" w:hAnsi="Arial" w:cs="Arial"/>
          <w:sz w:val="22"/>
          <w:szCs w:val="22"/>
          <w:lang w:val="fr-FR"/>
        </w:rPr>
        <w:t>sur la base des</w:t>
      </w:r>
      <w:r w:rsidRPr="00915822">
        <w:rPr>
          <w:rFonts w:ascii="Arial" w:hAnsi="Arial" w:cs="Arial"/>
          <w:sz w:val="22"/>
          <w:szCs w:val="22"/>
          <w:lang w:val="fr-FR"/>
        </w:rPr>
        <w:t xml:space="preserve"> financement</w:t>
      </w:r>
      <w:r w:rsidR="007E773F" w:rsidRPr="00915822">
        <w:rPr>
          <w:rFonts w:ascii="Arial" w:hAnsi="Arial" w:cs="Arial"/>
          <w:sz w:val="22"/>
          <w:szCs w:val="22"/>
          <w:lang w:val="fr-FR"/>
        </w:rPr>
        <w:t>s</w:t>
      </w:r>
      <w:r w:rsidRPr="00915822">
        <w:rPr>
          <w:rFonts w:ascii="Arial" w:hAnsi="Arial" w:cs="Arial"/>
          <w:sz w:val="22"/>
          <w:szCs w:val="22"/>
          <w:lang w:val="fr-FR"/>
        </w:rPr>
        <w:t xml:space="preserve"> réel</w:t>
      </w:r>
      <w:r w:rsidR="007E773F" w:rsidRPr="00915822">
        <w:rPr>
          <w:rFonts w:ascii="Arial" w:hAnsi="Arial" w:cs="Arial"/>
          <w:sz w:val="22"/>
          <w:szCs w:val="22"/>
          <w:lang w:val="fr-FR"/>
        </w:rPr>
        <w:t>s</w:t>
      </w:r>
      <w:r w:rsidRPr="00915822">
        <w:rPr>
          <w:rFonts w:ascii="Arial" w:hAnsi="Arial" w:cs="Arial"/>
          <w:sz w:val="22"/>
          <w:szCs w:val="22"/>
          <w:lang w:val="fr-FR"/>
        </w:rPr>
        <w:t xml:space="preserve"> confirmé</w:t>
      </w:r>
      <w:r w:rsidR="007E773F" w:rsidRPr="00915822">
        <w:rPr>
          <w:rFonts w:ascii="Arial" w:hAnsi="Arial" w:cs="Arial"/>
          <w:sz w:val="22"/>
          <w:szCs w:val="22"/>
          <w:lang w:val="fr-FR"/>
        </w:rPr>
        <w:t>s</w:t>
      </w:r>
      <w:r w:rsidRPr="00915822">
        <w:rPr>
          <w:rFonts w:ascii="Arial" w:hAnsi="Arial" w:cs="Arial"/>
          <w:sz w:val="22"/>
          <w:szCs w:val="22"/>
          <w:lang w:val="fr-FR"/>
        </w:rPr>
        <w:t xml:space="preserve">. </w:t>
      </w:r>
      <w:r w:rsidR="000C76FF" w:rsidRPr="00915822">
        <w:rPr>
          <w:rFonts w:ascii="Arial" w:hAnsi="Arial" w:cs="Arial"/>
          <w:sz w:val="22"/>
          <w:szCs w:val="22"/>
          <w:lang w:val="fr-FR"/>
        </w:rPr>
        <w:t>Cette différence correspond au</w:t>
      </w:r>
      <w:r w:rsidRPr="00915822">
        <w:rPr>
          <w:rFonts w:ascii="Arial" w:hAnsi="Arial" w:cs="Arial"/>
          <w:sz w:val="22"/>
          <w:szCs w:val="22"/>
          <w:lang w:val="fr-FR"/>
        </w:rPr>
        <w:t xml:space="preserve"> solde du projet une fois que toutes les activités planifiées ont été mises en œuvre, </w:t>
      </w:r>
      <w:r w:rsidR="000C76FF" w:rsidRPr="00915822">
        <w:rPr>
          <w:rFonts w:ascii="Arial" w:hAnsi="Arial" w:cs="Arial"/>
          <w:sz w:val="22"/>
          <w:szCs w:val="22"/>
          <w:lang w:val="fr-FR"/>
        </w:rPr>
        <w:t>à l’exception d’un cas où elle</w:t>
      </w:r>
      <w:r w:rsidRPr="00915822">
        <w:rPr>
          <w:rFonts w:ascii="Arial" w:hAnsi="Arial" w:cs="Arial"/>
          <w:sz w:val="22"/>
          <w:szCs w:val="22"/>
          <w:lang w:val="fr-FR"/>
        </w:rPr>
        <w:t xml:space="preserve"> correspond à 5 % de la contribution volontaire supplémentaire de la Norvège acceptée par le Comité en 2012, qui ne seront pas versés au Fonds (</w:t>
      </w:r>
      <w:hyperlink r:id="rId18" w:history="1">
        <w:r w:rsidRPr="00915822">
          <w:rPr>
            <w:rStyle w:val="Hyperlink"/>
            <w:rFonts w:ascii="Arial" w:hAnsi="Arial" w:cs="Arial"/>
            <w:sz w:val="22"/>
            <w:szCs w:val="22"/>
          </w:rPr>
          <w:t>décision 10</w:t>
        </w:r>
        <w:r w:rsidRPr="00915822">
          <w:rPr>
            <w:rStyle w:val="Hyperlink"/>
            <w:rFonts w:ascii="Arial" w:hAnsi="Arial" w:cs="Arial"/>
            <w:sz w:val="22"/>
            <w:szCs w:val="22"/>
          </w:rPr>
          <w:t>.</w:t>
        </w:r>
        <w:r w:rsidRPr="00915822">
          <w:rPr>
            <w:rStyle w:val="Hyperlink"/>
            <w:rFonts w:ascii="Arial" w:hAnsi="Arial" w:cs="Arial"/>
            <w:sz w:val="22"/>
            <w:szCs w:val="22"/>
          </w:rPr>
          <w:t>C</w:t>
        </w:r>
        <w:r w:rsidRPr="00915822">
          <w:rPr>
            <w:rStyle w:val="Hyperlink"/>
            <w:rFonts w:ascii="Arial" w:hAnsi="Arial" w:cs="Arial"/>
            <w:sz w:val="22"/>
            <w:szCs w:val="22"/>
          </w:rPr>
          <w:t>O</w:t>
        </w:r>
        <w:r w:rsidRPr="00915822">
          <w:rPr>
            <w:rStyle w:val="Hyperlink"/>
            <w:rFonts w:ascii="Arial" w:hAnsi="Arial" w:cs="Arial"/>
            <w:sz w:val="22"/>
            <w:szCs w:val="22"/>
          </w:rPr>
          <w:t>M 9</w:t>
        </w:r>
      </w:hyperlink>
      <w:r w:rsidR="00055F51">
        <w:rPr>
          <w:rFonts w:ascii="Arial" w:hAnsi="Arial" w:cs="Arial"/>
          <w:sz w:val="22"/>
          <w:szCs w:val="22"/>
          <w:lang w:val="fr-FR"/>
        </w:rPr>
        <w:t>).</w:t>
      </w:r>
    </w:p>
    <w:p w:rsidR="00141F63" w:rsidRPr="00915822" w:rsidRDefault="00141F63" w:rsidP="00CB1A2F">
      <w:pPr>
        <w:pStyle w:val="ListParagraph"/>
        <w:numPr>
          <w:ilvl w:val="0"/>
          <w:numId w:val="15"/>
        </w:numPr>
        <w:tabs>
          <w:tab w:val="left" w:pos="567"/>
        </w:tabs>
        <w:snapToGrid w:val="0"/>
        <w:spacing w:after="120"/>
        <w:ind w:left="567" w:hanging="567"/>
        <w:contextualSpacing w:val="0"/>
        <w:jc w:val="both"/>
        <w:rPr>
          <w:rFonts w:ascii="Arial" w:hAnsi="Arial" w:cs="Arial"/>
          <w:lang w:val="fr-FR"/>
        </w:rPr>
      </w:pPr>
      <w:r w:rsidRPr="0066056F">
        <w:rPr>
          <w:rFonts w:ascii="Arial" w:hAnsi="Arial" w:cs="Arial"/>
          <w:sz w:val="22"/>
          <w:szCs w:val="22"/>
          <w:lang w:val="fr-FR"/>
        </w:rPr>
        <w:t xml:space="preserve">Ce même tableau révèle un déficit de 248 474 dollars des États-Unis qui correspond aux </w:t>
      </w:r>
      <w:r w:rsidR="00CF3CB3">
        <w:rPr>
          <w:rFonts w:ascii="Arial" w:hAnsi="Arial" w:cs="Arial"/>
          <w:sz w:val="22"/>
          <w:szCs w:val="22"/>
          <w:lang w:val="fr-FR"/>
        </w:rPr>
        <w:t xml:space="preserve">arriérés des </w:t>
      </w:r>
      <w:r w:rsidRPr="0066056F">
        <w:rPr>
          <w:rFonts w:ascii="Arial" w:hAnsi="Arial" w:cs="Arial"/>
          <w:sz w:val="22"/>
          <w:szCs w:val="22"/>
          <w:lang w:val="fr-FR"/>
        </w:rPr>
        <w:t xml:space="preserve">contributions volontaires </w:t>
      </w:r>
      <w:r w:rsidRPr="00915822">
        <w:rPr>
          <w:rFonts w:ascii="Arial" w:hAnsi="Arial" w:cs="Arial"/>
          <w:sz w:val="22"/>
          <w:szCs w:val="22"/>
          <w:lang w:val="fr-FR"/>
        </w:rPr>
        <w:t>du Brésil et du Viet Nam</w:t>
      </w:r>
      <w:r w:rsidR="007E773F" w:rsidRPr="00915822">
        <w:rPr>
          <w:rFonts w:ascii="Arial" w:hAnsi="Arial" w:cs="Arial"/>
          <w:sz w:val="22"/>
          <w:szCs w:val="22"/>
          <w:lang w:val="fr-FR"/>
        </w:rPr>
        <w:t>,</w:t>
      </w:r>
      <w:r w:rsidRPr="00915822">
        <w:rPr>
          <w:rFonts w:ascii="Arial" w:hAnsi="Arial" w:cs="Arial"/>
          <w:sz w:val="22"/>
          <w:szCs w:val="22"/>
          <w:lang w:val="fr-FR"/>
        </w:rPr>
        <w:t xml:space="preserve"> approuvées par le Comité lors de sa </w:t>
      </w:r>
      <w:r w:rsidR="00CF3CB3">
        <w:rPr>
          <w:rFonts w:ascii="Arial" w:hAnsi="Arial" w:cs="Arial"/>
          <w:sz w:val="22"/>
          <w:szCs w:val="22"/>
          <w:lang w:val="fr-FR"/>
        </w:rPr>
        <w:t>huitième</w:t>
      </w:r>
      <w:r w:rsidR="00CF3CB3" w:rsidRPr="0066056F">
        <w:rPr>
          <w:rFonts w:ascii="Arial" w:hAnsi="Arial" w:cs="Arial"/>
          <w:sz w:val="22"/>
          <w:szCs w:val="22"/>
          <w:lang w:val="fr-FR"/>
        </w:rPr>
        <w:t> </w:t>
      </w:r>
      <w:r w:rsidRPr="0066056F">
        <w:rPr>
          <w:rFonts w:ascii="Arial" w:hAnsi="Arial" w:cs="Arial"/>
          <w:sz w:val="22"/>
          <w:szCs w:val="22"/>
          <w:lang w:val="fr-FR"/>
        </w:rPr>
        <w:t>session en 2013 (</w:t>
      </w:r>
      <w:hyperlink r:id="rId19" w:history="1">
        <w:r w:rsidRPr="00915822">
          <w:rPr>
            <w:rStyle w:val="Hyperlink"/>
            <w:rFonts w:ascii="Arial" w:hAnsi="Arial" w:cs="Arial"/>
            <w:sz w:val="22"/>
            <w:szCs w:val="22"/>
          </w:rPr>
          <w:t>décision 8.</w:t>
        </w:r>
        <w:r w:rsidRPr="00915822">
          <w:rPr>
            <w:rStyle w:val="Hyperlink"/>
            <w:rFonts w:ascii="Arial" w:hAnsi="Arial" w:cs="Arial"/>
            <w:sz w:val="22"/>
            <w:szCs w:val="22"/>
          </w:rPr>
          <w:t>C</w:t>
        </w:r>
        <w:r w:rsidRPr="00915822">
          <w:rPr>
            <w:rStyle w:val="Hyperlink"/>
            <w:rFonts w:ascii="Arial" w:hAnsi="Arial" w:cs="Arial"/>
            <w:sz w:val="22"/>
            <w:szCs w:val="22"/>
          </w:rPr>
          <w:t>OM 12</w:t>
        </w:r>
      </w:hyperlink>
      <w:r w:rsidRPr="00215D8E">
        <w:rPr>
          <w:rFonts w:ascii="Arial" w:hAnsi="Arial" w:cs="Arial"/>
          <w:sz w:val="22"/>
          <w:szCs w:val="22"/>
          <w:lang w:val="fr-FR"/>
        </w:rPr>
        <w:t xml:space="preserve">). Ces deux pays ayant été invités par le Comité à informer le Secrétariat </w:t>
      </w:r>
      <w:r w:rsidR="007E773F" w:rsidRPr="0066056F">
        <w:rPr>
          <w:rFonts w:ascii="Arial" w:hAnsi="Arial" w:cs="Arial"/>
          <w:sz w:val="22"/>
          <w:szCs w:val="22"/>
          <w:lang w:val="fr-FR"/>
        </w:rPr>
        <w:t xml:space="preserve">quant à </w:t>
      </w:r>
      <w:r w:rsidRPr="00915822">
        <w:rPr>
          <w:rFonts w:ascii="Arial" w:hAnsi="Arial" w:cs="Arial"/>
          <w:sz w:val="22"/>
          <w:szCs w:val="22"/>
          <w:lang w:val="fr-FR"/>
        </w:rPr>
        <w:t>la situation de leur</w:t>
      </w:r>
      <w:r w:rsidR="00CF3CB3">
        <w:rPr>
          <w:rFonts w:ascii="Arial" w:hAnsi="Arial" w:cs="Arial"/>
          <w:sz w:val="22"/>
          <w:szCs w:val="22"/>
          <w:lang w:val="fr-FR"/>
        </w:rPr>
        <w:t>s</w:t>
      </w:r>
      <w:r w:rsidRPr="0066056F">
        <w:rPr>
          <w:rFonts w:ascii="Arial" w:hAnsi="Arial" w:cs="Arial"/>
          <w:sz w:val="22"/>
          <w:szCs w:val="22"/>
          <w:lang w:val="fr-FR"/>
        </w:rPr>
        <w:t xml:space="preserve"> </w:t>
      </w:r>
      <w:r w:rsidR="00CF3CB3">
        <w:rPr>
          <w:rFonts w:ascii="Arial" w:hAnsi="Arial" w:cs="Arial"/>
          <w:sz w:val="22"/>
          <w:szCs w:val="22"/>
          <w:lang w:val="fr-FR"/>
        </w:rPr>
        <w:t xml:space="preserve">arriérés </w:t>
      </w:r>
      <w:r w:rsidR="007E773F" w:rsidRPr="00915822">
        <w:rPr>
          <w:rFonts w:ascii="Arial" w:hAnsi="Arial" w:cs="Arial"/>
          <w:sz w:val="22"/>
          <w:szCs w:val="22"/>
          <w:lang w:val="fr-FR"/>
        </w:rPr>
        <w:t>respecti</w:t>
      </w:r>
      <w:r w:rsidR="00CF3CB3">
        <w:rPr>
          <w:rFonts w:ascii="Arial" w:hAnsi="Arial" w:cs="Arial"/>
          <w:sz w:val="22"/>
          <w:szCs w:val="22"/>
          <w:lang w:val="fr-FR"/>
        </w:rPr>
        <w:t>fs</w:t>
      </w:r>
      <w:r w:rsidRPr="0066056F">
        <w:rPr>
          <w:rFonts w:ascii="Arial" w:hAnsi="Arial" w:cs="Arial"/>
          <w:sz w:val="22"/>
          <w:szCs w:val="22"/>
          <w:lang w:val="fr-FR"/>
        </w:rPr>
        <w:t xml:space="preserve"> </w:t>
      </w:r>
      <w:r w:rsidRPr="00915822">
        <w:rPr>
          <w:rFonts w:ascii="Arial" w:hAnsi="Arial" w:cs="Arial"/>
          <w:sz w:val="22"/>
          <w:szCs w:val="22"/>
          <w:lang w:val="fr-FR"/>
        </w:rPr>
        <w:t>(</w:t>
      </w:r>
      <w:hyperlink r:id="rId20" w:history="1">
        <w:r w:rsidRPr="00915822">
          <w:rPr>
            <w:rStyle w:val="Hyperlink"/>
            <w:rFonts w:ascii="Arial" w:hAnsi="Arial" w:cs="Arial"/>
            <w:sz w:val="22"/>
            <w:szCs w:val="22"/>
          </w:rPr>
          <w:t>décision 10.</w:t>
        </w:r>
        <w:r w:rsidRPr="00915822">
          <w:rPr>
            <w:rStyle w:val="Hyperlink"/>
            <w:rFonts w:ascii="Arial" w:hAnsi="Arial" w:cs="Arial"/>
            <w:sz w:val="22"/>
            <w:szCs w:val="22"/>
          </w:rPr>
          <w:t>C</w:t>
        </w:r>
        <w:r w:rsidRPr="00915822">
          <w:rPr>
            <w:rStyle w:val="Hyperlink"/>
            <w:rFonts w:ascii="Arial" w:hAnsi="Arial" w:cs="Arial"/>
            <w:sz w:val="22"/>
            <w:szCs w:val="22"/>
          </w:rPr>
          <w:t>OM 9</w:t>
        </w:r>
      </w:hyperlink>
      <w:r w:rsidRPr="00215D8E">
        <w:rPr>
          <w:rFonts w:ascii="Arial" w:hAnsi="Arial" w:cs="Arial"/>
          <w:sz w:val="22"/>
          <w:szCs w:val="22"/>
          <w:lang w:val="fr-FR"/>
        </w:rPr>
        <w:t xml:space="preserve">), le Brésil a fait savoir au Secrétariat </w:t>
      </w:r>
      <w:r w:rsidR="007E773F" w:rsidRPr="0066056F">
        <w:rPr>
          <w:rFonts w:ascii="Arial" w:hAnsi="Arial" w:cs="Arial"/>
          <w:sz w:val="22"/>
          <w:szCs w:val="22"/>
          <w:lang w:val="fr-FR"/>
        </w:rPr>
        <w:t xml:space="preserve">par </w:t>
      </w:r>
      <w:r w:rsidRPr="0066056F">
        <w:rPr>
          <w:rFonts w:ascii="Arial" w:hAnsi="Arial" w:cs="Arial"/>
          <w:sz w:val="22"/>
          <w:szCs w:val="22"/>
          <w:lang w:val="fr-FR"/>
        </w:rPr>
        <w:t>une note diplomatique du 22 février 2016 qu’il n’était pas en mesure de respecter cette décision en raison de problèmes d’ordre juridique et budgétaire.</w:t>
      </w:r>
      <w:r w:rsidR="00B30FA6" w:rsidRPr="00915822">
        <w:rPr>
          <w:rFonts w:ascii="Arial" w:hAnsi="Arial" w:cs="Arial"/>
          <w:sz w:val="22"/>
          <w:szCs w:val="22"/>
          <w:lang w:val="fr-FR"/>
        </w:rPr>
        <w:t xml:space="preserve"> Dans </w:t>
      </w:r>
      <w:r w:rsidR="00CF3CB3">
        <w:rPr>
          <w:rFonts w:ascii="Arial" w:hAnsi="Arial" w:cs="Arial"/>
          <w:sz w:val="22"/>
          <w:szCs w:val="22"/>
          <w:lang w:val="fr-FR"/>
        </w:rPr>
        <w:t>s</w:t>
      </w:r>
      <w:r w:rsidR="00B30FA6" w:rsidRPr="0066056F">
        <w:rPr>
          <w:rFonts w:ascii="Arial" w:hAnsi="Arial" w:cs="Arial"/>
          <w:sz w:val="22"/>
          <w:szCs w:val="22"/>
          <w:lang w:val="fr-FR"/>
        </w:rPr>
        <w:t>a décision 11.COM 6</w:t>
      </w:r>
      <w:r w:rsidR="00B30FA6" w:rsidRPr="00915822">
        <w:rPr>
          <w:rFonts w:ascii="Arial" w:hAnsi="Arial" w:cs="Arial"/>
          <w:sz w:val="22"/>
          <w:szCs w:val="22"/>
          <w:lang w:val="fr-FR"/>
        </w:rPr>
        <w:t xml:space="preserve">, le Comité </w:t>
      </w:r>
      <w:r w:rsidR="00CF3CB3">
        <w:rPr>
          <w:rFonts w:ascii="Arial" w:hAnsi="Arial" w:cs="Arial"/>
          <w:sz w:val="22"/>
          <w:szCs w:val="22"/>
          <w:lang w:val="fr-FR"/>
        </w:rPr>
        <w:t>souhaitera</w:t>
      </w:r>
      <w:r w:rsidR="00B30FA6" w:rsidRPr="0066056F">
        <w:rPr>
          <w:rFonts w:ascii="Arial" w:hAnsi="Arial" w:cs="Arial"/>
          <w:sz w:val="22"/>
          <w:szCs w:val="22"/>
          <w:lang w:val="fr-FR"/>
        </w:rPr>
        <w:t xml:space="preserve"> peut-être </w:t>
      </w:r>
      <w:r w:rsidR="00CF3CB3">
        <w:rPr>
          <w:rFonts w:ascii="Arial" w:hAnsi="Arial" w:cs="Arial"/>
          <w:sz w:val="22"/>
          <w:szCs w:val="22"/>
          <w:lang w:val="fr-FR"/>
        </w:rPr>
        <w:t>prendre note de</w:t>
      </w:r>
      <w:r w:rsidR="00B30FA6" w:rsidRPr="0066056F">
        <w:rPr>
          <w:rFonts w:ascii="Arial" w:hAnsi="Arial" w:cs="Arial"/>
          <w:sz w:val="22"/>
          <w:szCs w:val="22"/>
          <w:lang w:val="fr-FR"/>
        </w:rPr>
        <w:t xml:space="preserve"> ce non-paiement. En conséquence, le budget du projet concerné sera révisé à zéro </w:t>
      </w:r>
      <w:r w:rsidR="00CF3CB3">
        <w:rPr>
          <w:rFonts w:ascii="Arial" w:hAnsi="Arial" w:cs="Arial"/>
          <w:sz w:val="22"/>
          <w:szCs w:val="22"/>
          <w:lang w:val="fr-FR"/>
        </w:rPr>
        <w:t>dans</w:t>
      </w:r>
      <w:r w:rsidR="00B30FA6" w:rsidRPr="0066056F">
        <w:rPr>
          <w:rFonts w:ascii="Arial" w:hAnsi="Arial" w:cs="Arial"/>
          <w:sz w:val="22"/>
          <w:szCs w:val="22"/>
          <w:lang w:val="fr-FR"/>
        </w:rPr>
        <w:t xml:space="preserve"> l’annexe 2 du prochain rapport financier du Fonds du patrimoine culturel immatériel.</w:t>
      </w:r>
    </w:p>
    <w:p w:rsidR="001A457E" w:rsidRPr="00915822" w:rsidRDefault="00994D5C" w:rsidP="00CB1A2F">
      <w:pPr>
        <w:pStyle w:val="ListParagraph"/>
        <w:numPr>
          <w:ilvl w:val="0"/>
          <w:numId w:val="15"/>
        </w:numPr>
        <w:tabs>
          <w:tab w:val="left" w:pos="567"/>
        </w:tabs>
        <w:snapToGrid w:val="0"/>
        <w:spacing w:after="120"/>
        <w:ind w:left="567" w:hanging="567"/>
        <w:contextualSpacing w:val="0"/>
        <w:jc w:val="both"/>
        <w:rPr>
          <w:rFonts w:ascii="Arial" w:hAnsi="Arial" w:cs="Arial"/>
          <w:lang w:val="fr-FR"/>
        </w:rPr>
      </w:pPr>
      <w:r w:rsidRPr="00215D8E">
        <w:rPr>
          <w:rFonts w:ascii="Arial" w:hAnsi="Arial" w:cs="Arial"/>
          <w:sz w:val="22"/>
          <w:szCs w:val="22"/>
          <w:lang w:val="fr-FR"/>
        </w:rPr>
        <w:t>Enfin, l</w:t>
      </w:r>
      <w:r w:rsidR="00141F63" w:rsidRPr="00215D8E">
        <w:rPr>
          <w:rFonts w:ascii="Arial" w:hAnsi="Arial" w:cs="Arial"/>
          <w:sz w:val="22"/>
          <w:szCs w:val="22"/>
          <w:lang w:val="fr-FR"/>
        </w:rPr>
        <w:t xml:space="preserve">’annexe 3 indique les prévisions au 30 juin 2016, basées sur les estimations du Secrétariat, concernant l’utilisation future des fonds alloués aux projets en cours </w:t>
      </w:r>
      <w:r w:rsidR="007E773F" w:rsidRPr="0066056F">
        <w:rPr>
          <w:rFonts w:ascii="Arial" w:hAnsi="Arial" w:cs="Arial"/>
          <w:sz w:val="22"/>
          <w:szCs w:val="22"/>
          <w:lang w:val="fr-FR"/>
        </w:rPr>
        <w:t>sur la base</w:t>
      </w:r>
      <w:r w:rsidR="00141F63" w:rsidRPr="00915822">
        <w:rPr>
          <w:rFonts w:ascii="Arial" w:hAnsi="Arial" w:cs="Arial"/>
          <w:sz w:val="22"/>
          <w:szCs w:val="22"/>
          <w:lang w:val="fr-FR"/>
        </w:rPr>
        <w:t xml:space="preserve"> des fonds non </w:t>
      </w:r>
      <w:r w:rsidR="007E773F" w:rsidRPr="00915822">
        <w:rPr>
          <w:rFonts w:ascii="Arial" w:hAnsi="Arial" w:cs="Arial"/>
          <w:sz w:val="22"/>
          <w:szCs w:val="22"/>
          <w:lang w:val="fr-FR"/>
        </w:rPr>
        <w:t xml:space="preserve">engagés </w:t>
      </w:r>
      <w:r w:rsidR="00141F63" w:rsidRPr="00915822">
        <w:rPr>
          <w:rFonts w:ascii="Arial" w:hAnsi="Arial" w:cs="Arial"/>
          <w:sz w:val="22"/>
          <w:szCs w:val="22"/>
          <w:lang w:val="fr-FR"/>
        </w:rPr>
        <w:t>à ce jour et des budgets approuvés par le Comité.</w:t>
      </w:r>
    </w:p>
    <w:p w:rsidR="00F337DA" w:rsidRPr="008C0AEA" w:rsidRDefault="00141F63" w:rsidP="00141F63">
      <w:pPr>
        <w:pStyle w:val="ListParagraph"/>
        <w:ind w:left="0"/>
        <w:jc w:val="right"/>
        <w:rPr>
          <w:rFonts w:ascii="Arial" w:hAnsi="Arial" w:cs="Arial"/>
          <w:b/>
          <w:sz w:val="22"/>
          <w:szCs w:val="22"/>
          <w:lang w:val="fr-FR"/>
        </w:rPr>
      </w:pPr>
      <w:r w:rsidRPr="00915822">
        <w:rPr>
          <w:rFonts w:ascii="Arial" w:hAnsi="Arial" w:cs="Arial"/>
          <w:lang w:val="fr-FR"/>
        </w:rPr>
        <w:br w:type="page"/>
      </w:r>
      <w:r w:rsidR="00F337DA" w:rsidRPr="00915822">
        <w:rPr>
          <w:rFonts w:ascii="Arial" w:hAnsi="Arial" w:cs="Arial"/>
          <w:b/>
          <w:sz w:val="22"/>
          <w:szCs w:val="22"/>
          <w:lang w:val="fr-FR"/>
        </w:rPr>
        <w:t>Etat</w:t>
      </w:r>
      <w:r w:rsidR="00F337DA" w:rsidRPr="008C0AEA">
        <w:rPr>
          <w:rFonts w:ascii="Arial" w:hAnsi="Arial" w:cs="Arial"/>
          <w:b/>
          <w:sz w:val="22"/>
          <w:szCs w:val="22"/>
          <w:lang w:val="fr-FR"/>
        </w:rPr>
        <w:t xml:space="preserve"> financier</w:t>
      </w:r>
      <w:r w:rsidR="00CF3CB3" w:rsidRPr="008C0AEA">
        <w:rPr>
          <w:rFonts w:ascii="Arial" w:hAnsi="Arial" w:cs="Arial"/>
          <w:b/>
          <w:sz w:val="22"/>
          <w:szCs w:val="22"/>
          <w:lang w:val="fr-FR"/>
        </w:rPr>
        <w:t> </w:t>
      </w:r>
      <w:r w:rsidR="00F337DA" w:rsidRPr="008C0AEA">
        <w:rPr>
          <w:rFonts w:ascii="Arial" w:hAnsi="Arial" w:cs="Arial"/>
          <w:b/>
          <w:sz w:val="22"/>
          <w:szCs w:val="22"/>
          <w:lang w:val="fr-FR"/>
        </w:rPr>
        <w:t>I</w:t>
      </w:r>
    </w:p>
    <w:p w:rsidR="00F337DA" w:rsidRPr="008C0AEA" w:rsidRDefault="006C74D8" w:rsidP="00141F63">
      <w:pPr>
        <w:pStyle w:val="ListParagraph"/>
        <w:ind w:left="0"/>
        <w:jc w:val="right"/>
        <w:rPr>
          <w:rFonts w:ascii="Arial" w:hAnsi="Arial" w:cs="Arial"/>
          <w:b/>
          <w:sz w:val="22"/>
          <w:szCs w:val="22"/>
          <w:lang w:val="fr-FR"/>
        </w:rPr>
      </w:pPr>
      <w:r w:rsidRPr="00915822">
        <w:rPr>
          <w:rFonts w:ascii="Arial" w:hAnsi="Arial" w:cs="Arial"/>
          <w:noProof/>
          <w:lang w:val="fr-FR" w:eastAsia="zh-CN"/>
        </w:rPr>
        <w:drawing>
          <wp:inline distT="0" distB="0" distL="0" distR="0">
            <wp:extent cx="6115050" cy="57054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5705475"/>
                    </a:xfrm>
                    <a:prstGeom prst="rect">
                      <a:avLst/>
                    </a:prstGeom>
                    <a:noFill/>
                    <a:ln>
                      <a:noFill/>
                    </a:ln>
                  </pic:spPr>
                </pic:pic>
              </a:graphicData>
            </a:graphic>
          </wp:inline>
        </w:drawing>
      </w:r>
      <w:r w:rsidR="00141F63" w:rsidRPr="008C0AEA">
        <w:rPr>
          <w:rFonts w:ascii="Arial" w:hAnsi="Arial" w:cs="Arial"/>
          <w:lang w:val="fr-FR"/>
        </w:rPr>
        <w:br w:type="page"/>
      </w:r>
      <w:r w:rsidRPr="00915822">
        <w:rPr>
          <w:rFonts w:ascii="Arial" w:hAnsi="Arial" w:cs="Arial"/>
          <w:noProof/>
          <w:lang w:val="fr-FR" w:eastAsia="zh-CN"/>
        </w:rPr>
        <w:drawing>
          <wp:inline distT="0" distB="0" distL="0" distR="0">
            <wp:extent cx="6115050" cy="790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7905750"/>
                    </a:xfrm>
                    <a:prstGeom prst="rect">
                      <a:avLst/>
                    </a:prstGeom>
                    <a:noFill/>
                    <a:ln>
                      <a:noFill/>
                    </a:ln>
                  </pic:spPr>
                </pic:pic>
              </a:graphicData>
            </a:graphic>
          </wp:inline>
        </w:drawing>
      </w:r>
      <w:r w:rsidR="00141F63" w:rsidRPr="008C0AEA">
        <w:rPr>
          <w:rFonts w:ascii="Arial" w:hAnsi="Arial" w:cs="Arial"/>
          <w:lang w:val="fr-FR"/>
        </w:rPr>
        <w:br w:type="page"/>
      </w:r>
      <w:r w:rsidR="00F337DA" w:rsidRPr="00915822">
        <w:rPr>
          <w:rFonts w:ascii="Arial" w:hAnsi="Arial" w:cs="Arial"/>
          <w:b/>
          <w:sz w:val="22"/>
          <w:szCs w:val="22"/>
          <w:lang w:val="fr-FR"/>
        </w:rPr>
        <w:t>Etat</w:t>
      </w:r>
      <w:r w:rsidR="00F337DA" w:rsidRPr="008C0AEA">
        <w:rPr>
          <w:rFonts w:ascii="Arial" w:hAnsi="Arial" w:cs="Arial"/>
          <w:b/>
          <w:sz w:val="22"/>
          <w:szCs w:val="22"/>
          <w:lang w:val="fr-FR"/>
        </w:rPr>
        <w:t xml:space="preserve"> financier</w:t>
      </w:r>
      <w:r w:rsidR="00CF3CB3" w:rsidRPr="008C0AEA">
        <w:rPr>
          <w:rFonts w:ascii="Arial" w:hAnsi="Arial" w:cs="Arial"/>
          <w:b/>
          <w:sz w:val="22"/>
          <w:szCs w:val="22"/>
          <w:lang w:val="fr-FR"/>
        </w:rPr>
        <w:t> </w:t>
      </w:r>
      <w:r w:rsidR="00F337DA" w:rsidRPr="008C0AEA">
        <w:rPr>
          <w:rFonts w:ascii="Arial" w:hAnsi="Arial" w:cs="Arial"/>
          <w:b/>
          <w:sz w:val="22"/>
          <w:szCs w:val="22"/>
          <w:lang w:val="fr-FR"/>
        </w:rPr>
        <w:t>II</w:t>
      </w:r>
    </w:p>
    <w:p w:rsidR="00F337DA" w:rsidRPr="00915822" w:rsidRDefault="006C74D8" w:rsidP="00141F63">
      <w:pPr>
        <w:pStyle w:val="ListParagraph"/>
        <w:ind w:left="0"/>
        <w:jc w:val="right"/>
        <w:rPr>
          <w:rFonts w:ascii="Arial" w:hAnsi="Arial" w:cs="Arial"/>
          <w:b/>
        </w:rPr>
      </w:pPr>
      <w:r w:rsidRPr="00915822">
        <w:rPr>
          <w:rFonts w:ascii="Arial" w:hAnsi="Arial" w:cs="Arial"/>
          <w:noProof/>
          <w:lang w:val="fr-FR" w:eastAsia="zh-CN"/>
        </w:rPr>
        <w:drawing>
          <wp:inline distT="0" distB="0" distL="0" distR="0">
            <wp:extent cx="6115050" cy="59912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5991225"/>
                    </a:xfrm>
                    <a:prstGeom prst="rect">
                      <a:avLst/>
                    </a:prstGeom>
                    <a:noFill/>
                    <a:ln>
                      <a:noFill/>
                    </a:ln>
                  </pic:spPr>
                </pic:pic>
              </a:graphicData>
            </a:graphic>
          </wp:inline>
        </w:drawing>
      </w:r>
      <w:r w:rsidR="00141F63" w:rsidRPr="00915822">
        <w:rPr>
          <w:rFonts w:ascii="Arial" w:hAnsi="Arial" w:cs="Arial"/>
        </w:rPr>
        <w:br w:type="page"/>
      </w:r>
      <w:r w:rsidR="00F337DA" w:rsidRPr="00915822">
        <w:rPr>
          <w:rFonts w:ascii="Arial" w:hAnsi="Arial" w:cs="Arial"/>
          <w:b/>
          <w:sz w:val="22"/>
          <w:szCs w:val="22"/>
          <w:lang w:val="fr-FR"/>
        </w:rPr>
        <w:t>Etat</w:t>
      </w:r>
      <w:r w:rsidR="00F337DA" w:rsidRPr="00915822">
        <w:rPr>
          <w:rFonts w:ascii="Arial" w:hAnsi="Arial" w:cs="Arial"/>
          <w:b/>
          <w:sz w:val="22"/>
          <w:szCs w:val="22"/>
        </w:rPr>
        <w:t xml:space="preserve"> financier</w:t>
      </w:r>
      <w:r w:rsidR="00CF3CB3">
        <w:rPr>
          <w:rFonts w:ascii="Arial" w:hAnsi="Arial" w:cs="Arial"/>
          <w:b/>
          <w:sz w:val="22"/>
          <w:szCs w:val="22"/>
        </w:rPr>
        <w:t> </w:t>
      </w:r>
      <w:r w:rsidR="00F337DA" w:rsidRPr="00915822">
        <w:rPr>
          <w:rFonts w:ascii="Arial" w:hAnsi="Arial" w:cs="Arial"/>
          <w:b/>
          <w:sz w:val="22"/>
          <w:szCs w:val="22"/>
        </w:rPr>
        <w:t>III</w:t>
      </w:r>
    </w:p>
    <w:p w:rsidR="00141F63" w:rsidRPr="00915822" w:rsidRDefault="006C74D8" w:rsidP="00141F63">
      <w:pPr>
        <w:pStyle w:val="ListParagraph"/>
        <w:ind w:left="0"/>
        <w:jc w:val="center"/>
        <w:rPr>
          <w:rFonts w:ascii="Arial" w:hAnsi="Arial" w:cs="Arial"/>
          <w:lang w:val="en-US"/>
        </w:rPr>
      </w:pPr>
      <w:r w:rsidRPr="00915822">
        <w:rPr>
          <w:rFonts w:ascii="Arial" w:hAnsi="Arial" w:cs="Arial"/>
          <w:noProof/>
          <w:lang w:val="fr-FR" w:eastAsia="zh-CN"/>
        </w:rPr>
        <w:drawing>
          <wp:inline distT="0" distB="0" distL="0" distR="0">
            <wp:extent cx="6115050" cy="654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543675"/>
                    </a:xfrm>
                    <a:prstGeom prst="rect">
                      <a:avLst/>
                    </a:prstGeom>
                    <a:noFill/>
                    <a:ln>
                      <a:noFill/>
                    </a:ln>
                  </pic:spPr>
                </pic:pic>
              </a:graphicData>
            </a:graphic>
          </wp:inline>
        </w:drawing>
      </w:r>
    </w:p>
    <w:p w:rsidR="00F337DA" w:rsidRPr="00915822" w:rsidRDefault="00141F63" w:rsidP="00141F63">
      <w:pPr>
        <w:pStyle w:val="ListParagraph"/>
        <w:ind w:left="0"/>
        <w:jc w:val="right"/>
        <w:rPr>
          <w:rFonts w:ascii="Arial" w:hAnsi="Arial" w:cs="Arial"/>
          <w:b/>
          <w:sz w:val="22"/>
          <w:szCs w:val="22"/>
        </w:rPr>
      </w:pPr>
      <w:r w:rsidRPr="00915822">
        <w:rPr>
          <w:rFonts w:ascii="Arial" w:hAnsi="Arial" w:cs="Arial"/>
        </w:rPr>
        <w:br w:type="page"/>
      </w:r>
      <w:r w:rsidR="00F337DA" w:rsidRPr="00915822">
        <w:rPr>
          <w:rFonts w:ascii="Arial" w:hAnsi="Arial" w:cs="Arial"/>
          <w:b/>
          <w:sz w:val="22"/>
          <w:szCs w:val="22"/>
        </w:rPr>
        <w:t>Annexe</w:t>
      </w:r>
      <w:r w:rsidR="00CF3CB3">
        <w:rPr>
          <w:rFonts w:ascii="Arial" w:hAnsi="Arial" w:cs="Arial"/>
          <w:b/>
          <w:sz w:val="22"/>
          <w:szCs w:val="22"/>
        </w:rPr>
        <w:t> </w:t>
      </w:r>
      <w:r w:rsidR="00F337DA" w:rsidRPr="00915822">
        <w:rPr>
          <w:rFonts w:ascii="Arial" w:hAnsi="Arial" w:cs="Arial"/>
          <w:b/>
          <w:sz w:val="22"/>
          <w:szCs w:val="22"/>
        </w:rPr>
        <w:t>1</w:t>
      </w:r>
    </w:p>
    <w:p w:rsidR="00141F63" w:rsidRPr="00915822" w:rsidRDefault="006C74D8" w:rsidP="00141F63">
      <w:pPr>
        <w:pStyle w:val="ListParagraph"/>
        <w:ind w:left="0"/>
        <w:jc w:val="center"/>
        <w:rPr>
          <w:rFonts w:ascii="Arial" w:hAnsi="Arial" w:cs="Arial"/>
          <w:lang w:val="en-US"/>
        </w:rPr>
      </w:pPr>
      <w:r w:rsidRPr="00915822">
        <w:rPr>
          <w:rFonts w:ascii="Arial" w:hAnsi="Arial" w:cs="Arial"/>
          <w:noProof/>
          <w:lang w:val="fr-FR" w:eastAsia="zh-CN"/>
        </w:rPr>
        <w:drawing>
          <wp:inline distT="0" distB="0" distL="0" distR="0">
            <wp:extent cx="6115050" cy="5248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5248275"/>
                    </a:xfrm>
                    <a:prstGeom prst="rect">
                      <a:avLst/>
                    </a:prstGeom>
                    <a:noFill/>
                    <a:ln>
                      <a:noFill/>
                    </a:ln>
                  </pic:spPr>
                </pic:pic>
              </a:graphicData>
            </a:graphic>
          </wp:inline>
        </w:drawing>
      </w:r>
    </w:p>
    <w:p w:rsidR="00141F63" w:rsidRPr="00915822" w:rsidRDefault="00141F63" w:rsidP="00141F63">
      <w:pPr>
        <w:pStyle w:val="ListParagraph"/>
        <w:ind w:left="0"/>
        <w:rPr>
          <w:rFonts w:ascii="Arial" w:hAnsi="Arial" w:cs="Arial"/>
        </w:rPr>
      </w:pPr>
    </w:p>
    <w:p w:rsidR="00141F63" w:rsidRPr="00915822" w:rsidRDefault="00141F63" w:rsidP="00141F63">
      <w:pPr>
        <w:pStyle w:val="ListParagraph"/>
        <w:ind w:left="0"/>
        <w:rPr>
          <w:rFonts w:ascii="Arial" w:hAnsi="Arial" w:cs="Arial"/>
        </w:rPr>
        <w:sectPr w:rsidR="00141F63" w:rsidRPr="00915822" w:rsidSect="00D3691A">
          <w:headerReference w:type="even" r:id="rId26"/>
          <w:headerReference w:type="default" r:id="rId27"/>
          <w:headerReference w:type="first" r:id="rId28"/>
          <w:pgSz w:w="11906" w:h="16838" w:code="9"/>
          <w:pgMar w:top="1418" w:right="1134" w:bottom="1134" w:left="1134" w:header="397" w:footer="284" w:gutter="0"/>
          <w:cols w:space="708"/>
          <w:titlePg/>
          <w:docGrid w:linePitch="360"/>
        </w:sectPr>
      </w:pPr>
    </w:p>
    <w:p w:rsidR="006F3C11" w:rsidRPr="00215D8E" w:rsidRDefault="006F3C11" w:rsidP="00915822">
      <w:pPr>
        <w:pStyle w:val="ListParagraph"/>
        <w:ind w:left="0"/>
        <w:jc w:val="right"/>
        <w:rPr>
          <w:rFonts w:ascii="Arial" w:hAnsi="Arial" w:cs="Arial"/>
          <w:b/>
          <w:sz w:val="20"/>
          <w:szCs w:val="20"/>
          <w:lang w:val="fr-FR"/>
        </w:rPr>
      </w:pPr>
      <w:r w:rsidRPr="00215D8E">
        <w:rPr>
          <w:rFonts w:ascii="Arial" w:hAnsi="Arial" w:cs="Arial"/>
          <w:b/>
          <w:sz w:val="20"/>
          <w:szCs w:val="20"/>
          <w:lang w:val="fr-FR"/>
        </w:rPr>
        <w:t>Annexe</w:t>
      </w:r>
      <w:r w:rsidR="00F0616B">
        <w:rPr>
          <w:rFonts w:ascii="Arial" w:hAnsi="Arial" w:cs="Arial"/>
          <w:b/>
          <w:sz w:val="20"/>
          <w:szCs w:val="20"/>
          <w:lang w:val="fr-FR"/>
        </w:rPr>
        <w:t> </w:t>
      </w:r>
      <w:r w:rsidRPr="00215D8E">
        <w:rPr>
          <w:rFonts w:ascii="Arial" w:hAnsi="Arial" w:cs="Arial"/>
          <w:b/>
          <w:sz w:val="20"/>
          <w:szCs w:val="20"/>
          <w:lang w:val="fr-FR"/>
        </w:rPr>
        <w:t>2</w:t>
      </w:r>
    </w:p>
    <w:p w:rsidR="00141F63" w:rsidRPr="00915822" w:rsidRDefault="006C74D8" w:rsidP="00113DE1">
      <w:pPr>
        <w:pStyle w:val="ListParagraph"/>
        <w:ind w:left="0"/>
        <w:rPr>
          <w:rFonts w:ascii="Arial" w:hAnsi="Arial" w:cs="Arial"/>
          <w:lang w:val="fr-FR"/>
        </w:rPr>
      </w:pPr>
      <w:r w:rsidRPr="00113DE1">
        <w:rPr>
          <w:noProof/>
          <w:lang w:val="fr-FR" w:eastAsia="zh-CN"/>
        </w:rPr>
        <w:drawing>
          <wp:inline distT="0" distB="0" distL="0" distR="0">
            <wp:extent cx="8191500" cy="4676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91500" cy="4676775"/>
                    </a:xfrm>
                    <a:prstGeom prst="rect">
                      <a:avLst/>
                    </a:prstGeom>
                    <a:noFill/>
                    <a:ln>
                      <a:noFill/>
                    </a:ln>
                  </pic:spPr>
                </pic:pic>
              </a:graphicData>
            </a:graphic>
          </wp:inline>
        </w:drawing>
      </w:r>
    </w:p>
    <w:p w:rsidR="002500FE" w:rsidRPr="00215D8E" w:rsidRDefault="002500FE" w:rsidP="00113DE1">
      <w:pPr>
        <w:spacing w:before="60" w:after="60"/>
        <w:rPr>
          <w:rFonts w:ascii="Arial" w:hAnsi="Arial" w:cs="Arial"/>
          <w:i/>
          <w:sz w:val="14"/>
          <w:szCs w:val="14"/>
          <w:lang w:val="fr-FR" w:eastAsia="en-US"/>
        </w:rPr>
      </w:pPr>
      <w:r w:rsidRPr="00215D8E">
        <w:rPr>
          <w:rFonts w:ascii="Arial" w:hAnsi="Arial" w:cs="Arial"/>
          <w:i/>
          <w:sz w:val="14"/>
          <w:szCs w:val="14"/>
          <w:lang w:val="fr-FR" w:eastAsia="en-US"/>
        </w:rPr>
        <w:t>* Réduit aux dépenses effectives pour les projets terminés ou aux financements réellement reçus</w:t>
      </w:r>
    </w:p>
    <w:p w:rsidR="002500FE" w:rsidRPr="00915822" w:rsidRDefault="002500FE" w:rsidP="00113DE1">
      <w:pPr>
        <w:spacing w:before="60" w:after="60"/>
        <w:rPr>
          <w:rFonts w:ascii="Arial" w:hAnsi="Arial" w:cs="Arial"/>
          <w:i/>
          <w:sz w:val="14"/>
          <w:szCs w:val="14"/>
          <w:lang w:val="fr-FR" w:eastAsia="en-US"/>
        </w:rPr>
      </w:pPr>
      <w:r w:rsidRPr="0066056F">
        <w:rPr>
          <w:rFonts w:ascii="Arial" w:hAnsi="Arial" w:cs="Arial"/>
          <w:i/>
          <w:sz w:val="14"/>
          <w:szCs w:val="14"/>
          <w:lang w:val="fr-FR" w:eastAsia="en-US"/>
        </w:rPr>
        <w:t>** En attente de réception des fonds par l</w:t>
      </w:r>
      <w:r w:rsidRPr="00915822">
        <w:rPr>
          <w:rFonts w:ascii="Arial" w:hAnsi="Arial" w:cs="Arial"/>
          <w:i/>
          <w:sz w:val="14"/>
          <w:szCs w:val="14"/>
          <w:lang w:val="fr-FR" w:eastAsia="en-US"/>
        </w:rPr>
        <w:t>e(s) donateur(s)</w:t>
      </w:r>
    </w:p>
    <w:p w:rsidR="002500FE" w:rsidRPr="00915822" w:rsidRDefault="002500FE" w:rsidP="00113DE1">
      <w:pPr>
        <w:spacing w:before="60" w:after="60"/>
        <w:rPr>
          <w:rFonts w:ascii="Arial" w:hAnsi="Arial" w:cs="Arial"/>
          <w:i/>
          <w:sz w:val="14"/>
          <w:szCs w:val="14"/>
          <w:lang w:val="fr-FR" w:eastAsia="en-US"/>
        </w:rPr>
      </w:pPr>
      <w:r w:rsidRPr="00915822">
        <w:rPr>
          <w:rFonts w:ascii="Arial" w:hAnsi="Arial" w:cs="Arial"/>
          <w:i/>
          <w:sz w:val="14"/>
          <w:szCs w:val="14"/>
          <w:lang w:val="fr-FR" w:eastAsia="en-US"/>
        </w:rPr>
        <w:t>*** Dont une épargne nette de 20 040,61 dollars des États-Unis par la liquidation des obligations des années précédentes, comme suit :</w:t>
      </w:r>
    </w:p>
    <w:p w:rsidR="002500FE" w:rsidRPr="0066056F" w:rsidRDefault="002500FE" w:rsidP="00113DE1">
      <w:pPr>
        <w:spacing w:before="60" w:after="60"/>
        <w:ind w:left="284"/>
        <w:rPr>
          <w:rFonts w:ascii="Arial" w:hAnsi="Arial" w:cs="Arial"/>
          <w:i/>
          <w:sz w:val="14"/>
          <w:szCs w:val="14"/>
          <w:lang w:val="fr-FR" w:eastAsia="en-US"/>
        </w:rPr>
      </w:pPr>
      <w:r w:rsidRPr="00915822">
        <w:rPr>
          <w:rFonts w:ascii="Arial" w:hAnsi="Arial" w:cs="Arial"/>
          <w:i/>
          <w:sz w:val="14"/>
          <w:szCs w:val="14"/>
          <w:lang w:val="fr-FR" w:eastAsia="en-US"/>
        </w:rPr>
        <w:t>14</w:t>
      </w:r>
      <w:r w:rsidR="00F0616B">
        <w:rPr>
          <w:rFonts w:ascii="Arial" w:hAnsi="Arial" w:cs="Arial"/>
          <w:i/>
          <w:sz w:val="14"/>
          <w:szCs w:val="14"/>
          <w:lang w:val="fr-FR" w:eastAsia="en-US"/>
        </w:rPr>
        <w:t> </w:t>
      </w:r>
      <w:r w:rsidRPr="00915822">
        <w:rPr>
          <w:rFonts w:ascii="Arial" w:hAnsi="Arial" w:cs="Arial"/>
          <w:i/>
          <w:sz w:val="14"/>
          <w:szCs w:val="14"/>
          <w:lang w:val="fr-FR" w:eastAsia="en-US"/>
        </w:rPr>
        <w:t xml:space="preserve">648,74 dollars des États-Unis au titre du projet </w:t>
      </w:r>
      <w:r w:rsidR="00F0616B">
        <w:rPr>
          <w:rFonts w:ascii="Arial" w:hAnsi="Arial" w:cs="Arial"/>
          <w:i/>
          <w:sz w:val="14"/>
          <w:szCs w:val="14"/>
          <w:lang w:val="fr-FR" w:eastAsia="en-US"/>
        </w:rPr>
        <w:t>« </w:t>
      </w:r>
      <w:r w:rsidRPr="0066056F">
        <w:rPr>
          <w:rFonts w:ascii="Arial" w:hAnsi="Arial" w:cs="Arial"/>
          <w:i/>
          <w:sz w:val="14"/>
          <w:szCs w:val="14"/>
          <w:lang w:val="fr-FR" w:eastAsia="en-US"/>
        </w:rPr>
        <w:t>Pays PALOP</w:t>
      </w:r>
      <w:r w:rsidR="00F0616B">
        <w:rPr>
          <w:rFonts w:ascii="Arial" w:hAnsi="Arial" w:cs="Arial"/>
          <w:i/>
          <w:sz w:val="14"/>
          <w:szCs w:val="14"/>
          <w:lang w:val="fr-FR" w:eastAsia="en-US"/>
        </w:rPr>
        <w:t> »</w:t>
      </w:r>
    </w:p>
    <w:p w:rsidR="002500FE" w:rsidRPr="0066056F" w:rsidRDefault="002500FE" w:rsidP="00113DE1">
      <w:pPr>
        <w:spacing w:before="60" w:after="60"/>
        <w:ind w:left="284"/>
        <w:rPr>
          <w:rFonts w:ascii="Arial" w:hAnsi="Arial" w:cs="Arial"/>
          <w:i/>
          <w:sz w:val="14"/>
          <w:szCs w:val="14"/>
          <w:lang w:val="fr-FR" w:eastAsia="en-US"/>
        </w:rPr>
      </w:pPr>
      <w:r w:rsidRPr="00915822">
        <w:rPr>
          <w:rFonts w:ascii="Arial" w:hAnsi="Arial" w:cs="Arial"/>
          <w:i/>
          <w:sz w:val="14"/>
          <w:szCs w:val="14"/>
          <w:lang w:val="fr-FR" w:eastAsia="en-US"/>
        </w:rPr>
        <w:t xml:space="preserve">963,05 dollars des États-Unis au titre du projet </w:t>
      </w:r>
      <w:r w:rsidR="00F0616B">
        <w:rPr>
          <w:rFonts w:ascii="Arial" w:hAnsi="Arial" w:cs="Arial"/>
          <w:i/>
          <w:sz w:val="14"/>
          <w:szCs w:val="14"/>
          <w:lang w:val="fr-FR" w:eastAsia="en-US"/>
        </w:rPr>
        <w:t>« </w:t>
      </w:r>
      <w:r w:rsidRPr="0066056F">
        <w:rPr>
          <w:rFonts w:ascii="Arial" w:hAnsi="Arial" w:cs="Arial"/>
          <w:i/>
          <w:sz w:val="14"/>
          <w:szCs w:val="14"/>
          <w:lang w:val="fr-FR" w:eastAsia="en-US"/>
        </w:rPr>
        <w:t>Myanmar</w:t>
      </w:r>
      <w:r w:rsidR="00F0616B">
        <w:rPr>
          <w:rFonts w:ascii="Arial" w:hAnsi="Arial" w:cs="Arial"/>
          <w:i/>
          <w:sz w:val="14"/>
          <w:szCs w:val="14"/>
          <w:lang w:val="fr-FR" w:eastAsia="en-US"/>
        </w:rPr>
        <w:t> »</w:t>
      </w:r>
    </w:p>
    <w:p w:rsidR="002500FE" w:rsidRPr="0066056F" w:rsidRDefault="002500FE" w:rsidP="00113DE1">
      <w:pPr>
        <w:spacing w:before="60" w:after="60"/>
        <w:ind w:left="284"/>
        <w:rPr>
          <w:rFonts w:ascii="Arial" w:hAnsi="Arial" w:cs="Arial"/>
          <w:i/>
          <w:sz w:val="14"/>
          <w:szCs w:val="14"/>
          <w:lang w:val="fr-FR" w:eastAsia="en-US"/>
        </w:rPr>
      </w:pPr>
      <w:r w:rsidRPr="00915822">
        <w:rPr>
          <w:rFonts w:ascii="Arial" w:hAnsi="Arial" w:cs="Arial"/>
          <w:i/>
          <w:sz w:val="14"/>
          <w:szCs w:val="14"/>
          <w:lang w:val="fr-FR" w:eastAsia="en-US"/>
        </w:rPr>
        <w:t>1</w:t>
      </w:r>
      <w:r w:rsidR="00F0616B">
        <w:rPr>
          <w:rFonts w:ascii="Arial" w:hAnsi="Arial" w:cs="Arial"/>
          <w:i/>
          <w:sz w:val="14"/>
          <w:szCs w:val="14"/>
          <w:lang w:val="fr-FR" w:eastAsia="en-US"/>
        </w:rPr>
        <w:t> </w:t>
      </w:r>
      <w:r w:rsidRPr="00915822">
        <w:rPr>
          <w:rFonts w:ascii="Arial" w:hAnsi="Arial" w:cs="Arial"/>
          <w:i/>
          <w:sz w:val="14"/>
          <w:szCs w:val="14"/>
          <w:lang w:val="fr-FR" w:eastAsia="en-US"/>
        </w:rPr>
        <w:t xml:space="preserve">627,48 dollars des États-Unis au titre du projet </w:t>
      </w:r>
      <w:r w:rsidR="00F0616B">
        <w:rPr>
          <w:rFonts w:ascii="Arial" w:hAnsi="Arial" w:cs="Arial"/>
          <w:i/>
          <w:sz w:val="14"/>
          <w:szCs w:val="14"/>
          <w:lang w:val="fr-FR" w:eastAsia="en-US"/>
        </w:rPr>
        <w:t>« </w:t>
      </w:r>
      <w:r w:rsidRPr="0066056F">
        <w:rPr>
          <w:rFonts w:ascii="Arial" w:hAnsi="Arial" w:cs="Arial"/>
          <w:i/>
          <w:sz w:val="14"/>
          <w:szCs w:val="14"/>
          <w:lang w:val="fr-FR" w:eastAsia="en-US"/>
        </w:rPr>
        <w:t>Mauritanie, Maroc et Tunisie</w:t>
      </w:r>
      <w:r w:rsidR="00F0616B">
        <w:rPr>
          <w:rFonts w:ascii="Arial" w:hAnsi="Arial" w:cs="Arial"/>
          <w:i/>
          <w:sz w:val="14"/>
          <w:szCs w:val="14"/>
          <w:lang w:val="fr-FR" w:eastAsia="en-US"/>
        </w:rPr>
        <w:t> »</w:t>
      </w:r>
    </w:p>
    <w:p w:rsidR="002500FE" w:rsidRPr="0066056F" w:rsidRDefault="002500FE" w:rsidP="00113DE1">
      <w:pPr>
        <w:spacing w:before="60" w:after="60"/>
        <w:ind w:left="284"/>
        <w:rPr>
          <w:rFonts w:ascii="Arial" w:hAnsi="Arial" w:cs="Arial"/>
          <w:i/>
          <w:sz w:val="14"/>
          <w:szCs w:val="14"/>
          <w:lang w:val="fr-FR" w:eastAsia="en-US"/>
        </w:rPr>
      </w:pPr>
      <w:r w:rsidRPr="00915822">
        <w:rPr>
          <w:rFonts w:ascii="Arial" w:hAnsi="Arial" w:cs="Arial"/>
          <w:i/>
          <w:sz w:val="14"/>
          <w:szCs w:val="14"/>
          <w:lang w:val="fr-FR" w:eastAsia="en-US"/>
        </w:rPr>
        <w:t>2</w:t>
      </w:r>
      <w:r w:rsidR="00F0616B">
        <w:rPr>
          <w:rFonts w:ascii="Arial" w:hAnsi="Arial" w:cs="Arial"/>
          <w:i/>
          <w:sz w:val="14"/>
          <w:szCs w:val="14"/>
          <w:lang w:val="fr-FR" w:eastAsia="en-US"/>
        </w:rPr>
        <w:t> </w:t>
      </w:r>
      <w:r w:rsidRPr="00915822">
        <w:rPr>
          <w:rFonts w:ascii="Arial" w:hAnsi="Arial" w:cs="Arial"/>
          <w:i/>
          <w:sz w:val="14"/>
          <w:szCs w:val="14"/>
          <w:lang w:val="fr-FR" w:eastAsia="en-US"/>
        </w:rPr>
        <w:t xml:space="preserve">801,34 dollars des États-Unis au titre du projet </w:t>
      </w:r>
      <w:r w:rsidR="00F0616B">
        <w:rPr>
          <w:rFonts w:ascii="Arial" w:hAnsi="Arial" w:cs="Arial"/>
          <w:i/>
          <w:sz w:val="14"/>
          <w:szCs w:val="14"/>
          <w:lang w:val="fr-FR" w:eastAsia="en-US"/>
        </w:rPr>
        <w:t>« </w:t>
      </w:r>
      <w:r w:rsidRPr="0066056F">
        <w:rPr>
          <w:rFonts w:ascii="Arial" w:hAnsi="Arial" w:cs="Arial"/>
          <w:i/>
          <w:sz w:val="14"/>
          <w:szCs w:val="14"/>
          <w:lang w:val="fr-FR" w:eastAsia="en-US"/>
        </w:rPr>
        <w:t>Suriname et Antilles néerlandaises</w:t>
      </w:r>
      <w:r w:rsidR="00F0616B">
        <w:rPr>
          <w:rFonts w:ascii="Arial" w:hAnsi="Arial" w:cs="Arial"/>
          <w:i/>
          <w:sz w:val="14"/>
          <w:szCs w:val="14"/>
          <w:lang w:val="fr-FR" w:eastAsia="en-US"/>
        </w:rPr>
        <w:t> »</w:t>
      </w:r>
    </w:p>
    <w:p w:rsidR="002500FE" w:rsidRPr="00915822" w:rsidRDefault="002500FE" w:rsidP="00113DE1">
      <w:pPr>
        <w:spacing w:before="60" w:after="60"/>
        <w:rPr>
          <w:rFonts w:ascii="Arial" w:hAnsi="Arial" w:cs="Arial"/>
          <w:i/>
          <w:sz w:val="14"/>
          <w:szCs w:val="14"/>
          <w:lang w:val="fr-FR" w:eastAsia="en-US"/>
        </w:rPr>
      </w:pPr>
      <w:r w:rsidRPr="00915822">
        <w:rPr>
          <w:rFonts w:ascii="Arial" w:hAnsi="Arial" w:cs="Arial"/>
          <w:i/>
          <w:sz w:val="14"/>
          <w:szCs w:val="14"/>
          <w:lang w:val="fr-FR" w:eastAsia="en-US"/>
        </w:rPr>
        <w:t>Rapport financier publié par le Bureau de la gestion financière.</w:t>
      </w:r>
      <w:r w:rsidR="00F0616B">
        <w:rPr>
          <w:rFonts w:ascii="Arial" w:hAnsi="Arial" w:cs="Arial"/>
          <w:i/>
          <w:sz w:val="14"/>
          <w:szCs w:val="14"/>
          <w:lang w:val="fr-FR" w:eastAsia="en-US"/>
        </w:rPr>
        <w:br/>
      </w:r>
      <w:r w:rsidRPr="00915822">
        <w:rPr>
          <w:rFonts w:ascii="Arial" w:hAnsi="Arial" w:cs="Arial"/>
          <w:i/>
          <w:sz w:val="14"/>
          <w:szCs w:val="14"/>
          <w:lang w:val="fr-FR" w:eastAsia="en-US"/>
        </w:rPr>
        <w:t>Les totaux des revenus et des dépenses sont en conformité avec les registres financiers de l’UNESCO.</w:t>
      </w:r>
    </w:p>
    <w:p w:rsidR="00F0616B" w:rsidRPr="008C0AEA" w:rsidRDefault="00F0616B" w:rsidP="00141F63">
      <w:pPr>
        <w:spacing w:before="120"/>
        <w:ind w:right="391"/>
        <w:jc w:val="right"/>
        <w:rPr>
          <w:rFonts w:ascii="Arial" w:hAnsi="Arial" w:cs="Arial"/>
          <w:i/>
          <w:sz w:val="14"/>
          <w:szCs w:val="14"/>
          <w:lang w:val="fr-FR" w:eastAsia="en-US"/>
        </w:rPr>
        <w:sectPr w:rsidR="00F0616B" w:rsidRPr="008C0AEA" w:rsidSect="007B0FD1">
          <w:headerReference w:type="even" r:id="rId30"/>
          <w:headerReference w:type="default" r:id="rId31"/>
          <w:headerReference w:type="first" r:id="rId32"/>
          <w:pgSz w:w="16838" w:h="11906" w:orient="landscape" w:code="9"/>
          <w:pgMar w:top="1134" w:right="1134" w:bottom="1134" w:left="1418" w:header="397" w:footer="284" w:gutter="0"/>
          <w:cols w:space="708"/>
          <w:docGrid w:linePitch="360"/>
        </w:sectPr>
      </w:pPr>
    </w:p>
    <w:p w:rsidR="00141F63" w:rsidRPr="00215D8E" w:rsidRDefault="00141F63" w:rsidP="00052BE6">
      <w:pPr>
        <w:spacing w:before="120"/>
        <w:ind w:right="111"/>
        <w:jc w:val="right"/>
        <w:rPr>
          <w:rFonts w:ascii="Arial" w:hAnsi="Arial" w:cs="Arial"/>
          <w:b/>
          <w:sz w:val="22"/>
          <w:szCs w:val="22"/>
          <w:lang w:eastAsia="en-US"/>
        </w:rPr>
      </w:pPr>
      <w:r w:rsidRPr="00915822">
        <w:rPr>
          <w:rFonts w:ascii="Arial" w:hAnsi="Arial" w:cs="Arial"/>
          <w:b/>
          <w:sz w:val="22"/>
          <w:szCs w:val="22"/>
          <w:lang w:eastAsia="en-US"/>
        </w:rPr>
        <w:t>Annex</w:t>
      </w:r>
      <w:r w:rsidR="00F337DA" w:rsidRPr="00915822">
        <w:rPr>
          <w:rFonts w:ascii="Arial" w:hAnsi="Arial" w:cs="Arial"/>
          <w:b/>
          <w:sz w:val="22"/>
          <w:szCs w:val="22"/>
          <w:lang w:eastAsia="en-US"/>
        </w:rPr>
        <w:t>e</w:t>
      </w:r>
      <w:r w:rsidRPr="00915822">
        <w:rPr>
          <w:rFonts w:ascii="Arial" w:hAnsi="Arial" w:cs="Arial"/>
          <w:b/>
          <w:sz w:val="22"/>
          <w:szCs w:val="22"/>
          <w:lang w:eastAsia="en-US"/>
        </w:rPr>
        <w:t> 3</w:t>
      </w:r>
    </w:p>
    <w:p w:rsidR="00141F63" w:rsidRDefault="006C74D8" w:rsidP="00141F63">
      <w:pPr>
        <w:jc w:val="center"/>
      </w:pPr>
      <w:r w:rsidRPr="00B91E96">
        <w:rPr>
          <w:noProof/>
          <w:lang w:val="fr-FR" w:eastAsia="zh-CN"/>
        </w:rPr>
        <w:drawing>
          <wp:inline distT="0" distB="0" distL="0" distR="0">
            <wp:extent cx="9067800" cy="371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67800" cy="3714750"/>
                    </a:xfrm>
                    <a:prstGeom prst="rect">
                      <a:avLst/>
                    </a:prstGeom>
                    <a:noFill/>
                    <a:ln>
                      <a:noFill/>
                    </a:ln>
                  </pic:spPr>
                </pic:pic>
              </a:graphicData>
            </a:graphic>
          </wp:inline>
        </w:drawing>
      </w:r>
    </w:p>
    <w:p w:rsidR="006D1EEE" w:rsidRPr="0066056F" w:rsidRDefault="006D1EEE" w:rsidP="00CB1A2F">
      <w:pPr>
        <w:spacing w:before="600" w:after="60"/>
        <w:rPr>
          <w:rFonts w:ascii="Arial" w:hAnsi="Arial" w:cs="Arial"/>
          <w:sz w:val="18"/>
          <w:szCs w:val="18"/>
          <w:lang w:val="fr-FR"/>
        </w:rPr>
      </w:pPr>
      <w:r w:rsidRPr="00215D8E">
        <w:rPr>
          <w:rFonts w:ascii="Arial" w:hAnsi="Arial" w:cs="Arial"/>
          <w:sz w:val="18"/>
          <w:szCs w:val="18"/>
          <w:lang w:val="fr-FR"/>
        </w:rPr>
        <w:t xml:space="preserve">* Le financement de ces projets est inférieur au budget approuvé par le Comité. Les prévisions pour leur mise en œuvre sont basées sur le </w:t>
      </w:r>
      <w:r w:rsidRPr="0066056F">
        <w:rPr>
          <w:rFonts w:ascii="Arial" w:hAnsi="Arial" w:cs="Arial"/>
          <w:sz w:val="18"/>
          <w:szCs w:val="18"/>
          <w:lang w:val="fr-FR"/>
        </w:rPr>
        <w:t>financement réel reçu à ce jour.</w:t>
      </w:r>
    </w:p>
    <w:p w:rsidR="00141F63" w:rsidRPr="00CB1A2F" w:rsidRDefault="006D1EEE" w:rsidP="00CB1A2F">
      <w:pPr>
        <w:spacing w:before="60" w:after="60"/>
        <w:rPr>
          <w:rFonts w:ascii="Arial" w:hAnsi="Arial" w:cs="Arial"/>
          <w:sz w:val="18"/>
          <w:szCs w:val="18"/>
          <w:lang w:val="fr-FR"/>
        </w:rPr>
      </w:pPr>
      <w:r w:rsidRPr="00915822">
        <w:rPr>
          <w:rFonts w:ascii="Arial" w:hAnsi="Arial" w:cs="Arial"/>
          <w:sz w:val="18"/>
          <w:szCs w:val="18"/>
          <w:lang w:val="fr-FR"/>
        </w:rPr>
        <w:t xml:space="preserve">** La mise en œuvre de ces projets dans les délais prévus est sujette à la réception des contributions </w:t>
      </w:r>
      <w:r w:rsidR="00F0616B">
        <w:rPr>
          <w:rFonts w:ascii="Arial" w:hAnsi="Arial" w:cs="Arial"/>
          <w:sz w:val="18"/>
          <w:szCs w:val="18"/>
          <w:lang w:val="fr-FR"/>
        </w:rPr>
        <w:t xml:space="preserve">arriérées </w:t>
      </w:r>
      <w:r w:rsidR="00253978" w:rsidRPr="0066056F">
        <w:rPr>
          <w:rFonts w:ascii="Arial" w:hAnsi="Arial" w:cs="Arial"/>
          <w:sz w:val="18"/>
          <w:szCs w:val="18"/>
          <w:lang w:val="fr-FR"/>
        </w:rPr>
        <w:t>confirmées</w:t>
      </w:r>
      <w:r w:rsidR="00CB1A2F">
        <w:rPr>
          <w:rFonts w:ascii="Arial" w:hAnsi="Arial" w:cs="Arial"/>
          <w:sz w:val="18"/>
          <w:szCs w:val="18"/>
          <w:lang w:val="fr-FR"/>
        </w:rPr>
        <w:t>.</w:t>
      </w:r>
    </w:p>
    <w:sectPr w:rsidR="00141F63" w:rsidRPr="00CB1A2F" w:rsidSect="00915822">
      <w:pgSz w:w="16838" w:h="11906" w:orient="landscape" w:code="9"/>
      <w:pgMar w:top="1134" w:right="1134" w:bottom="1134" w:left="1418"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01" w:rsidRDefault="005E5D01" w:rsidP="002938F2">
      <w:r>
        <w:separator/>
      </w:r>
    </w:p>
  </w:endnote>
  <w:endnote w:type="continuationSeparator" w:id="0">
    <w:p w:rsidR="005E5D01" w:rsidRDefault="005E5D01"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01" w:rsidRDefault="005E5D01" w:rsidP="002938F2">
      <w:r>
        <w:separator/>
      </w:r>
    </w:p>
  </w:footnote>
  <w:footnote w:type="continuationSeparator" w:id="0">
    <w:p w:rsidR="005E5D01" w:rsidRDefault="005E5D01" w:rsidP="002938F2">
      <w:r>
        <w:continuationSeparator/>
      </w:r>
    </w:p>
  </w:footnote>
  <w:footnote w:id="1">
    <w:p w:rsidR="00141F63" w:rsidRPr="003742F3" w:rsidRDefault="00141F63" w:rsidP="00141F63">
      <w:pPr>
        <w:pStyle w:val="Paragraph"/>
        <w:tabs>
          <w:tab w:val="left" w:pos="567"/>
        </w:tabs>
        <w:spacing w:before="60" w:after="60"/>
        <w:ind w:left="567" w:hanging="567"/>
        <w:rPr>
          <w:color w:val="auto"/>
          <w:sz w:val="20"/>
          <w:szCs w:val="20"/>
        </w:rPr>
      </w:pPr>
      <w:r w:rsidRPr="003742F3">
        <w:rPr>
          <w:color w:val="auto"/>
        </w:rPr>
        <w:footnoteRef/>
      </w:r>
      <w:r w:rsidRPr="003742F3">
        <w:rPr>
          <w:color w:val="auto"/>
        </w:rPr>
        <w:t>.</w:t>
      </w:r>
      <w:r w:rsidRPr="003742F3">
        <w:rPr>
          <w:color w:val="auto"/>
          <w:sz w:val="20"/>
        </w:rPr>
        <w:tab/>
      </w:r>
      <w:r w:rsidRPr="003742F3">
        <w:rPr>
          <w:color w:val="auto"/>
          <w:sz w:val="20"/>
          <w:szCs w:val="20"/>
        </w:rPr>
        <w:t xml:space="preserve">Les chiffres sont arrondis au dollar supérieur </w:t>
      </w:r>
      <w:r w:rsidR="00D210CD" w:rsidRPr="003742F3">
        <w:rPr>
          <w:color w:val="auto"/>
          <w:sz w:val="20"/>
          <w:szCs w:val="20"/>
        </w:rPr>
        <w:t>par rapport</w:t>
      </w:r>
      <w:r w:rsidR="00BA67D6" w:rsidRPr="003742F3">
        <w:rPr>
          <w:color w:val="auto"/>
          <w:sz w:val="20"/>
          <w:szCs w:val="20"/>
        </w:rPr>
        <w:t xml:space="preserve"> à</w:t>
      </w:r>
      <w:r w:rsidR="00D210CD" w:rsidRPr="003742F3">
        <w:rPr>
          <w:color w:val="auto"/>
          <w:sz w:val="20"/>
          <w:szCs w:val="20"/>
        </w:rPr>
        <w:t xml:space="preserve"> </w:t>
      </w:r>
      <w:r w:rsidRPr="003742F3">
        <w:rPr>
          <w:color w:val="auto"/>
          <w:sz w:val="20"/>
          <w:szCs w:val="20"/>
        </w:rPr>
        <w:t>l</w:t>
      </w:r>
      <w:r w:rsidR="003742F3">
        <w:rPr>
          <w:color w:val="auto"/>
          <w:sz w:val="20"/>
          <w:szCs w:val="20"/>
        </w:rPr>
        <w:t>’</w:t>
      </w:r>
      <w:r w:rsidR="00D210CD" w:rsidRPr="003742F3">
        <w:rPr>
          <w:rStyle w:val="Hyperlink"/>
          <w:color w:val="auto"/>
          <w:sz w:val="20"/>
          <w:u w:val="none"/>
        </w:rPr>
        <w:t>É</w:t>
      </w:r>
      <w:r w:rsidRPr="003742F3">
        <w:rPr>
          <w:color w:val="auto"/>
          <w:sz w:val="20"/>
          <w:szCs w:val="20"/>
        </w:rPr>
        <w:t>tat financier I, page 6.</w:t>
      </w:r>
    </w:p>
  </w:footnote>
  <w:footnote w:id="2">
    <w:p w:rsidR="00141F63" w:rsidRPr="003742F3" w:rsidRDefault="00141F63" w:rsidP="00141F63">
      <w:pPr>
        <w:pStyle w:val="Paragraph"/>
        <w:tabs>
          <w:tab w:val="left" w:pos="567"/>
        </w:tabs>
        <w:spacing w:before="60" w:after="60"/>
        <w:ind w:left="567" w:hanging="567"/>
        <w:rPr>
          <w:color w:val="auto"/>
          <w:sz w:val="20"/>
          <w:szCs w:val="20"/>
        </w:rPr>
      </w:pPr>
      <w:r w:rsidRPr="003742F3">
        <w:rPr>
          <w:color w:val="auto"/>
          <w:sz w:val="20"/>
          <w:szCs w:val="20"/>
        </w:rPr>
        <w:footnoteRef/>
      </w:r>
      <w:r w:rsidRPr="003742F3">
        <w:rPr>
          <w:color w:val="auto"/>
          <w:sz w:val="20"/>
          <w:szCs w:val="20"/>
        </w:rPr>
        <w:t>.</w:t>
      </w:r>
      <w:r w:rsidRPr="003742F3">
        <w:rPr>
          <w:color w:val="auto"/>
          <w:sz w:val="20"/>
          <w:szCs w:val="20"/>
        </w:rPr>
        <w:tab/>
        <w:t>Dans l</w:t>
      </w:r>
      <w:r w:rsidR="003742F3">
        <w:rPr>
          <w:color w:val="auto"/>
          <w:sz w:val="20"/>
          <w:szCs w:val="20"/>
        </w:rPr>
        <w:t>’</w:t>
      </w:r>
      <w:r w:rsidR="008773C3" w:rsidRPr="003742F3">
        <w:rPr>
          <w:color w:val="auto"/>
          <w:sz w:val="20"/>
          <w:szCs w:val="20"/>
        </w:rPr>
        <w:t>État financier</w:t>
      </w:r>
      <w:r w:rsidRPr="003742F3">
        <w:rPr>
          <w:color w:val="auto"/>
          <w:sz w:val="20"/>
          <w:szCs w:val="20"/>
        </w:rPr>
        <w:t xml:space="preserve"> I, les contributions </w:t>
      </w:r>
      <w:r w:rsidR="003136ED" w:rsidRPr="003742F3">
        <w:rPr>
          <w:color w:val="auto"/>
          <w:sz w:val="20"/>
          <w:szCs w:val="20"/>
        </w:rPr>
        <w:t xml:space="preserve">règlementaires </w:t>
      </w:r>
      <w:r w:rsidRPr="003742F3">
        <w:rPr>
          <w:color w:val="auto"/>
          <w:sz w:val="20"/>
          <w:szCs w:val="20"/>
        </w:rPr>
        <w:t>obligatoires pour la période allant de janvier 2016 à juin 2016 figurent en tant que revenus, qu’elles aient été reçues ou non ; l</w:t>
      </w:r>
      <w:r w:rsidR="003742F3">
        <w:rPr>
          <w:color w:val="auto"/>
          <w:sz w:val="20"/>
          <w:szCs w:val="20"/>
        </w:rPr>
        <w:t>’</w:t>
      </w:r>
      <w:r w:rsidR="00CE0A61" w:rsidRPr="003742F3">
        <w:rPr>
          <w:rStyle w:val="Hyperlink"/>
          <w:color w:val="auto"/>
          <w:sz w:val="20"/>
          <w:u w:val="none"/>
        </w:rPr>
        <w:t>É</w:t>
      </w:r>
      <w:r w:rsidRPr="003742F3">
        <w:rPr>
          <w:color w:val="auto"/>
          <w:sz w:val="20"/>
          <w:szCs w:val="20"/>
        </w:rPr>
        <w:t xml:space="preserve">tat financier II montre quant à lui que le montant impayé dû par les États parties au 30 juin 2016 était de 1 289 625 dollars des États-Unis. Les contributions </w:t>
      </w:r>
      <w:r w:rsidR="003136ED" w:rsidRPr="003742F3">
        <w:rPr>
          <w:color w:val="auto"/>
          <w:sz w:val="20"/>
          <w:szCs w:val="20"/>
        </w:rPr>
        <w:t xml:space="preserve">règlementaires </w:t>
      </w:r>
      <w:r w:rsidRPr="003742F3">
        <w:rPr>
          <w:color w:val="auto"/>
          <w:sz w:val="20"/>
          <w:szCs w:val="20"/>
        </w:rPr>
        <w:t xml:space="preserve">volontaires apparaissent en tant que revenus uniquement </w:t>
      </w:r>
      <w:r w:rsidR="00CE0A61" w:rsidRPr="003742F3">
        <w:rPr>
          <w:color w:val="auto"/>
          <w:sz w:val="20"/>
          <w:szCs w:val="20"/>
        </w:rPr>
        <w:t>au moment de l’encaissement.</w:t>
      </w:r>
    </w:p>
  </w:footnote>
  <w:footnote w:id="3">
    <w:p w:rsidR="00141F63" w:rsidRPr="00806B17" w:rsidRDefault="00141F63" w:rsidP="00141F63">
      <w:pPr>
        <w:pStyle w:val="Paragraph"/>
        <w:tabs>
          <w:tab w:val="left" w:pos="567"/>
        </w:tabs>
        <w:spacing w:before="60" w:after="60"/>
        <w:ind w:left="567" w:hanging="567"/>
        <w:rPr>
          <w:rStyle w:val="FootnoteReference"/>
          <w:sz w:val="20"/>
          <w:szCs w:val="20"/>
        </w:rPr>
      </w:pPr>
      <w:r w:rsidRPr="003742F3">
        <w:rPr>
          <w:color w:val="auto"/>
          <w:sz w:val="20"/>
          <w:szCs w:val="20"/>
        </w:rPr>
        <w:footnoteRef/>
      </w:r>
      <w:r w:rsidRPr="003742F3">
        <w:rPr>
          <w:color w:val="auto"/>
          <w:sz w:val="20"/>
          <w:szCs w:val="20"/>
        </w:rPr>
        <w:t>.</w:t>
      </w:r>
      <w:r w:rsidRPr="003742F3">
        <w:rPr>
          <w:color w:val="auto"/>
          <w:sz w:val="20"/>
          <w:szCs w:val="20"/>
        </w:rPr>
        <w:tab/>
        <w:t>Depuis sa création en 2010, le sous-fonds a reçu des contributions d</w:t>
      </w:r>
      <w:r w:rsidR="003742F3">
        <w:rPr>
          <w:color w:val="auto"/>
          <w:sz w:val="20"/>
          <w:szCs w:val="20"/>
        </w:rPr>
        <w:t>’</w:t>
      </w:r>
      <w:r w:rsidRPr="003742F3">
        <w:rPr>
          <w:color w:val="auto"/>
          <w:sz w:val="20"/>
          <w:szCs w:val="20"/>
        </w:rPr>
        <w:t>un montant total de 1 477 </w:t>
      </w:r>
      <w:r w:rsidR="00625FFE" w:rsidRPr="003742F3">
        <w:rPr>
          <w:color w:val="auto"/>
          <w:sz w:val="20"/>
          <w:szCs w:val="20"/>
        </w:rPr>
        <w:t>795 </w:t>
      </w:r>
      <w:r w:rsidRPr="003742F3">
        <w:rPr>
          <w:color w:val="auto"/>
          <w:sz w:val="20"/>
          <w:szCs w:val="20"/>
        </w:rPr>
        <w:t>dollars des États-Unis, soit un peu plus d'un cinquième des besoins identifiés pour la période 2010-2016 (6 600 000 dollars des États-Unis).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63" w:rsidRPr="008029F3" w:rsidRDefault="00141F63">
    <w:pPr>
      <w:pStyle w:val="Header"/>
      <w:rPr>
        <w:rFonts w:ascii="Arial" w:hAnsi="Arial" w:cs="Arial"/>
        <w:lang w:val="en-US"/>
      </w:rPr>
    </w:pPr>
    <w:r w:rsidRPr="008142AE">
      <w:rPr>
        <w:rFonts w:ascii="Arial" w:hAnsi="Arial" w:cs="Arial"/>
        <w:sz w:val="20"/>
        <w:szCs w:val="20"/>
        <w:lang w:val="en-US"/>
      </w:rPr>
      <w:t>ITH/16/11.COM/INF.5</w:t>
    </w:r>
    <w:r w:rsidRPr="00A43442">
      <w:rPr>
        <w:rFonts w:ascii="Arial" w:hAnsi="Arial" w:cs="Arial"/>
        <w:sz w:val="20"/>
        <w:szCs w:val="20"/>
        <w:lang w:val="en-US"/>
      </w:rPr>
      <w:t xml:space="preserve"> – page </w:t>
    </w:r>
    <w:r w:rsidR="005B4A98" w:rsidRPr="00A43442">
      <w:rPr>
        <w:rStyle w:val="PageNumber"/>
        <w:rFonts w:ascii="Arial" w:hAnsi="Arial" w:cs="Arial"/>
        <w:sz w:val="20"/>
        <w:szCs w:val="20"/>
      </w:rPr>
      <w:fldChar w:fldCharType="begin"/>
    </w:r>
    <w:r w:rsidRPr="00A43442">
      <w:rPr>
        <w:rStyle w:val="PageNumber"/>
        <w:rFonts w:ascii="Arial" w:hAnsi="Arial" w:cs="Arial"/>
        <w:sz w:val="20"/>
        <w:szCs w:val="20"/>
        <w:lang w:val="en-US"/>
      </w:rPr>
      <w:instrText xml:space="preserve"> PAGE </w:instrText>
    </w:r>
    <w:r w:rsidR="005B4A98" w:rsidRPr="00A43442">
      <w:rPr>
        <w:rStyle w:val="PageNumber"/>
        <w:rFonts w:ascii="Arial" w:hAnsi="Arial" w:cs="Arial"/>
        <w:sz w:val="20"/>
        <w:szCs w:val="20"/>
      </w:rPr>
      <w:fldChar w:fldCharType="separate"/>
    </w:r>
    <w:r w:rsidR="006C74D8">
      <w:rPr>
        <w:rStyle w:val="PageNumber"/>
        <w:rFonts w:ascii="Arial" w:hAnsi="Arial" w:cs="Arial"/>
        <w:noProof/>
        <w:sz w:val="20"/>
        <w:szCs w:val="20"/>
        <w:lang w:val="en-US"/>
      </w:rPr>
      <w:t>2</w:t>
    </w:r>
    <w:r w:rsidR="005B4A98" w:rsidRPr="00A43442">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63" w:rsidRPr="008029F3" w:rsidRDefault="00141F63" w:rsidP="00D3691A">
    <w:pPr>
      <w:pStyle w:val="Header"/>
      <w:jc w:val="right"/>
      <w:rPr>
        <w:rFonts w:ascii="Arial" w:hAnsi="Arial" w:cs="Arial"/>
        <w:lang w:val="en-US"/>
      </w:rPr>
    </w:pPr>
    <w:r w:rsidRPr="008142AE">
      <w:rPr>
        <w:rFonts w:ascii="Arial" w:hAnsi="Arial" w:cs="Arial"/>
        <w:sz w:val="20"/>
        <w:szCs w:val="20"/>
        <w:lang w:val="en-US"/>
      </w:rPr>
      <w:t>ITH/16/11.COM/INF.5</w:t>
    </w:r>
    <w:r w:rsidRPr="00EF563B">
      <w:rPr>
        <w:rFonts w:ascii="Arial" w:hAnsi="Arial" w:cs="Arial"/>
        <w:sz w:val="20"/>
        <w:szCs w:val="20"/>
        <w:lang w:val="en-US"/>
      </w:rPr>
      <w:t xml:space="preserve"> – page </w:t>
    </w:r>
    <w:r w:rsidR="005B4A98" w:rsidRPr="00EF563B">
      <w:rPr>
        <w:rStyle w:val="PageNumber"/>
        <w:rFonts w:ascii="Arial" w:hAnsi="Arial" w:cs="Arial"/>
        <w:sz w:val="20"/>
        <w:szCs w:val="20"/>
      </w:rPr>
      <w:fldChar w:fldCharType="begin"/>
    </w:r>
    <w:r>
      <w:rPr>
        <w:rStyle w:val="PageNumber"/>
        <w:rFonts w:ascii="Arial" w:hAnsi="Arial" w:cs="Arial"/>
        <w:sz w:val="20"/>
        <w:szCs w:val="20"/>
        <w:lang w:val="en-US"/>
      </w:rPr>
      <w:instrText>PAGE</w:instrText>
    </w:r>
    <w:r w:rsidR="005B4A98" w:rsidRPr="00EF563B">
      <w:rPr>
        <w:rStyle w:val="PageNumber"/>
        <w:rFonts w:ascii="Arial" w:hAnsi="Arial" w:cs="Arial"/>
        <w:sz w:val="20"/>
        <w:szCs w:val="20"/>
      </w:rPr>
      <w:fldChar w:fldCharType="separate"/>
    </w:r>
    <w:r w:rsidR="00113DE1">
      <w:rPr>
        <w:rStyle w:val="PageNumber"/>
        <w:rFonts w:ascii="Arial" w:hAnsi="Arial" w:cs="Arial"/>
        <w:noProof/>
        <w:sz w:val="20"/>
        <w:szCs w:val="20"/>
        <w:lang w:val="en-US"/>
      </w:rPr>
      <w:t>9</w:t>
    </w:r>
    <w:r w:rsidR="005B4A98"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63" w:rsidRPr="00915822" w:rsidRDefault="006C74D8" w:rsidP="00D3691A">
    <w:pPr>
      <w:pStyle w:val="Header"/>
      <w:tabs>
        <w:tab w:val="left" w:pos="709"/>
      </w:tabs>
      <w:rPr>
        <w:lang w:val="fr-FR"/>
      </w:rPr>
    </w:pPr>
    <w:r w:rsidRPr="00915822">
      <w:rPr>
        <w:noProof/>
        <w:lang w:val="fr-FR" w:eastAsia="zh-CN"/>
      </w:rPr>
      <w:drawing>
        <wp:anchor distT="0" distB="0" distL="114300" distR="114300" simplePos="0" relativeHeight="251657728" behindDoc="0" locked="0" layoutInCell="1" allowOverlap="1">
          <wp:simplePos x="0" y="0"/>
          <wp:positionH relativeFrom="column">
            <wp:posOffset>-377825</wp:posOffset>
          </wp:positionH>
          <wp:positionV relativeFrom="page">
            <wp:posOffset>255905</wp:posOffset>
          </wp:positionV>
          <wp:extent cx="2038350" cy="1529080"/>
          <wp:effectExtent l="0" t="0" r="0" b="0"/>
          <wp:wrapNone/>
          <wp:docPr id="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F63" w:rsidRPr="00915822" w:rsidRDefault="00141F63" w:rsidP="002938F2">
    <w:pPr>
      <w:pStyle w:val="Header"/>
      <w:spacing w:after="520"/>
      <w:jc w:val="right"/>
      <w:rPr>
        <w:rFonts w:ascii="Arial" w:hAnsi="Arial" w:cs="Arial"/>
        <w:b/>
        <w:sz w:val="44"/>
        <w:szCs w:val="44"/>
        <w:lang w:val="fr-FR"/>
      </w:rPr>
    </w:pPr>
    <w:r w:rsidRPr="00915822">
      <w:rPr>
        <w:rFonts w:ascii="Arial" w:hAnsi="Arial" w:cs="Arial"/>
        <w:b/>
        <w:sz w:val="44"/>
        <w:szCs w:val="44"/>
        <w:lang w:val="fr-FR"/>
      </w:rPr>
      <w:t>11 COM</w:t>
    </w:r>
  </w:p>
  <w:p w:rsidR="00141F63" w:rsidRPr="00055F51" w:rsidRDefault="00141F63" w:rsidP="00D3691A">
    <w:pPr>
      <w:jc w:val="right"/>
      <w:rPr>
        <w:rFonts w:ascii="Arial" w:hAnsi="Arial" w:cs="Arial"/>
        <w:b/>
        <w:sz w:val="22"/>
        <w:szCs w:val="22"/>
        <w:lang w:val="fr-FR"/>
      </w:rPr>
    </w:pPr>
    <w:r w:rsidRPr="00055F51">
      <w:rPr>
        <w:rFonts w:ascii="Arial" w:hAnsi="Arial" w:cs="Arial"/>
        <w:b/>
        <w:sz w:val="22"/>
        <w:szCs w:val="22"/>
        <w:lang w:val="fr-FR"/>
      </w:rPr>
      <w:t>ITH/16/11.COM/INF.5</w:t>
    </w:r>
  </w:p>
  <w:p w:rsidR="00141F63" w:rsidRPr="00055F51" w:rsidRDefault="00141F63" w:rsidP="00D3691A">
    <w:pPr>
      <w:jc w:val="right"/>
      <w:rPr>
        <w:rFonts w:ascii="Arial" w:hAnsi="Arial" w:cs="Arial"/>
        <w:b/>
        <w:sz w:val="22"/>
        <w:szCs w:val="22"/>
        <w:lang w:val="fr-FR"/>
      </w:rPr>
    </w:pPr>
    <w:r w:rsidRPr="00055F51">
      <w:rPr>
        <w:rFonts w:ascii="Arial" w:hAnsi="Arial" w:cs="Arial"/>
        <w:b/>
        <w:sz w:val="22"/>
        <w:szCs w:val="22"/>
        <w:lang w:val="fr-FR"/>
      </w:rPr>
      <w:t xml:space="preserve">Paris, </w:t>
    </w:r>
    <w:r w:rsidR="00611347" w:rsidRPr="00055F51">
      <w:rPr>
        <w:rFonts w:ascii="Arial" w:hAnsi="Arial" w:cs="Arial"/>
        <w:b/>
        <w:sz w:val="22"/>
        <w:szCs w:val="22"/>
        <w:lang w:val="fr-FR"/>
      </w:rPr>
      <w:t>31 octobre </w:t>
    </w:r>
    <w:r w:rsidRPr="00055F51">
      <w:rPr>
        <w:rFonts w:ascii="Arial" w:hAnsi="Arial" w:cs="Arial"/>
        <w:b/>
        <w:sz w:val="22"/>
        <w:szCs w:val="22"/>
        <w:lang w:val="fr-FR"/>
      </w:rPr>
      <w:t>2016</w:t>
    </w:r>
  </w:p>
  <w:p w:rsidR="00141F63" w:rsidRPr="00055F51" w:rsidRDefault="00141F63" w:rsidP="00880136">
    <w:pPr>
      <w:jc w:val="right"/>
      <w:rPr>
        <w:rFonts w:ascii="Arial" w:hAnsi="Arial" w:cs="Arial"/>
        <w:b/>
        <w:sz w:val="22"/>
        <w:szCs w:val="22"/>
        <w:lang w:val="fr-FR"/>
      </w:rPr>
    </w:pPr>
    <w:r w:rsidRPr="00055F51">
      <w:rPr>
        <w:rFonts w:ascii="Arial" w:hAnsi="Arial" w:cs="Arial"/>
        <w:b/>
        <w:sz w:val="22"/>
        <w:szCs w:val="22"/>
        <w:lang w:val="fr-FR"/>
      </w:rPr>
      <w:t xml:space="preserve">Original: </w:t>
    </w:r>
    <w:r w:rsidR="000B0071" w:rsidRPr="00055F51">
      <w:rPr>
        <w:rFonts w:ascii="Arial" w:hAnsi="Arial" w:cs="Arial"/>
        <w:b/>
        <w:sz w:val="22"/>
        <w:szCs w:val="22"/>
        <w:lang w:val="fr-FR"/>
      </w:rPr>
      <w:t>anglais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Pr="00141F63" w:rsidRDefault="00BA3560">
    <w:pPr>
      <w:pStyle w:val="Header"/>
      <w:rPr>
        <w:rFonts w:ascii="Arial" w:hAnsi="Arial" w:cs="Arial"/>
        <w:sz w:val="20"/>
        <w:szCs w:val="20"/>
        <w:lang w:val="fr-FR"/>
      </w:rPr>
    </w:pPr>
    <w:r>
      <w:rPr>
        <w:rFonts w:ascii="Arial" w:hAnsi="Arial" w:cs="Arial"/>
        <w:sz w:val="20"/>
        <w:szCs w:val="20"/>
        <w:lang w:val="fr-FR"/>
      </w:rPr>
      <w:t>ITH/16</w:t>
    </w:r>
    <w:r w:rsidR="00210652" w:rsidRPr="00290AA9">
      <w:rPr>
        <w:rFonts w:ascii="Arial" w:hAnsi="Arial" w:cs="Arial"/>
        <w:sz w:val="20"/>
        <w:szCs w:val="20"/>
        <w:lang w:val="fr-FR"/>
      </w:rPr>
      <w:t>/</w:t>
    </w:r>
    <w:r>
      <w:rPr>
        <w:rFonts w:ascii="Arial" w:hAnsi="Arial" w:cs="Arial"/>
        <w:sz w:val="20"/>
        <w:szCs w:val="20"/>
        <w:lang w:val="fr-FR"/>
      </w:rPr>
      <w:t>11</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141F63">
      <w:rPr>
        <w:rFonts w:ascii="Arial" w:hAnsi="Arial" w:cs="Arial"/>
        <w:sz w:val="20"/>
        <w:szCs w:val="20"/>
        <w:lang w:val="fr-FR"/>
      </w:rPr>
      <w:t>5</w:t>
    </w:r>
    <w:r w:rsidR="00210652" w:rsidRPr="00290AA9">
      <w:rPr>
        <w:rFonts w:ascii="Arial" w:hAnsi="Arial" w:cs="Arial"/>
        <w:sz w:val="20"/>
        <w:szCs w:val="20"/>
        <w:lang w:val="fr-FR"/>
      </w:rPr>
      <w:t xml:space="preserve"> – page </w:t>
    </w:r>
    <w:r w:rsidR="005B4A98"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5B4A98" w:rsidRPr="00290AA9">
      <w:rPr>
        <w:rStyle w:val="PageNumber"/>
        <w:rFonts w:ascii="Arial" w:hAnsi="Arial" w:cs="Arial"/>
        <w:sz w:val="20"/>
        <w:szCs w:val="20"/>
        <w:lang w:val="fr-FR"/>
      </w:rPr>
      <w:fldChar w:fldCharType="separate"/>
    </w:r>
    <w:r w:rsidR="00113DE1">
      <w:rPr>
        <w:rStyle w:val="PageNumber"/>
        <w:rFonts w:ascii="Arial" w:hAnsi="Arial" w:cs="Arial"/>
        <w:noProof/>
        <w:sz w:val="20"/>
        <w:szCs w:val="20"/>
        <w:lang w:val="fr-FR"/>
      </w:rPr>
      <w:t>12</w:t>
    </w:r>
    <w:r w:rsidR="005B4A98" w:rsidRPr="00290AA9">
      <w:rPr>
        <w:rStyle w:val="PageNumber"/>
        <w:rFonts w:ascii="Arial" w:hAnsi="Arial" w:cs="Arial"/>
        <w:sz w:val="20"/>
        <w:szCs w:val="20"/>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Pr="007B0FD1" w:rsidRDefault="001A457E" w:rsidP="007B0FD1">
    <w:pPr>
      <w:pStyle w:val="Header"/>
      <w:jc w:val="right"/>
      <w:rPr>
        <w:rFonts w:ascii="Arial" w:hAnsi="Arial" w:cs="Arial"/>
      </w:rPr>
    </w:pPr>
    <w:r>
      <w:rPr>
        <w:rFonts w:ascii="Arial" w:hAnsi="Arial" w:cs="Arial"/>
        <w:sz w:val="20"/>
        <w:szCs w:val="20"/>
        <w:lang w:val="en-US"/>
      </w:rPr>
      <w:t>ITH/16/11</w:t>
    </w:r>
    <w:r w:rsidR="00074CE1">
      <w:rPr>
        <w:rFonts w:ascii="Arial" w:hAnsi="Arial" w:cs="Arial"/>
        <w:sz w:val="20"/>
        <w:szCs w:val="20"/>
        <w:lang w:val="en-US"/>
      </w:rPr>
      <w:t>.COM</w:t>
    </w:r>
    <w:r w:rsidR="00DF2146">
      <w:rPr>
        <w:rFonts w:ascii="Arial" w:hAnsi="Arial" w:cs="Arial"/>
        <w:sz w:val="20"/>
        <w:szCs w:val="20"/>
        <w:lang w:val="en-US"/>
      </w:rPr>
      <w:t>/INF.</w:t>
    </w:r>
    <w:r w:rsidR="00141F63">
      <w:rPr>
        <w:rFonts w:ascii="Arial" w:hAnsi="Arial" w:cs="Arial"/>
        <w:sz w:val="20"/>
        <w:szCs w:val="20"/>
        <w:lang w:val="en-US"/>
      </w:rPr>
      <w:t>5</w:t>
    </w:r>
    <w:r w:rsidR="00DF2146" w:rsidRPr="00EF563B">
      <w:rPr>
        <w:rFonts w:ascii="Arial" w:hAnsi="Arial" w:cs="Arial"/>
        <w:sz w:val="20"/>
        <w:szCs w:val="20"/>
        <w:lang w:val="en-US"/>
      </w:rPr>
      <w:t xml:space="preserve">– page </w:t>
    </w:r>
    <w:r w:rsidR="005B4A98" w:rsidRPr="00EF563B">
      <w:rPr>
        <w:rStyle w:val="PageNumber"/>
        <w:rFonts w:ascii="Arial" w:hAnsi="Arial" w:cs="Arial"/>
        <w:sz w:val="20"/>
        <w:szCs w:val="20"/>
      </w:rPr>
      <w:fldChar w:fldCharType="begin"/>
    </w:r>
    <w:r w:rsidR="00DF2146">
      <w:rPr>
        <w:rStyle w:val="PageNumber"/>
        <w:rFonts w:ascii="Arial" w:hAnsi="Arial" w:cs="Arial"/>
        <w:sz w:val="20"/>
        <w:szCs w:val="20"/>
        <w:lang w:val="en-US"/>
      </w:rPr>
      <w:instrText>PAGE</w:instrText>
    </w:r>
    <w:r w:rsidR="005B4A98" w:rsidRPr="00EF563B">
      <w:rPr>
        <w:rStyle w:val="PageNumber"/>
        <w:rFonts w:ascii="Arial" w:hAnsi="Arial" w:cs="Arial"/>
        <w:sz w:val="20"/>
        <w:szCs w:val="20"/>
      </w:rPr>
      <w:fldChar w:fldCharType="separate"/>
    </w:r>
    <w:r w:rsidR="00113DE1">
      <w:rPr>
        <w:rStyle w:val="PageNumber"/>
        <w:rFonts w:ascii="Arial" w:hAnsi="Arial" w:cs="Arial"/>
        <w:noProof/>
        <w:sz w:val="20"/>
        <w:szCs w:val="20"/>
        <w:lang w:val="en-US"/>
      </w:rPr>
      <w:t>11</w:t>
    </w:r>
    <w:r w:rsidR="005B4A98" w:rsidRPr="00EF563B">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79" w:rsidRPr="00915822" w:rsidRDefault="009275F6" w:rsidP="007B0FD1">
    <w:pPr>
      <w:pStyle w:val="Header"/>
      <w:rPr>
        <w:rFonts w:ascii="Arial" w:hAnsi="Arial" w:cs="Arial"/>
        <w:lang w:val="fr-FR"/>
      </w:rPr>
    </w:pPr>
    <w:r w:rsidRPr="00915822">
      <w:rPr>
        <w:rFonts w:ascii="Arial" w:hAnsi="Arial" w:cs="Arial"/>
        <w:sz w:val="20"/>
        <w:szCs w:val="20"/>
        <w:lang w:val="fr-FR"/>
      </w:rPr>
      <w:t xml:space="preserve">ITH/16/11.COM/INF.5 – page </w:t>
    </w:r>
    <w:r w:rsidRPr="00915822">
      <w:rPr>
        <w:rStyle w:val="PageNumber"/>
        <w:rFonts w:ascii="Arial" w:hAnsi="Arial" w:cs="Arial"/>
        <w:sz w:val="20"/>
        <w:szCs w:val="20"/>
        <w:lang w:val="fr-FR"/>
      </w:rPr>
      <w:fldChar w:fldCharType="begin"/>
    </w:r>
    <w:r w:rsidRPr="00915822">
      <w:rPr>
        <w:rStyle w:val="PageNumber"/>
        <w:rFonts w:ascii="Arial" w:hAnsi="Arial" w:cs="Arial"/>
        <w:sz w:val="20"/>
        <w:szCs w:val="20"/>
        <w:lang w:val="fr-FR"/>
      </w:rPr>
      <w:instrText xml:space="preserve"> PAGE </w:instrText>
    </w:r>
    <w:r w:rsidRPr="00915822">
      <w:rPr>
        <w:rStyle w:val="PageNumber"/>
        <w:rFonts w:ascii="Arial" w:hAnsi="Arial" w:cs="Arial"/>
        <w:sz w:val="20"/>
        <w:szCs w:val="20"/>
        <w:lang w:val="fr-FR"/>
      </w:rPr>
      <w:fldChar w:fldCharType="separate"/>
    </w:r>
    <w:r w:rsidR="00113DE1">
      <w:rPr>
        <w:rStyle w:val="PageNumber"/>
        <w:rFonts w:ascii="Arial" w:hAnsi="Arial" w:cs="Arial"/>
        <w:noProof/>
        <w:sz w:val="20"/>
        <w:szCs w:val="20"/>
        <w:lang w:val="fr-FR"/>
      </w:rPr>
      <w:t>12</w:t>
    </w:r>
    <w:r w:rsidRPr="00915822">
      <w:rPr>
        <w:rStyle w:val="PageNumber"/>
        <w:rFonts w:ascii="Arial" w:hAnsi="Arial" w:cs="Arial"/>
        <w:sz w:val="20"/>
        <w:szCs w:val="20"/>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41BD40C5"/>
    <w:multiLevelType w:val="hybridMultilevel"/>
    <w:tmpl w:val="B9E64288"/>
    <w:lvl w:ilvl="0" w:tplc="FFFFFFFF">
      <w:start w:val="1"/>
      <w:numFmt w:val="lowerLetter"/>
      <w:lvlText w:val="%1)"/>
      <w:lvlJc w:val="left"/>
      <w:pPr>
        <w:ind w:left="720" w:hanging="360"/>
      </w:pPr>
      <w:rPr>
        <w:rFonts w:ascii="Arial" w:eastAsia="MS Mincho"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B71665"/>
    <w:multiLevelType w:val="hybridMultilevel"/>
    <w:tmpl w:val="714AAD88"/>
    <w:lvl w:ilvl="0" w:tplc="DCD8D764">
      <w:start w:val="1"/>
      <w:numFmt w:val="decimal"/>
      <w:lvlText w:val="%1."/>
      <w:lvlJc w:val="left"/>
      <w:pPr>
        <w:ind w:left="1070" w:hanging="360"/>
      </w:pPr>
      <w:rPr>
        <w:rFonts w:ascii="Arial" w:hAnsi="Arial" w:cs="Arial" w:hint="default"/>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3"/>
  </w:num>
  <w:num w:numId="5">
    <w:abstractNumId w:val="11"/>
  </w:num>
  <w:num w:numId="6">
    <w:abstractNumId w:val="1"/>
  </w:num>
  <w:num w:numId="7">
    <w:abstractNumId w:val="3"/>
  </w:num>
  <w:num w:numId="8">
    <w:abstractNumId w:val="6"/>
  </w:num>
  <w:num w:numId="9">
    <w:abstractNumId w:val="0"/>
  </w:num>
  <w:num w:numId="10">
    <w:abstractNumId w:val="4"/>
  </w:num>
  <w:num w:numId="11">
    <w:abstractNumId w:val="5"/>
  </w:num>
  <w:num w:numId="12">
    <w:abstractNumId w:val="5"/>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60"/>
    <w:rsid w:val="000016A4"/>
    <w:rsid w:val="000019DB"/>
    <w:rsid w:val="000047CC"/>
    <w:rsid w:val="00011736"/>
    <w:rsid w:val="00021831"/>
    <w:rsid w:val="00047E58"/>
    <w:rsid w:val="00052BE6"/>
    <w:rsid w:val="000558C9"/>
    <w:rsid w:val="00055F51"/>
    <w:rsid w:val="00061949"/>
    <w:rsid w:val="00073D20"/>
    <w:rsid w:val="00074CE1"/>
    <w:rsid w:val="000755E1"/>
    <w:rsid w:val="000768AA"/>
    <w:rsid w:val="00085541"/>
    <w:rsid w:val="00091E93"/>
    <w:rsid w:val="000A34CE"/>
    <w:rsid w:val="000B0071"/>
    <w:rsid w:val="000C65E4"/>
    <w:rsid w:val="000C6E6E"/>
    <w:rsid w:val="000C76FF"/>
    <w:rsid w:val="000E1FA4"/>
    <w:rsid w:val="00113DE1"/>
    <w:rsid w:val="0011750D"/>
    <w:rsid w:val="00136749"/>
    <w:rsid w:val="001412DE"/>
    <w:rsid w:val="00141F63"/>
    <w:rsid w:val="00144A4D"/>
    <w:rsid w:val="00151351"/>
    <w:rsid w:val="001706CD"/>
    <w:rsid w:val="00174B39"/>
    <w:rsid w:val="001A1795"/>
    <w:rsid w:val="001A431C"/>
    <w:rsid w:val="001A457E"/>
    <w:rsid w:val="001B0079"/>
    <w:rsid w:val="001D5969"/>
    <w:rsid w:val="001F067C"/>
    <w:rsid w:val="001F37CA"/>
    <w:rsid w:val="00210652"/>
    <w:rsid w:val="00215D8E"/>
    <w:rsid w:val="00230AEA"/>
    <w:rsid w:val="00241D54"/>
    <w:rsid w:val="00246D2C"/>
    <w:rsid w:val="002500FE"/>
    <w:rsid w:val="00253978"/>
    <w:rsid w:val="00254DEF"/>
    <w:rsid w:val="002702F2"/>
    <w:rsid w:val="00275191"/>
    <w:rsid w:val="00281CE2"/>
    <w:rsid w:val="00286C0C"/>
    <w:rsid w:val="00290AA9"/>
    <w:rsid w:val="002938F2"/>
    <w:rsid w:val="002A4E47"/>
    <w:rsid w:val="002C3446"/>
    <w:rsid w:val="002C7D30"/>
    <w:rsid w:val="00306BA7"/>
    <w:rsid w:val="0031150D"/>
    <w:rsid w:val="003136ED"/>
    <w:rsid w:val="00363995"/>
    <w:rsid w:val="003742F3"/>
    <w:rsid w:val="00376DA6"/>
    <w:rsid w:val="0039446E"/>
    <w:rsid w:val="003C7065"/>
    <w:rsid w:val="003E232F"/>
    <w:rsid w:val="003F0FAF"/>
    <w:rsid w:val="003F26D2"/>
    <w:rsid w:val="004108B6"/>
    <w:rsid w:val="00434773"/>
    <w:rsid w:val="00461EEC"/>
    <w:rsid w:val="004665ED"/>
    <w:rsid w:val="00471B34"/>
    <w:rsid w:val="00477628"/>
    <w:rsid w:val="004C1DCF"/>
    <w:rsid w:val="004C3335"/>
    <w:rsid w:val="004D4695"/>
    <w:rsid w:val="005016FB"/>
    <w:rsid w:val="00511D17"/>
    <w:rsid w:val="0051699F"/>
    <w:rsid w:val="00530A1F"/>
    <w:rsid w:val="0053338B"/>
    <w:rsid w:val="00554CC6"/>
    <w:rsid w:val="0059612C"/>
    <w:rsid w:val="005B226A"/>
    <w:rsid w:val="005B3562"/>
    <w:rsid w:val="005B4A98"/>
    <w:rsid w:val="005B4DAB"/>
    <w:rsid w:val="005C0660"/>
    <w:rsid w:val="005E5D01"/>
    <w:rsid w:val="005F792F"/>
    <w:rsid w:val="00611347"/>
    <w:rsid w:val="00612BB5"/>
    <w:rsid w:val="00625FFE"/>
    <w:rsid w:val="00652318"/>
    <w:rsid w:val="0066056F"/>
    <w:rsid w:val="00667C60"/>
    <w:rsid w:val="006836F0"/>
    <w:rsid w:val="006A1A52"/>
    <w:rsid w:val="006B3501"/>
    <w:rsid w:val="006C74D8"/>
    <w:rsid w:val="006D1EEE"/>
    <w:rsid w:val="006E2215"/>
    <w:rsid w:val="006E790E"/>
    <w:rsid w:val="006F3C11"/>
    <w:rsid w:val="00722924"/>
    <w:rsid w:val="00747715"/>
    <w:rsid w:val="00750138"/>
    <w:rsid w:val="00764F50"/>
    <w:rsid w:val="007728EB"/>
    <w:rsid w:val="00772B36"/>
    <w:rsid w:val="00796D4E"/>
    <w:rsid w:val="007A2655"/>
    <w:rsid w:val="007A7D45"/>
    <w:rsid w:val="007B0FD1"/>
    <w:rsid w:val="007C1B00"/>
    <w:rsid w:val="007D5BB7"/>
    <w:rsid w:val="007E0621"/>
    <w:rsid w:val="007E3777"/>
    <w:rsid w:val="007E773F"/>
    <w:rsid w:val="007F4B07"/>
    <w:rsid w:val="007F60C6"/>
    <w:rsid w:val="00826777"/>
    <w:rsid w:val="0083488D"/>
    <w:rsid w:val="00851458"/>
    <w:rsid w:val="00855B32"/>
    <w:rsid w:val="00861A47"/>
    <w:rsid w:val="008707FF"/>
    <w:rsid w:val="008724E5"/>
    <w:rsid w:val="008744C3"/>
    <w:rsid w:val="008773C3"/>
    <w:rsid w:val="00880136"/>
    <w:rsid w:val="008A0A27"/>
    <w:rsid w:val="008C0AEA"/>
    <w:rsid w:val="008F184D"/>
    <w:rsid w:val="008F2AD2"/>
    <w:rsid w:val="009121CE"/>
    <w:rsid w:val="00914B1A"/>
    <w:rsid w:val="00915822"/>
    <w:rsid w:val="009275F6"/>
    <w:rsid w:val="00964CB4"/>
    <w:rsid w:val="00994D5C"/>
    <w:rsid w:val="009D5E38"/>
    <w:rsid w:val="009E1730"/>
    <w:rsid w:val="009E670D"/>
    <w:rsid w:val="009F3A09"/>
    <w:rsid w:val="00A11F00"/>
    <w:rsid w:val="00A150C7"/>
    <w:rsid w:val="00A338F2"/>
    <w:rsid w:val="00A37713"/>
    <w:rsid w:val="00A519A2"/>
    <w:rsid w:val="00A637A3"/>
    <w:rsid w:val="00A70883"/>
    <w:rsid w:val="00A77AEB"/>
    <w:rsid w:val="00A77F75"/>
    <w:rsid w:val="00A81928"/>
    <w:rsid w:val="00A877C5"/>
    <w:rsid w:val="00AA444A"/>
    <w:rsid w:val="00AE1B18"/>
    <w:rsid w:val="00AE6F87"/>
    <w:rsid w:val="00B11AE3"/>
    <w:rsid w:val="00B1202D"/>
    <w:rsid w:val="00B13B44"/>
    <w:rsid w:val="00B30FA6"/>
    <w:rsid w:val="00B50716"/>
    <w:rsid w:val="00B539FE"/>
    <w:rsid w:val="00B54A28"/>
    <w:rsid w:val="00B6167A"/>
    <w:rsid w:val="00B66B0C"/>
    <w:rsid w:val="00B70F43"/>
    <w:rsid w:val="00B72CA9"/>
    <w:rsid w:val="00B911A3"/>
    <w:rsid w:val="00B91E96"/>
    <w:rsid w:val="00B973B5"/>
    <w:rsid w:val="00BA3560"/>
    <w:rsid w:val="00BA67D6"/>
    <w:rsid w:val="00BD0077"/>
    <w:rsid w:val="00C04328"/>
    <w:rsid w:val="00C1052F"/>
    <w:rsid w:val="00C13665"/>
    <w:rsid w:val="00C5021F"/>
    <w:rsid w:val="00C64668"/>
    <w:rsid w:val="00C67A8A"/>
    <w:rsid w:val="00C819A3"/>
    <w:rsid w:val="00C84902"/>
    <w:rsid w:val="00C85CC0"/>
    <w:rsid w:val="00CA5C21"/>
    <w:rsid w:val="00CB1A2F"/>
    <w:rsid w:val="00CC2BC6"/>
    <w:rsid w:val="00CE0A61"/>
    <w:rsid w:val="00CE2586"/>
    <w:rsid w:val="00CF3CB3"/>
    <w:rsid w:val="00D02F7D"/>
    <w:rsid w:val="00D121D8"/>
    <w:rsid w:val="00D210CD"/>
    <w:rsid w:val="00D238D6"/>
    <w:rsid w:val="00D3691A"/>
    <w:rsid w:val="00D43998"/>
    <w:rsid w:val="00D6436B"/>
    <w:rsid w:val="00D7684E"/>
    <w:rsid w:val="00D809E5"/>
    <w:rsid w:val="00D9501F"/>
    <w:rsid w:val="00DB50D5"/>
    <w:rsid w:val="00DB76C7"/>
    <w:rsid w:val="00DE54F6"/>
    <w:rsid w:val="00DF2146"/>
    <w:rsid w:val="00DF3DA3"/>
    <w:rsid w:val="00E0163F"/>
    <w:rsid w:val="00E018A2"/>
    <w:rsid w:val="00E06A00"/>
    <w:rsid w:val="00E15C95"/>
    <w:rsid w:val="00E5219B"/>
    <w:rsid w:val="00E94A25"/>
    <w:rsid w:val="00EA198F"/>
    <w:rsid w:val="00EC75B6"/>
    <w:rsid w:val="00ED4650"/>
    <w:rsid w:val="00EF0BCB"/>
    <w:rsid w:val="00EF0E74"/>
    <w:rsid w:val="00F0065D"/>
    <w:rsid w:val="00F00E8A"/>
    <w:rsid w:val="00F0616B"/>
    <w:rsid w:val="00F214DA"/>
    <w:rsid w:val="00F337DA"/>
    <w:rsid w:val="00F41BA9"/>
    <w:rsid w:val="00F55135"/>
    <w:rsid w:val="00F63DDA"/>
    <w:rsid w:val="00F70858"/>
    <w:rsid w:val="00F75949"/>
    <w:rsid w:val="00F75E18"/>
    <w:rsid w:val="00F76D90"/>
    <w:rsid w:val="00F941F0"/>
    <w:rsid w:val="00FA5201"/>
    <w:rsid w:val="00FB6F95"/>
    <w:rsid w:val="00FC3FC1"/>
    <w:rsid w:val="00FE430C"/>
    <w:rsid w:val="00FE74F5"/>
    <w:rsid w:val="00FF2B1D"/>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4375846-9BEE-4B28-862C-BDF05A4F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zh-CN" w:bidi="ar-SA"/>
      </w:rPr>
    </w:rPrDefault>
    <w:pPrDefault/>
  </w:docDefaults>
  <w:latentStyles w:defLockedState="0" w:defUIPriority="0" w:defSemiHidden="0" w:defUnhideWhenUsed="0" w:defQFormat="0" w:count="371">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24E5"/>
    <w:rPr>
      <w:rFonts w:ascii="Times New Roman" w:eastAsia="Times New Roman" w:hAnsi="Times New Roman"/>
      <w:sz w:val="24"/>
      <w:szCs w:val="24"/>
      <w:lang w:val="en-GB"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link w:val="NoSpacingChar"/>
    <w:uiPriority w:val="1"/>
    <w:qFormat/>
    <w:rsid w:val="00C64668"/>
    <w:rPr>
      <w:rFonts w:ascii="Times New Roman" w:eastAsia="Times New Roman" w:hAnsi="Times New Roman"/>
      <w:sz w:val="24"/>
      <w:szCs w:val="24"/>
      <w:lang w:val="en-GB" w:eastAsia="fr-FR"/>
    </w:rPr>
  </w:style>
  <w:style w:type="paragraph" w:styleId="ListParagraph">
    <w:name w:val="List Paragraph"/>
    <w:basedOn w:val="Normal"/>
    <w:qFormat/>
    <w:rsid w:val="00290AA9"/>
    <w:pPr>
      <w:ind w:left="720"/>
      <w:contextualSpacing/>
    </w:pPr>
  </w:style>
  <w:style w:type="character" w:customStyle="1" w:styleId="NoSpacingChar">
    <w:name w:val="No Spacing Char"/>
    <w:link w:val="NoSpacing"/>
    <w:uiPriority w:val="1"/>
    <w:locked/>
    <w:rsid w:val="00141F63"/>
    <w:rPr>
      <w:rFonts w:ascii="Times New Roman" w:eastAsia="Times New Roman" w:hAnsi="Times New Roman"/>
      <w:sz w:val="24"/>
      <w:szCs w:val="24"/>
      <w:lang w:val="en-GB"/>
    </w:rPr>
  </w:style>
  <w:style w:type="paragraph" w:customStyle="1" w:styleId="Pranumrotrecommenc1">
    <w:name w:val="Pra numéroté recommencé à 1"/>
    <w:basedOn w:val="Normal"/>
    <w:rsid w:val="00141F63"/>
    <w:pPr>
      <w:tabs>
        <w:tab w:val="num" w:pos="360"/>
      </w:tabs>
      <w:ind w:left="360" w:hanging="360"/>
    </w:pPr>
    <w:rPr>
      <w:rFonts w:ascii="Arial" w:hAnsi="Arial"/>
      <w:lang w:val="fr-FR"/>
    </w:rPr>
  </w:style>
  <w:style w:type="character" w:styleId="FootnoteReference">
    <w:name w:val="footnote reference"/>
    <w:uiPriority w:val="99"/>
    <w:unhideWhenUsed/>
    <w:rsid w:val="00141F63"/>
    <w:rPr>
      <w:vertAlign w:val="superscript"/>
      <w:lang w:val="fr-FR" w:eastAsia="fr-FR"/>
    </w:rPr>
  </w:style>
  <w:style w:type="paragraph" w:customStyle="1" w:styleId="Default">
    <w:name w:val="Default"/>
    <w:uiPriority w:val="99"/>
    <w:rsid w:val="00141F63"/>
    <w:pPr>
      <w:autoSpaceDE w:val="0"/>
      <w:autoSpaceDN w:val="0"/>
      <w:adjustRightInd w:val="0"/>
    </w:pPr>
    <w:rPr>
      <w:rFonts w:ascii="Arial" w:hAnsi="Arial" w:cs="Arial"/>
      <w:color w:val="000000"/>
      <w:sz w:val="24"/>
      <w:szCs w:val="24"/>
      <w:lang w:eastAsia="fr-FR"/>
    </w:rPr>
  </w:style>
  <w:style w:type="paragraph" w:customStyle="1" w:styleId="Paragraph">
    <w:name w:val="Paragraph"/>
    <w:basedOn w:val="Default"/>
    <w:link w:val="ParagraphChar"/>
    <w:qFormat/>
    <w:rsid w:val="00141F63"/>
    <w:pPr>
      <w:spacing w:after="240"/>
      <w:jc w:val="both"/>
    </w:pPr>
    <w:rPr>
      <w:rFonts w:cs="Times New Roman"/>
      <w:bCs/>
      <w:sz w:val="22"/>
      <w:szCs w:val="22"/>
    </w:rPr>
  </w:style>
  <w:style w:type="character" w:customStyle="1" w:styleId="ParagraphChar">
    <w:name w:val="Paragraph Char"/>
    <w:link w:val="Paragraph"/>
    <w:rsid w:val="00141F63"/>
    <w:rPr>
      <w:rFonts w:ascii="Arial" w:hAnsi="Arial"/>
      <w:bCs/>
      <w:color w:val="000000"/>
      <w:sz w:val="22"/>
      <w:szCs w:val="22"/>
    </w:rPr>
  </w:style>
  <w:style w:type="character" w:styleId="Hyperlink">
    <w:name w:val="Hyperlink"/>
    <w:unhideWhenUsed/>
    <w:rsid w:val="00141F63"/>
    <w:rPr>
      <w:color w:val="0000FF"/>
      <w:u w:val="single"/>
      <w:lang w:val="fr-FR" w:eastAsia="fr-FR"/>
    </w:rPr>
  </w:style>
  <w:style w:type="character" w:customStyle="1" w:styleId="hps">
    <w:name w:val="hps"/>
    <w:rsid w:val="00141F63"/>
  </w:style>
  <w:style w:type="character" w:styleId="FollowedHyperlink">
    <w:name w:val="FollowedHyperlink"/>
    <w:semiHidden/>
    <w:unhideWhenUsed/>
    <w:rsid w:val="000B00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6151">
      <w:bodyDiv w:val="1"/>
      <w:marLeft w:val="0"/>
      <w:marRight w:val="0"/>
      <w:marTop w:val="0"/>
      <w:marBottom w:val="0"/>
      <w:divBdr>
        <w:top w:val="none" w:sz="0" w:space="0" w:color="auto"/>
        <w:left w:val="none" w:sz="0" w:space="0" w:color="auto"/>
        <w:bottom w:val="none" w:sz="0" w:space="0" w:color="auto"/>
        <w:right w:val="none" w:sz="0" w:space="0" w:color="auto"/>
      </w:divBdr>
    </w:div>
    <w:div w:id="653872566">
      <w:bodyDiv w:val="1"/>
      <w:marLeft w:val="0"/>
      <w:marRight w:val="0"/>
      <w:marTop w:val="0"/>
      <w:marBottom w:val="0"/>
      <w:divBdr>
        <w:top w:val="none" w:sz="0" w:space="0" w:color="auto"/>
        <w:left w:val="none" w:sz="0" w:space="0" w:color="auto"/>
        <w:bottom w:val="none" w:sz="0" w:space="0" w:color="auto"/>
        <w:right w:val="none" w:sz="0" w:space="0" w:color="auto"/>
      </w:divBdr>
    </w:div>
    <w:div w:id="782187770">
      <w:bodyDiv w:val="1"/>
      <w:marLeft w:val="0"/>
      <w:marRight w:val="0"/>
      <w:marTop w:val="0"/>
      <w:marBottom w:val="0"/>
      <w:divBdr>
        <w:top w:val="none" w:sz="0" w:space="0" w:color="auto"/>
        <w:left w:val="none" w:sz="0" w:space="0" w:color="auto"/>
        <w:bottom w:val="none" w:sz="0" w:space="0" w:color="auto"/>
        <w:right w:val="none" w:sz="0" w:space="0" w:color="auto"/>
      </w:divBdr>
    </w:div>
    <w:div w:id="927808133">
      <w:bodyDiv w:val="1"/>
      <w:marLeft w:val="0"/>
      <w:marRight w:val="0"/>
      <w:marTop w:val="0"/>
      <w:marBottom w:val="0"/>
      <w:divBdr>
        <w:top w:val="none" w:sz="0" w:space="0" w:color="auto"/>
        <w:left w:val="none" w:sz="0" w:space="0" w:color="auto"/>
        <w:bottom w:val="none" w:sz="0" w:space="0" w:color="auto"/>
        <w:right w:val="none" w:sz="0" w:space="0" w:color="auto"/>
      </w:divBdr>
    </w:div>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75042236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R%C3%A9solutions/5.GA/7" TargetMode="External"/><Relationship Id="rId13" Type="http://schemas.openxmlformats.org/officeDocument/2006/relationships/hyperlink" Target="http://www.unesco.org/culture/ich/fr/Decisions/8.COM/7.c" TargetMode="External"/><Relationship Id="rId18" Type="http://schemas.openxmlformats.org/officeDocument/2006/relationships/hyperlink" Target="http://www.unesco.org/culture/ich/fr/Decisions/10.COM/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esco.org/culture/ich/fr/R%C3%A9solutions/6.GA/9" TargetMode="External"/><Relationship Id="rId17" Type="http://schemas.openxmlformats.org/officeDocument/2006/relationships/hyperlink" Target="http://www.unesco.org/culture/ich/fr/D%C3%A9cisions/8.COM/11" TargetMode="External"/><Relationship Id="rId25" Type="http://schemas.openxmlformats.org/officeDocument/2006/relationships/image" Target="media/image5.emf"/><Relationship Id="rId33"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www.unesco.org/culture/ich/doc/src/IOS-AUD-2013-06-FR.pdf" TargetMode="External"/><Relationship Id="rId20" Type="http://schemas.openxmlformats.org/officeDocument/2006/relationships/hyperlink" Target="http://www.unesco.org/culture/ich/fr/Decisions/10.COM/9"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fr/Resolutions/3.GA/9" TargetMode="External"/><Relationship Id="rId24" Type="http://schemas.openxmlformats.org/officeDocument/2006/relationships/image" Target="media/image4.emf"/><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unesco.org/culture/ich/doc/src/ITH-16-11.COM_2.BUR-Decisions-FR.docx" TargetMode="Externa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hyperlink" Target="http://www.unesco.org/culture/ich/doc/src/00192-FR-PDF.pdf" TargetMode="External"/><Relationship Id="rId19" Type="http://schemas.openxmlformats.org/officeDocument/2006/relationships/hyperlink" Target="http://www.unesco.org/culture/ich/fr/Decisions/8.COM/12"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nesco.org/culture/ich/fr/R%C3%A9solutions/6.GA/9" TargetMode="External"/><Relationship Id="rId14" Type="http://schemas.openxmlformats.org/officeDocument/2006/relationships/hyperlink" Target="http://www.unesco.org/culture/ich/fr/Decisions/10.COM/8"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CE03-4101-49A6-831A-0E07270B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document_FR</Template>
  <TotalTime>0</TotalTime>
  <Pages>3</Pages>
  <Words>2366</Words>
  <Characters>13017</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15353</CharactersWithSpaces>
  <SharedDoc>false</SharedDoc>
  <HLinks>
    <vt:vector size="78" baseType="variant">
      <vt:variant>
        <vt:i4>8257639</vt:i4>
      </vt:variant>
      <vt:variant>
        <vt:i4>36</vt:i4>
      </vt:variant>
      <vt:variant>
        <vt:i4>0</vt:i4>
      </vt:variant>
      <vt:variant>
        <vt:i4>5</vt:i4>
      </vt:variant>
      <vt:variant>
        <vt:lpwstr>http://www.unesco.org/culture/ich/fr/Decisions/10.COM/9</vt:lpwstr>
      </vt:variant>
      <vt:variant>
        <vt:lpwstr/>
      </vt:variant>
      <vt:variant>
        <vt:i4>2490423</vt:i4>
      </vt:variant>
      <vt:variant>
        <vt:i4>33</vt:i4>
      </vt:variant>
      <vt:variant>
        <vt:i4>0</vt:i4>
      </vt:variant>
      <vt:variant>
        <vt:i4>5</vt:i4>
      </vt:variant>
      <vt:variant>
        <vt:lpwstr>http://www.unesco.org/culture/ich/fr/Decisions/8.COM/12</vt:lpwstr>
      </vt:variant>
      <vt:variant>
        <vt:lpwstr/>
      </vt:variant>
      <vt:variant>
        <vt:i4>8257639</vt:i4>
      </vt:variant>
      <vt:variant>
        <vt:i4>30</vt:i4>
      </vt:variant>
      <vt:variant>
        <vt:i4>0</vt:i4>
      </vt:variant>
      <vt:variant>
        <vt:i4>5</vt:i4>
      </vt:variant>
      <vt:variant>
        <vt:lpwstr>http://www.unesco.org/culture/ich/fr/Decisions/10.COM/9</vt:lpwstr>
      </vt:variant>
      <vt:variant>
        <vt:lpwstr/>
      </vt:variant>
      <vt:variant>
        <vt:i4>4980737</vt:i4>
      </vt:variant>
      <vt:variant>
        <vt:i4>27</vt:i4>
      </vt:variant>
      <vt:variant>
        <vt:i4>0</vt:i4>
      </vt:variant>
      <vt:variant>
        <vt:i4>5</vt:i4>
      </vt:variant>
      <vt:variant>
        <vt:lpwstr>http://www.unesco.org/culture/ich/fr/D%C3%A9cisions/8.COM/11</vt:lpwstr>
      </vt:variant>
      <vt:variant>
        <vt:lpwstr/>
      </vt:variant>
      <vt:variant>
        <vt:i4>4587528</vt:i4>
      </vt:variant>
      <vt:variant>
        <vt:i4>24</vt:i4>
      </vt:variant>
      <vt:variant>
        <vt:i4>0</vt:i4>
      </vt:variant>
      <vt:variant>
        <vt:i4>5</vt:i4>
      </vt:variant>
      <vt:variant>
        <vt:lpwstr>http://www.unesco.org/culture/ich/doc/src/IOS-AUD-2013-06-FR.pdf</vt:lpwstr>
      </vt:variant>
      <vt:variant>
        <vt:lpwstr/>
      </vt:variant>
      <vt:variant>
        <vt:i4>4391020</vt:i4>
      </vt:variant>
      <vt:variant>
        <vt:i4>21</vt:i4>
      </vt:variant>
      <vt:variant>
        <vt:i4>0</vt:i4>
      </vt:variant>
      <vt:variant>
        <vt:i4>5</vt:i4>
      </vt:variant>
      <vt:variant>
        <vt:lpwstr>http://www.unesco.org/culture/ich/doc/src/ITH-16-11.COM_2.BUR-Decisions-FR.docx</vt:lpwstr>
      </vt:variant>
      <vt:variant>
        <vt:lpwstr/>
      </vt:variant>
      <vt:variant>
        <vt:i4>8257639</vt:i4>
      </vt:variant>
      <vt:variant>
        <vt:i4>18</vt:i4>
      </vt:variant>
      <vt:variant>
        <vt:i4>0</vt:i4>
      </vt:variant>
      <vt:variant>
        <vt:i4>5</vt:i4>
      </vt:variant>
      <vt:variant>
        <vt:lpwstr>http://www.unesco.org/culture/ich/fr/Decisions/10.COM/8</vt:lpwstr>
      </vt:variant>
      <vt:variant>
        <vt:lpwstr/>
      </vt:variant>
      <vt:variant>
        <vt:i4>4390937</vt:i4>
      </vt:variant>
      <vt:variant>
        <vt:i4>15</vt:i4>
      </vt:variant>
      <vt:variant>
        <vt:i4>0</vt:i4>
      </vt:variant>
      <vt:variant>
        <vt:i4>5</vt:i4>
      </vt:variant>
      <vt:variant>
        <vt:lpwstr>http://www.unesco.org/culture/ich/fr/Decisions/8.COM/7.c</vt:lpwstr>
      </vt:variant>
      <vt:variant>
        <vt:lpwstr/>
      </vt:variant>
      <vt:variant>
        <vt:i4>3</vt:i4>
      </vt:variant>
      <vt:variant>
        <vt:i4>12</vt:i4>
      </vt:variant>
      <vt:variant>
        <vt:i4>0</vt:i4>
      </vt:variant>
      <vt:variant>
        <vt:i4>5</vt:i4>
      </vt:variant>
      <vt:variant>
        <vt:lpwstr>http://www.unesco.org/culture/ich/fr/R%C3%A9solutions/6.GA/9</vt:lpwstr>
      </vt:variant>
      <vt:variant>
        <vt:lpwstr/>
      </vt:variant>
      <vt:variant>
        <vt:i4>3604581</vt:i4>
      </vt:variant>
      <vt:variant>
        <vt:i4>9</vt:i4>
      </vt:variant>
      <vt:variant>
        <vt:i4>0</vt:i4>
      </vt:variant>
      <vt:variant>
        <vt:i4>5</vt:i4>
      </vt:variant>
      <vt:variant>
        <vt:lpwstr>http://www.unesco.org/culture/ich/fr/Resolutions/3.GA/9</vt:lpwstr>
      </vt:variant>
      <vt:variant>
        <vt:lpwstr/>
      </vt:variant>
      <vt:variant>
        <vt:i4>7340149</vt:i4>
      </vt:variant>
      <vt:variant>
        <vt:i4>6</vt:i4>
      </vt:variant>
      <vt:variant>
        <vt:i4>0</vt:i4>
      </vt:variant>
      <vt:variant>
        <vt:i4>5</vt:i4>
      </vt:variant>
      <vt:variant>
        <vt:lpwstr>http://www.unesco.org/culture/ich/doc/src/00192-FR-PDF.pdf</vt:lpwstr>
      </vt:variant>
      <vt:variant>
        <vt:lpwstr/>
      </vt:variant>
      <vt:variant>
        <vt:i4>3</vt:i4>
      </vt:variant>
      <vt:variant>
        <vt:i4>3</vt:i4>
      </vt:variant>
      <vt:variant>
        <vt:i4>0</vt:i4>
      </vt:variant>
      <vt:variant>
        <vt:i4>5</vt:i4>
      </vt:variant>
      <vt:variant>
        <vt:lpwstr>http://www.unesco.org/culture/ich/fr/R%C3%A9solutions/6.GA/9</vt:lpwstr>
      </vt:variant>
      <vt:variant>
        <vt:lpwstr/>
      </vt:variant>
      <vt:variant>
        <vt:i4>917504</vt:i4>
      </vt:variant>
      <vt:variant>
        <vt:i4>0</vt:i4>
      </vt:variant>
      <vt:variant>
        <vt:i4>0</vt:i4>
      </vt:variant>
      <vt:variant>
        <vt:i4>5</vt:i4>
      </vt:variant>
      <vt:variant>
        <vt:lpwstr>http://www.unesco.org/culture/ich/fr/R%C3%A9solutions/5.GA/7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Delsol, Christine</dc:creator>
  <cp:keywords/>
  <cp:lastModifiedBy>Shin, Eunkyung</cp:lastModifiedBy>
  <cp:revision>2</cp:revision>
  <cp:lastPrinted>2011-08-09T15:27:00Z</cp:lastPrinted>
  <dcterms:created xsi:type="dcterms:W3CDTF">2016-10-31T16:07:00Z</dcterms:created>
  <dcterms:modified xsi:type="dcterms:W3CDTF">2016-10-31T16:07:00Z</dcterms:modified>
</cp:coreProperties>
</file>