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F2" w:rsidRPr="00636760" w:rsidRDefault="002938F2" w:rsidP="00AE1B18">
      <w:pPr>
        <w:spacing w:before="1440"/>
        <w:jc w:val="center"/>
        <w:rPr>
          <w:rFonts w:ascii="Arial" w:hAnsi="Arial" w:cs="Arial"/>
          <w:b/>
          <w:szCs w:val="22"/>
        </w:rPr>
      </w:pPr>
      <w:bookmarkStart w:id="0" w:name="_GoBack"/>
      <w:bookmarkEnd w:id="0"/>
      <w:r w:rsidRPr="00636760">
        <w:rPr>
          <w:rFonts w:ascii="Arial" w:hAnsi="Arial" w:cs="Arial"/>
          <w:b/>
          <w:szCs w:val="22"/>
        </w:rPr>
        <w:t>CONVENT</w:t>
      </w:r>
      <w:r w:rsidR="004F3CD3">
        <w:rPr>
          <w:rFonts w:ascii="Arial" w:hAnsi="Arial" w:cs="Arial"/>
          <w:b/>
          <w:szCs w:val="22"/>
        </w:rPr>
        <w:t>ION FOR THE SAFEGUARDING OF THE</w:t>
      </w:r>
      <w:r w:rsidRPr="00636760">
        <w:rPr>
          <w:rFonts w:ascii="Arial" w:hAnsi="Arial" w:cs="Arial"/>
          <w:b/>
          <w:szCs w:val="22"/>
        </w:rPr>
        <w:br/>
        <w:t>INTANGIBLE CULTURAL HERITAGE</w:t>
      </w:r>
    </w:p>
    <w:p w:rsidR="007E4E37" w:rsidRPr="004E056C" w:rsidRDefault="007E4E37" w:rsidP="007E4E37">
      <w:pPr>
        <w:spacing w:before="1200"/>
        <w:jc w:val="center"/>
        <w:rPr>
          <w:rFonts w:ascii="Arial" w:hAnsi="Arial" w:cs="Arial"/>
          <w:b/>
          <w:szCs w:val="22"/>
        </w:rPr>
      </w:pPr>
      <w:r w:rsidRPr="004E056C">
        <w:rPr>
          <w:rFonts w:ascii="Arial" w:hAnsi="Arial" w:cs="Arial"/>
          <w:b/>
          <w:szCs w:val="22"/>
        </w:rPr>
        <w:t>INTERGOVERNMENTAL COMMITTEE FOR THE</w:t>
      </w:r>
      <w:r w:rsidRPr="004E056C">
        <w:rPr>
          <w:rFonts w:ascii="Arial" w:hAnsi="Arial" w:cs="Arial"/>
          <w:b/>
          <w:szCs w:val="22"/>
        </w:rPr>
        <w:br/>
        <w:t>SAFEGUARDING OF THE INTANGIBLE CULTURAL HERITAGE</w:t>
      </w:r>
    </w:p>
    <w:p w:rsidR="007E4E37" w:rsidRPr="004E056C" w:rsidRDefault="005414A1" w:rsidP="004E056C">
      <w:pPr>
        <w:spacing w:before="840" w:after="0"/>
        <w:jc w:val="center"/>
        <w:rPr>
          <w:rFonts w:ascii="Arial" w:hAnsi="Arial" w:cs="Arial"/>
          <w:b/>
          <w:szCs w:val="22"/>
        </w:rPr>
      </w:pPr>
      <w:r>
        <w:rPr>
          <w:rFonts w:ascii="Arial" w:hAnsi="Arial" w:cs="Arial"/>
          <w:b/>
          <w:szCs w:val="22"/>
        </w:rPr>
        <w:t>Eleventh</w:t>
      </w:r>
      <w:r w:rsidR="007E4E37" w:rsidRPr="004E056C">
        <w:rPr>
          <w:rFonts w:ascii="Arial" w:hAnsi="Arial" w:cs="Arial"/>
          <w:b/>
          <w:szCs w:val="22"/>
        </w:rPr>
        <w:t xml:space="preserve"> session</w:t>
      </w:r>
    </w:p>
    <w:p w:rsidR="00601DD6" w:rsidRDefault="005414A1" w:rsidP="00601DD6">
      <w:pPr>
        <w:spacing w:after="0"/>
        <w:jc w:val="center"/>
        <w:rPr>
          <w:rFonts w:ascii="Arial" w:hAnsi="Arial" w:cs="Arial"/>
          <w:b/>
          <w:szCs w:val="22"/>
        </w:rPr>
      </w:pPr>
      <w:r>
        <w:rPr>
          <w:rFonts w:ascii="Arial" w:hAnsi="Arial" w:cs="Arial"/>
          <w:b/>
          <w:szCs w:val="22"/>
        </w:rPr>
        <w:t xml:space="preserve">Addis </w:t>
      </w:r>
      <w:r w:rsidR="006A0D86">
        <w:rPr>
          <w:rFonts w:ascii="Arial" w:hAnsi="Arial" w:cs="Arial"/>
          <w:b/>
          <w:szCs w:val="22"/>
        </w:rPr>
        <w:t>Ababa</w:t>
      </w:r>
      <w:r w:rsidR="00093063">
        <w:rPr>
          <w:rFonts w:ascii="Arial" w:hAnsi="Arial" w:cs="Arial"/>
          <w:b/>
          <w:szCs w:val="22"/>
        </w:rPr>
        <w:t>, Ethiopia</w:t>
      </w:r>
    </w:p>
    <w:p w:rsidR="007E4E37" w:rsidRPr="00636760" w:rsidRDefault="005414A1" w:rsidP="004E056C">
      <w:pPr>
        <w:spacing w:after="0"/>
        <w:jc w:val="center"/>
        <w:rPr>
          <w:rFonts w:ascii="Arial" w:hAnsi="Arial" w:cs="Arial"/>
          <w:b/>
          <w:szCs w:val="22"/>
        </w:rPr>
      </w:pPr>
      <w:r>
        <w:rPr>
          <w:rFonts w:ascii="Arial" w:hAnsi="Arial" w:cs="Arial"/>
          <w:b/>
          <w:szCs w:val="22"/>
        </w:rPr>
        <w:t>28</w:t>
      </w:r>
      <w:r w:rsidR="0067005F">
        <w:rPr>
          <w:rFonts w:ascii="Arial" w:hAnsi="Arial" w:cs="Arial"/>
          <w:b/>
          <w:szCs w:val="22"/>
        </w:rPr>
        <w:t xml:space="preserve"> November</w:t>
      </w:r>
      <w:r w:rsidR="007E4E37" w:rsidRPr="00636760">
        <w:rPr>
          <w:rFonts w:ascii="Arial" w:hAnsi="Arial" w:cs="Arial"/>
          <w:b/>
          <w:szCs w:val="22"/>
        </w:rPr>
        <w:t xml:space="preserve"> to </w:t>
      </w:r>
      <w:r>
        <w:rPr>
          <w:rFonts w:ascii="Arial" w:hAnsi="Arial" w:cs="Arial"/>
          <w:b/>
          <w:szCs w:val="22"/>
        </w:rPr>
        <w:t>2 December 2016</w:t>
      </w:r>
    </w:p>
    <w:p w:rsidR="00851458" w:rsidRPr="004E056C" w:rsidRDefault="00E70697" w:rsidP="00AE1B18">
      <w:pPr>
        <w:pStyle w:val="Sansinterligne1"/>
        <w:spacing w:before="1200"/>
        <w:jc w:val="center"/>
        <w:rPr>
          <w:rFonts w:ascii="Arial" w:hAnsi="Arial" w:cs="Arial"/>
          <w:b/>
          <w:sz w:val="22"/>
          <w:szCs w:val="22"/>
          <w:u w:val="single"/>
          <w:lang w:val="en-GB"/>
        </w:rPr>
      </w:pPr>
      <w:r w:rsidRPr="00E70697">
        <w:rPr>
          <w:rFonts w:ascii="Arial" w:hAnsi="Arial" w:cs="Arial"/>
          <w:b/>
          <w:sz w:val="22"/>
          <w:szCs w:val="22"/>
          <w:u w:val="single"/>
          <w:lang w:val="en-GB"/>
        </w:rPr>
        <w:t>Provisional list of documents</w:t>
      </w:r>
    </w:p>
    <w:p w:rsidR="00E70697" w:rsidRDefault="00851458" w:rsidP="00E70697">
      <w:pPr>
        <w:pStyle w:val="1GAPara"/>
      </w:pPr>
      <w:r w:rsidRPr="004E056C">
        <w:br w:type="page"/>
      </w:r>
    </w:p>
    <w:tbl>
      <w:tblPr>
        <w:tblW w:w="9672" w:type="dxa"/>
        <w:tblInd w:w="108" w:type="dxa"/>
        <w:tblLayout w:type="fixed"/>
        <w:tblLook w:val="04A0" w:firstRow="1" w:lastRow="0" w:firstColumn="1" w:lastColumn="0" w:noHBand="0" w:noVBand="1"/>
      </w:tblPr>
      <w:tblGrid>
        <w:gridCol w:w="567"/>
        <w:gridCol w:w="5245"/>
        <w:gridCol w:w="3860"/>
      </w:tblGrid>
      <w:tr w:rsidR="00E70697" w:rsidRPr="00023296" w:rsidTr="00FB5752">
        <w:trPr>
          <w:tblHeader/>
        </w:trPr>
        <w:tc>
          <w:tcPr>
            <w:tcW w:w="5812" w:type="dxa"/>
            <w:gridSpan w:val="2"/>
            <w:shd w:val="clear" w:color="auto" w:fill="BFBFBF"/>
            <w:vAlign w:val="center"/>
          </w:tcPr>
          <w:p w:rsidR="00E70697" w:rsidRPr="00023296" w:rsidRDefault="00E70697" w:rsidP="00FB5752">
            <w:pPr>
              <w:keepNext/>
              <w:spacing w:before="120"/>
              <w:jc w:val="center"/>
              <w:rPr>
                <w:rFonts w:ascii="Arial" w:hAnsi="Arial" w:cs="Arial"/>
                <w:b/>
                <w:szCs w:val="22"/>
              </w:rPr>
            </w:pPr>
            <w:r>
              <w:rPr>
                <w:rFonts w:ascii="Arial" w:hAnsi="Arial" w:cs="Arial"/>
                <w:b/>
                <w:szCs w:val="22"/>
                <w:u w:val="single"/>
              </w:rPr>
              <w:lastRenderedPageBreak/>
              <w:br w:type="page"/>
            </w:r>
            <w:r w:rsidRPr="005346F1">
              <w:br w:type="page"/>
            </w:r>
            <w:r w:rsidRPr="00023296">
              <w:rPr>
                <w:rFonts w:ascii="Arial" w:hAnsi="Arial" w:cs="Arial"/>
                <w:b/>
                <w:szCs w:val="22"/>
                <w:u w:val="single"/>
              </w:rPr>
              <w:br w:type="page"/>
            </w:r>
            <w:r w:rsidRPr="00023296">
              <w:rPr>
                <w:rFonts w:ascii="Arial" w:hAnsi="Arial" w:cs="Arial"/>
                <w:b/>
                <w:szCs w:val="22"/>
              </w:rPr>
              <w:br w:type="page"/>
            </w:r>
            <w:r w:rsidRPr="00023296">
              <w:rPr>
                <w:rFonts w:ascii="Arial" w:hAnsi="Arial" w:cs="Arial"/>
                <w:b/>
                <w:szCs w:val="22"/>
              </w:rPr>
              <w:br w:type="page"/>
            </w:r>
            <w:r w:rsidRPr="00023296">
              <w:rPr>
                <w:rFonts w:ascii="Arial" w:hAnsi="Arial" w:cs="Arial"/>
                <w:b/>
                <w:szCs w:val="22"/>
              </w:rPr>
              <w:br w:type="page"/>
              <w:t>Provisional agenda item</w:t>
            </w:r>
          </w:p>
        </w:tc>
        <w:tc>
          <w:tcPr>
            <w:tcW w:w="3860" w:type="dxa"/>
            <w:shd w:val="clear" w:color="auto" w:fill="BFBFBF"/>
            <w:vAlign w:val="center"/>
          </w:tcPr>
          <w:p w:rsidR="00E70697" w:rsidRPr="00023296" w:rsidRDefault="00E70697" w:rsidP="00FB5752">
            <w:pPr>
              <w:spacing w:before="120"/>
              <w:jc w:val="center"/>
              <w:rPr>
                <w:rFonts w:ascii="Arial" w:hAnsi="Arial" w:cs="Arial"/>
                <w:b/>
                <w:szCs w:val="22"/>
              </w:rPr>
            </w:pPr>
            <w:r w:rsidRPr="00023296">
              <w:rPr>
                <w:rFonts w:ascii="Arial" w:hAnsi="Arial" w:cs="Arial"/>
                <w:b/>
                <w:szCs w:val="22"/>
              </w:rPr>
              <w:t>Documents</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1.</w:t>
            </w:r>
          </w:p>
        </w:tc>
        <w:tc>
          <w:tcPr>
            <w:tcW w:w="5245" w:type="dxa"/>
          </w:tcPr>
          <w:p w:rsidR="00E70697" w:rsidRPr="00023296" w:rsidRDefault="00E70697" w:rsidP="002F2E2D">
            <w:pPr>
              <w:spacing w:before="120"/>
              <w:rPr>
                <w:rFonts w:ascii="Arial" w:hAnsi="Arial" w:cs="Arial"/>
                <w:b/>
                <w:szCs w:val="22"/>
              </w:rPr>
            </w:pPr>
            <w:r w:rsidRPr="00023296">
              <w:rPr>
                <w:rFonts w:ascii="Arial" w:hAnsi="Arial" w:cs="Arial"/>
                <w:b/>
                <w:szCs w:val="22"/>
              </w:rPr>
              <w:t>Opening</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/Participants</w:t>
            </w:r>
          </w:p>
          <w:p w:rsidR="00E70697" w:rsidRPr="00023296" w:rsidRDefault="00E70697" w:rsidP="002F2E2D">
            <w:pPr>
              <w:spacing w:before="120"/>
              <w:ind w:left="284"/>
              <w:rPr>
                <w:rFonts w:ascii="Arial" w:hAnsi="Arial" w:cs="Arial"/>
                <w:i/>
                <w:szCs w:val="22"/>
              </w:rPr>
            </w:pPr>
            <w:r w:rsidRPr="00023296">
              <w:rPr>
                <w:rFonts w:ascii="Arial" w:hAnsi="Arial" w:cs="Arial"/>
                <w:b/>
                <w:i/>
                <w:szCs w:val="22"/>
              </w:rPr>
              <w:t>ITH/</w:t>
            </w:r>
            <w:r>
              <w:rPr>
                <w:rFonts w:ascii="Arial" w:hAnsi="Arial" w:cs="Arial"/>
                <w:b/>
                <w:i/>
                <w:szCs w:val="22"/>
              </w:rPr>
              <w:t>16/11.COM</w:t>
            </w:r>
            <w:r w:rsidRPr="00023296">
              <w:rPr>
                <w:rFonts w:ascii="Arial" w:hAnsi="Arial" w:cs="Arial"/>
                <w:b/>
                <w:i/>
                <w:szCs w:val="22"/>
              </w:rPr>
              <w:t>/INF.1</w:t>
            </w:r>
            <w:r w:rsidR="00CE12DB">
              <w:rPr>
                <w:rFonts w:ascii="Arial" w:hAnsi="Arial" w:cs="Arial"/>
                <w:b/>
                <w:i/>
                <w:szCs w:val="22"/>
              </w:rPr>
              <w:t> Rev.</w:t>
            </w:r>
            <w:r w:rsidRPr="00023296">
              <w:rPr>
                <w:rFonts w:ascii="Arial" w:hAnsi="Arial" w:cs="Arial"/>
                <w:i/>
                <w:szCs w:val="22"/>
              </w:rPr>
              <w:br/>
              <w:t>General Information</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2.</w:t>
            </w:r>
          </w:p>
        </w:tc>
        <w:tc>
          <w:tcPr>
            <w:tcW w:w="5245" w:type="dxa"/>
          </w:tcPr>
          <w:p w:rsidR="00E70697" w:rsidRPr="00CC14FC" w:rsidRDefault="00E70697" w:rsidP="002F2E2D">
            <w:pPr>
              <w:spacing w:before="120"/>
              <w:rPr>
                <w:rFonts w:ascii="Arial" w:hAnsi="Arial" w:cs="Arial"/>
                <w:b/>
                <w:szCs w:val="22"/>
              </w:rPr>
            </w:pPr>
            <w:r w:rsidRPr="00023296">
              <w:rPr>
                <w:rFonts w:ascii="Arial" w:hAnsi="Arial" w:cs="Arial"/>
                <w:b/>
                <w:szCs w:val="22"/>
              </w:rPr>
              <w:t>Adoption of the agenda</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/2</w:t>
            </w:r>
            <w:r w:rsidR="000131BF">
              <w:rPr>
                <w:rFonts w:ascii="Arial" w:hAnsi="Arial" w:cs="Arial"/>
                <w:b/>
                <w:szCs w:val="22"/>
              </w:rPr>
              <w:t xml:space="preserve"> Rev</w:t>
            </w:r>
            <w:r>
              <w:rPr>
                <w:rFonts w:ascii="Arial" w:hAnsi="Arial" w:cs="Arial"/>
                <w:b/>
                <w:szCs w:val="22"/>
              </w:rPr>
              <w:t>.</w:t>
            </w:r>
          </w:p>
          <w:p w:rsidR="00E70697" w:rsidRPr="00023296" w:rsidRDefault="00E70697" w:rsidP="002F2E2D">
            <w:pPr>
              <w:spacing w:before="120"/>
              <w:ind w:left="284"/>
              <w:rPr>
                <w:rFonts w:ascii="Arial" w:hAnsi="Arial" w:cs="Arial"/>
                <w:i/>
                <w:szCs w:val="22"/>
              </w:rPr>
            </w:pPr>
            <w:r w:rsidRPr="004F55EA">
              <w:rPr>
                <w:rFonts w:ascii="Arial" w:hAnsi="Arial" w:cs="Arial"/>
                <w:b/>
                <w:i/>
                <w:szCs w:val="22"/>
              </w:rPr>
              <w:t>ITH/16/</w:t>
            </w:r>
            <w:r w:rsidR="00FB62DD" w:rsidRPr="004F55EA">
              <w:rPr>
                <w:rFonts w:ascii="Arial" w:hAnsi="Arial" w:cs="Arial"/>
                <w:b/>
                <w:i/>
                <w:szCs w:val="22"/>
              </w:rPr>
              <w:t>11</w:t>
            </w:r>
            <w:r w:rsidRPr="004F55EA">
              <w:rPr>
                <w:rFonts w:ascii="Arial" w:hAnsi="Arial" w:cs="Arial"/>
                <w:b/>
                <w:i/>
                <w:szCs w:val="22"/>
              </w:rPr>
              <w:t>.COM/INF.2.1</w:t>
            </w:r>
            <w:r w:rsidR="004F55EA" w:rsidRPr="004F55EA">
              <w:rPr>
                <w:rFonts w:ascii="Arial" w:hAnsi="Arial" w:cs="Arial"/>
                <w:b/>
                <w:i/>
                <w:szCs w:val="22"/>
              </w:rPr>
              <w:t xml:space="preserve"> Rev.</w:t>
            </w:r>
            <w:r w:rsidR="00E55F21">
              <w:rPr>
                <w:rFonts w:ascii="Arial" w:hAnsi="Arial" w:cs="Arial"/>
                <w:b/>
                <w:i/>
                <w:szCs w:val="22"/>
              </w:rPr>
              <w:t>3</w:t>
            </w:r>
            <w:r>
              <w:rPr>
                <w:rFonts w:ascii="Arial" w:hAnsi="Arial" w:cs="Arial"/>
                <w:b/>
                <w:i/>
                <w:szCs w:val="22"/>
              </w:rPr>
              <w:br/>
            </w:r>
            <w:r w:rsidRPr="00023296">
              <w:rPr>
                <w:rFonts w:ascii="Arial" w:hAnsi="Arial" w:cs="Arial"/>
                <w:i/>
                <w:szCs w:val="22"/>
              </w:rPr>
              <w:t>Provisional timetable</w:t>
            </w:r>
            <w:r w:rsidRPr="00023296">
              <w:rPr>
                <w:rFonts w:ascii="Arial" w:hAnsi="Arial" w:cs="Arial"/>
                <w:i/>
                <w:szCs w:val="22"/>
              </w:rPr>
              <w:br/>
            </w:r>
            <w:r w:rsidRPr="00023296">
              <w:rPr>
                <w:rFonts w:ascii="Arial" w:hAnsi="Arial" w:cs="Arial"/>
                <w:b/>
                <w:i/>
                <w:szCs w:val="22"/>
              </w:rPr>
              <w:t>ITH/</w:t>
            </w:r>
            <w:r>
              <w:rPr>
                <w:rFonts w:ascii="Arial" w:hAnsi="Arial" w:cs="Arial"/>
                <w:b/>
                <w:i/>
                <w:szCs w:val="22"/>
              </w:rPr>
              <w:t>16/</w:t>
            </w:r>
            <w:r w:rsidR="00FB62DD">
              <w:rPr>
                <w:rFonts w:ascii="Arial" w:hAnsi="Arial" w:cs="Arial"/>
                <w:b/>
                <w:i/>
                <w:szCs w:val="22"/>
              </w:rPr>
              <w:t>11</w:t>
            </w:r>
            <w:r>
              <w:rPr>
                <w:rFonts w:ascii="Arial" w:hAnsi="Arial" w:cs="Arial"/>
                <w:b/>
                <w:i/>
                <w:szCs w:val="22"/>
              </w:rPr>
              <w:t>.COM</w:t>
            </w:r>
            <w:r w:rsidRPr="00023296">
              <w:rPr>
                <w:rFonts w:ascii="Arial" w:hAnsi="Arial" w:cs="Arial"/>
                <w:b/>
                <w:i/>
                <w:szCs w:val="22"/>
              </w:rPr>
              <w:t>/INF.2.2</w:t>
            </w:r>
            <w:r w:rsidR="00CE12DB">
              <w:rPr>
                <w:rFonts w:ascii="Arial" w:hAnsi="Arial" w:cs="Arial"/>
                <w:b/>
                <w:i/>
                <w:szCs w:val="22"/>
              </w:rPr>
              <w:t> Rev.</w:t>
            </w:r>
            <w:r w:rsidR="00703393">
              <w:rPr>
                <w:rFonts w:ascii="Arial" w:hAnsi="Arial" w:cs="Arial"/>
                <w:b/>
                <w:i/>
                <w:szCs w:val="22"/>
              </w:rPr>
              <w:t>2</w:t>
            </w:r>
            <w:r w:rsidR="00C11F8F">
              <w:rPr>
                <w:rFonts w:ascii="Arial" w:hAnsi="Arial" w:cs="Arial"/>
                <w:b/>
                <w:i/>
                <w:szCs w:val="22"/>
              </w:rPr>
              <w:t xml:space="preserve"> </w:t>
            </w:r>
            <w:r w:rsidRPr="00023296">
              <w:rPr>
                <w:rFonts w:ascii="Arial" w:hAnsi="Arial" w:cs="Arial"/>
                <w:i/>
                <w:szCs w:val="22"/>
              </w:rPr>
              <w:br/>
            </w:r>
            <w:r w:rsidRPr="00023296">
              <w:rPr>
                <w:rFonts w:ascii="Arial" w:eastAsia="SimSun" w:hAnsi="Arial" w:cs="Arial"/>
                <w:i/>
                <w:szCs w:val="22"/>
              </w:rPr>
              <w:t>Provisional list of documents</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3.</w:t>
            </w:r>
          </w:p>
        </w:tc>
        <w:tc>
          <w:tcPr>
            <w:tcW w:w="5245" w:type="dxa"/>
          </w:tcPr>
          <w:p w:rsidR="00E70697" w:rsidRPr="00023296" w:rsidRDefault="00E70697" w:rsidP="002F2E2D">
            <w:pPr>
              <w:spacing w:before="120"/>
              <w:rPr>
                <w:rFonts w:ascii="Arial" w:hAnsi="Arial" w:cs="Arial"/>
                <w:b/>
                <w:bCs/>
                <w:snapToGrid w:val="0"/>
                <w:szCs w:val="22"/>
                <w:lang w:eastAsia="en-US"/>
              </w:rPr>
            </w:pPr>
            <w:r w:rsidRPr="00023296">
              <w:rPr>
                <w:rFonts w:ascii="Arial" w:hAnsi="Arial" w:cs="Arial"/>
                <w:b/>
                <w:bCs/>
                <w:snapToGrid w:val="0"/>
                <w:szCs w:val="22"/>
                <w:lang w:eastAsia="en-US"/>
              </w:rPr>
              <w:t>Observers</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/3</w:t>
            </w:r>
          </w:p>
        </w:tc>
      </w:tr>
      <w:tr w:rsidR="00E70697" w:rsidRPr="00023296" w:rsidTr="00FB5752">
        <w:trPr>
          <w:cantSplit/>
        </w:trPr>
        <w:tc>
          <w:tcPr>
            <w:tcW w:w="567" w:type="dxa"/>
          </w:tcPr>
          <w:p w:rsidR="00E70697" w:rsidRPr="00023296" w:rsidRDefault="00E70697" w:rsidP="002F2E2D">
            <w:pPr>
              <w:spacing w:before="120"/>
              <w:jc w:val="right"/>
              <w:rPr>
                <w:rFonts w:ascii="Arial" w:hAnsi="Arial" w:cs="Arial"/>
                <w:b/>
                <w:szCs w:val="22"/>
              </w:rPr>
            </w:pPr>
            <w:r w:rsidRPr="00023296">
              <w:rPr>
                <w:rFonts w:ascii="Arial" w:hAnsi="Arial" w:cs="Arial"/>
                <w:b/>
                <w:szCs w:val="22"/>
              </w:rPr>
              <w:t>4.</w:t>
            </w:r>
          </w:p>
        </w:tc>
        <w:tc>
          <w:tcPr>
            <w:tcW w:w="5245" w:type="dxa"/>
          </w:tcPr>
          <w:p w:rsidR="00E70697" w:rsidRPr="00023296" w:rsidRDefault="00E70697" w:rsidP="002F2E2D">
            <w:pPr>
              <w:keepNext/>
              <w:keepLines/>
              <w:tabs>
                <w:tab w:val="left" w:pos="567"/>
              </w:tabs>
              <w:snapToGrid w:val="0"/>
              <w:spacing w:before="120"/>
              <w:outlineLvl w:val="3"/>
              <w:rPr>
                <w:rFonts w:ascii="Arial" w:hAnsi="Arial" w:cs="Arial"/>
                <w:b/>
                <w:bCs/>
                <w:snapToGrid w:val="0"/>
                <w:szCs w:val="22"/>
                <w:lang w:eastAsia="en-US"/>
              </w:rPr>
            </w:pPr>
            <w:r w:rsidRPr="00023296">
              <w:rPr>
                <w:rFonts w:ascii="Arial" w:hAnsi="Arial" w:cs="Arial"/>
                <w:b/>
                <w:bCs/>
                <w:snapToGrid w:val="0"/>
                <w:szCs w:val="22"/>
                <w:lang w:eastAsia="en-US"/>
              </w:rPr>
              <w:t xml:space="preserve">Adoption of the summary records of the </w:t>
            </w:r>
            <w:r>
              <w:rPr>
                <w:rFonts w:ascii="Arial" w:hAnsi="Arial" w:cs="Arial"/>
                <w:b/>
                <w:bCs/>
                <w:snapToGrid w:val="0"/>
                <w:szCs w:val="22"/>
                <w:lang w:eastAsia="en-US"/>
              </w:rPr>
              <w:t>tenth</w:t>
            </w:r>
            <w:r w:rsidRPr="00023296">
              <w:rPr>
                <w:rFonts w:ascii="Arial" w:hAnsi="Arial" w:cs="Arial"/>
                <w:b/>
                <w:bCs/>
                <w:snapToGrid w:val="0"/>
                <w:szCs w:val="22"/>
                <w:lang w:eastAsia="en-US"/>
              </w:rPr>
              <w:t xml:space="preserve"> session of the Committee</w:t>
            </w:r>
          </w:p>
        </w:tc>
        <w:tc>
          <w:tcPr>
            <w:tcW w:w="3860" w:type="dxa"/>
          </w:tcPr>
          <w:p w:rsidR="00E70697" w:rsidRPr="00023296" w:rsidRDefault="00E70697"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/4</w:t>
            </w:r>
          </w:p>
        </w:tc>
      </w:tr>
      <w:tr w:rsidR="00A02AEE" w:rsidRPr="00023296" w:rsidTr="00FB5752">
        <w:trPr>
          <w:cantSplit/>
        </w:trPr>
        <w:tc>
          <w:tcPr>
            <w:tcW w:w="567" w:type="dxa"/>
          </w:tcPr>
          <w:p w:rsidR="00A02AEE" w:rsidRPr="00023296" w:rsidRDefault="00A02AEE" w:rsidP="002F2E2D">
            <w:pPr>
              <w:spacing w:before="120"/>
              <w:jc w:val="right"/>
              <w:rPr>
                <w:rFonts w:ascii="Arial" w:hAnsi="Arial" w:cs="Arial"/>
                <w:b/>
                <w:szCs w:val="22"/>
              </w:rPr>
            </w:pPr>
            <w:r>
              <w:rPr>
                <w:rFonts w:ascii="Arial" w:hAnsi="Arial" w:cs="Arial"/>
                <w:b/>
                <w:szCs w:val="22"/>
              </w:rPr>
              <w:t>5</w:t>
            </w:r>
            <w:r w:rsidRPr="00023296">
              <w:rPr>
                <w:rFonts w:ascii="Arial" w:hAnsi="Arial" w:cs="Arial"/>
                <w:b/>
                <w:szCs w:val="22"/>
              </w:rPr>
              <w:t>.</w:t>
            </w:r>
          </w:p>
        </w:tc>
        <w:tc>
          <w:tcPr>
            <w:tcW w:w="5245" w:type="dxa"/>
          </w:tcPr>
          <w:p w:rsidR="00A02AEE" w:rsidRPr="00023296" w:rsidRDefault="00A02AEE" w:rsidP="002F2E2D">
            <w:pPr>
              <w:spacing w:before="120"/>
              <w:ind w:left="567" w:hanging="567"/>
              <w:rPr>
                <w:rFonts w:ascii="Arial" w:hAnsi="Arial" w:cs="Arial"/>
                <w:b/>
                <w:szCs w:val="22"/>
              </w:rPr>
            </w:pPr>
            <w:r w:rsidRPr="00BC7550">
              <w:rPr>
                <w:rFonts w:ascii="Arial" w:hAnsi="Arial" w:cs="Arial"/>
                <w:b/>
                <w:bCs/>
                <w:snapToGrid w:val="0"/>
                <w:szCs w:val="22"/>
                <w:lang w:eastAsia="en-US"/>
              </w:rPr>
              <w:t>Report by the Secretariat on its activities</w:t>
            </w:r>
          </w:p>
        </w:tc>
        <w:tc>
          <w:tcPr>
            <w:tcW w:w="3860" w:type="dxa"/>
          </w:tcPr>
          <w:p w:rsidR="00A02AEE" w:rsidRDefault="00A02AEE"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16/11.COM/5</w:t>
            </w:r>
          </w:p>
          <w:p w:rsidR="00A02AEE" w:rsidRPr="00023296" w:rsidRDefault="00A02AEE" w:rsidP="002F2E2D">
            <w:pPr>
              <w:spacing w:before="120"/>
              <w:ind w:left="284"/>
              <w:rPr>
                <w:rFonts w:ascii="Arial" w:hAnsi="Arial" w:cs="Arial"/>
                <w:b/>
                <w:szCs w:val="22"/>
              </w:rPr>
            </w:pPr>
            <w:r w:rsidRPr="00023296">
              <w:rPr>
                <w:rFonts w:ascii="Arial" w:hAnsi="Arial" w:cs="Arial"/>
                <w:b/>
                <w:i/>
                <w:szCs w:val="22"/>
              </w:rPr>
              <w:t>ITH/</w:t>
            </w:r>
            <w:r>
              <w:rPr>
                <w:rFonts w:ascii="Arial" w:hAnsi="Arial" w:cs="Arial"/>
                <w:b/>
                <w:i/>
                <w:szCs w:val="22"/>
              </w:rPr>
              <w:t>16/</w:t>
            </w:r>
            <w:r w:rsidR="00FB62DD">
              <w:rPr>
                <w:rFonts w:ascii="Arial" w:hAnsi="Arial" w:cs="Arial"/>
                <w:b/>
                <w:i/>
                <w:szCs w:val="22"/>
              </w:rPr>
              <w:t>11</w:t>
            </w:r>
            <w:r>
              <w:rPr>
                <w:rFonts w:ascii="Arial" w:hAnsi="Arial" w:cs="Arial"/>
                <w:b/>
                <w:i/>
                <w:szCs w:val="22"/>
              </w:rPr>
              <w:t>.COM/INF.5</w:t>
            </w:r>
            <w:r>
              <w:rPr>
                <w:rFonts w:ascii="Arial" w:hAnsi="Arial" w:cs="Arial"/>
                <w:b/>
                <w:i/>
                <w:szCs w:val="22"/>
              </w:rPr>
              <w:br/>
            </w:r>
            <w:r w:rsidRPr="00BC7550">
              <w:rPr>
                <w:rFonts w:ascii="Arial" w:hAnsi="Arial" w:cs="Arial"/>
                <w:i/>
                <w:szCs w:val="22"/>
              </w:rPr>
              <w:t xml:space="preserve">Financial Statement of the Intangible Cultural </w:t>
            </w:r>
            <w:r>
              <w:rPr>
                <w:rFonts w:ascii="Arial" w:hAnsi="Arial" w:cs="Arial"/>
                <w:i/>
                <w:szCs w:val="22"/>
              </w:rPr>
              <w:t xml:space="preserve">Heritage Fund for the period 1 </w:t>
            </w:r>
            <w:r w:rsidRPr="00BC7550">
              <w:rPr>
                <w:rFonts w:ascii="Arial" w:hAnsi="Arial" w:cs="Arial"/>
                <w:i/>
                <w:szCs w:val="22"/>
              </w:rPr>
              <w:t>January 2016 to 30 June 2016</w:t>
            </w:r>
          </w:p>
        </w:tc>
      </w:tr>
      <w:tr w:rsidR="00A02AEE" w:rsidRPr="00023296" w:rsidTr="00A02AEE">
        <w:trPr>
          <w:cantSplit/>
        </w:trPr>
        <w:tc>
          <w:tcPr>
            <w:tcW w:w="567" w:type="dxa"/>
          </w:tcPr>
          <w:p w:rsidR="00A02AEE" w:rsidRPr="00023296" w:rsidRDefault="00A02AEE" w:rsidP="002F2E2D">
            <w:pPr>
              <w:spacing w:before="120"/>
              <w:jc w:val="right"/>
              <w:rPr>
                <w:rFonts w:ascii="Arial" w:hAnsi="Arial" w:cs="Arial"/>
                <w:b/>
                <w:szCs w:val="22"/>
              </w:rPr>
            </w:pPr>
            <w:r>
              <w:rPr>
                <w:rFonts w:ascii="Arial" w:hAnsi="Arial" w:cs="Arial"/>
                <w:b/>
                <w:szCs w:val="22"/>
              </w:rPr>
              <w:t>6.</w:t>
            </w:r>
          </w:p>
        </w:tc>
        <w:tc>
          <w:tcPr>
            <w:tcW w:w="5245" w:type="dxa"/>
          </w:tcPr>
          <w:p w:rsidR="00A02AEE" w:rsidRPr="00A02AEE" w:rsidRDefault="00A02AEE" w:rsidP="002F2E2D">
            <w:pPr>
              <w:spacing w:before="120"/>
              <w:rPr>
                <w:rFonts w:ascii="Arial" w:hAnsi="Arial" w:cs="Arial"/>
                <w:b/>
                <w:bCs/>
                <w:snapToGrid w:val="0"/>
                <w:szCs w:val="22"/>
                <w:lang w:eastAsia="en-US"/>
              </w:rPr>
            </w:pPr>
            <w:r w:rsidRPr="00A02AEE">
              <w:rPr>
                <w:rFonts w:ascii="Arial" w:hAnsi="Arial" w:cs="Arial"/>
                <w:b/>
                <w:bCs/>
                <w:snapToGrid w:val="0"/>
                <w:szCs w:val="22"/>
                <w:lang w:eastAsia="en-US"/>
              </w:rPr>
              <w:t>Voluntary supp</w:t>
            </w:r>
            <w:r w:rsidR="008D1D05">
              <w:rPr>
                <w:rFonts w:ascii="Arial" w:hAnsi="Arial" w:cs="Arial"/>
                <w:b/>
                <w:bCs/>
                <w:snapToGrid w:val="0"/>
                <w:szCs w:val="22"/>
                <w:lang w:eastAsia="en-US"/>
              </w:rPr>
              <w:t xml:space="preserve">lementary contributions to the </w:t>
            </w:r>
            <w:r w:rsidRPr="00A02AEE">
              <w:rPr>
                <w:rFonts w:ascii="Arial" w:hAnsi="Arial" w:cs="Arial"/>
                <w:b/>
                <w:bCs/>
                <w:snapToGrid w:val="0"/>
                <w:szCs w:val="22"/>
                <w:lang w:eastAsia="en-US"/>
              </w:rPr>
              <w:t>Intangible Cultural Heritage Fund</w:t>
            </w:r>
          </w:p>
        </w:tc>
        <w:tc>
          <w:tcPr>
            <w:tcW w:w="3860" w:type="dxa"/>
          </w:tcPr>
          <w:p w:rsidR="00A02AEE" w:rsidRPr="00A02AEE" w:rsidRDefault="00A02AEE" w:rsidP="002F2E2D">
            <w:pPr>
              <w:spacing w:before="120"/>
              <w:rPr>
                <w:rFonts w:ascii="Arial" w:hAnsi="Arial" w:cs="Arial"/>
                <w:i/>
                <w:szCs w:val="22"/>
              </w:rPr>
            </w:pPr>
            <w:r w:rsidRPr="00A02AEE">
              <w:rPr>
                <w:rFonts w:ascii="Arial" w:hAnsi="Arial" w:cs="Arial"/>
                <w:b/>
                <w:szCs w:val="22"/>
              </w:rPr>
              <w:t>ITH/16/11.COM/6</w:t>
            </w:r>
            <w:r w:rsidR="00703393">
              <w:rPr>
                <w:rFonts w:ascii="Arial" w:hAnsi="Arial" w:cs="Arial"/>
                <w:b/>
                <w:szCs w:val="22"/>
              </w:rPr>
              <w:t xml:space="preserve"> Rev.</w:t>
            </w:r>
          </w:p>
        </w:tc>
      </w:tr>
      <w:tr w:rsidR="00A02AEE" w:rsidRPr="00023296" w:rsidTr="00A02AEE">
        <w:trPr>
          <w:cantSplit/>
        </w:trPr>
        <w:tc>
          <w:tcPr>
            <w:tcW w:w="567" w:type="dxa"/>
          </w:tcPr>
          <w:p w:rsidR="00A02AEE" w:rsidRDefault="00A02AEE" w:rsidP="002F2E2D">
            <w:pPr>
              <w:spacing w:before="120"/>
              <w:jc w:val="right"/>
              <w:rPr>
                <w:rFonts w:ascii="Arial" w:hAnsi="Arial" w:cs="Arial"/>
                <w:b/>
                <w:szCs w:val="22"/>
              </w:rPr>
            </w:pPr>
            <w:r>
              <w:rPr>
                <w:rFonts w:ascii="Arial" w:hAnsi="Arial" w:cs="Arial"/>
                <w:b/>
                <w:szCs w:val="22"/>
              </w:rPr>
              <w:t>7.</w:t>
            </w:r>
          </w:p>
        </w:tc>
        <w:tc>
          <w:tcPr>
            <w:tcW w:w="5245" w:type="dxa"/>
          </w:tcPr>
          <w:p w:rsidR="00A02AEE" w:rsidRPr="00A02AEE" w:rsidRDefault="00A02AEE" w:rsidP="002F2E2D">
            <w:pPr>
              <w:spacing w:before="120"/>
              <w:rPr>
                <w:rFonts w:ascii="Arial" w:hAnsi="Arial" w:cs="Arial"/>
                <w:b/>
                <w:bCs/>
                <w:snapToGrid w:val="0"/>
                <w:szCs w:val="22"/>
                <w:lang w:eastAsia="en-US"/>
              </w:rPr>
            </w:pPr>
            <w:r>
              <w:rPr>
                <w:rFonts w:ascii="Arial" w:hAnsi="Arial" w:cs="Arial"/>
                <w:b/>
                <w:bCs/>
                <w:snapToGrid w:val="0"/>
                <w:szCs w:val="22"/>
                <w:lang w:eastAsia="en-US"/>
              </w:rPr>
              <w:t>Follow-up to the r</w:t>
            </w:r>
            <w:r w:rsidRPr="00A02AEE">
              <w:rPr>
                <w:rFonts w:ascii="Arial" w:hAnsi="Arial" w:cs="Arial"/>
                <w:b/>
                <w:bCs/>
                <w:snapToGrid w:val="0"/>
                <w:szCs w:val="22"/>
                <w:lang w:eastAsia="en-US"/>
              </w:rPr>
              <w:t>ecommendations of the External Auditor’s ‘Report on the governance of UNESCO and dependant funds, programmes and entities’ (Document 38C/23)</w:t>
            </w:r>
          </w:p>
        </w:tc>
        <w:tc>
          <w:tcPr>
            <w:tcW w:w="3860" w:type="dxa"/>
          </w:tcPr>
          <w:p w:rsidR="00A02AEE" w:rsidRPr="00023296" w:rsidRDefault="00A02AEE" w:rsidP="002F2E2D">
            <w:pPr>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11.COM/7</w:t>
            </w:r>
          </w:p>
        </w:tc>
      </w:tr>
      <w:tr w:rsidR="00A02AEE" w:rsidRPr="00023296" w:rsidTr="00A02AEE">
        <w:trPr>
          <w:cantSplit/>
        </w:trPr>
        <w:tc>
          <w:tcPr>
            <w:tcW w:w="567" w:type="dxa"/>
          </w:tcPr>
          <w:p w:rsidR="00A02AEE" w:rsidRDefault="00A02AEE" w:rsidP="002F2E2D">
            <w:pPr>
              <w:spacing w:before="120"/>
              <w:jc w:val="right"/>
              <w:rPr>
                <w:rFonts w:ascii="Arial" w:hAnsi="Arial" w:cs="Arial"/>
                <w:b/>
                <w:szCs w:val="22"/>
              </w:rPr>
            </w:pPr>
            <w:r>
              <w:rPr>
                <w:rFonts w:ascii="Arial" w:hAnsi="Arial" w:cs="Arial"/>
                <w:b/>
                <w:szCs w:val="22"/>
              </w:rPr>
              <w:t>8.</w:t>
            </w:r>
          </w:p>
        </w:tc>
        <w:tc>
          <w:tcPr>
            <w:tcW w:w="5245" w:type="dxa"/>
          </w:tcPr>
          <w:p w:rsidR="00A02AEE" w:rsidRDefault="004C523D" w:rsidP="002F2E2D">
            <w:pPr>
              <w:spacing w:before="120"/>
              <w:rPr>
                <w:rFonts w:ascii="Arial" w:hAnsi="Arial" w:cs="Arial"/>
                <w:b/>
                <w:bCs/>
                <w:snapToGrid w:val="0"/>
                <w:szCs w:val="22"/>
                <w:lang w:eastAsia="en-US"/>
              </w:rPr>
            </w:pPr>
            <w:r w:rsidRPr="004C523D">
              <w:rPr>
                <w:rFonts w:ascii="Arial" w:hAnsi="Arial" w:cs="Arial"/>
                <w:b/>
                <w:bCs/>
                <w:snapToGrid w:val="0"/>
                <w:szCs w:val="22"/>
                <w:lang w:eastAsia="en-US"/>
              </w:rPr>
              <w:t>Clarification on the decision making process concerning inscription, selection, or approval, of nominations, proposals and requests</w:t>
            </w:r>
          </w:p>
        </w:tc>
        <w:tc>
          <w:tcPr>
            <w:tcW w:w="3860" w:type="dxa"/>
          </w:tcPr>
          <w:p w:rsidR="00A02AEE" w:rsidRDefault="00A02AEE" w:rsidP="002F2E2D">
            <w:pPr>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11.COM/8</w:t>
            </w:r>
          </w:p>
        </w:tc>
      </w:tr>
      <w:tr w:rsidR="00A02AEE" w:rsidRPr="00023296" w:rsidTr="00FB5752">
        <w:trPr>
          <w:cantSplit/>
        </w:trPr>
        <w:tc>
          <w:tcPr>
            <w:tcW w:w="567" w:type="dxa"/>
          </w:tcPr>
          <w:p w:rsidR="00A02AEE" w:rsidRPr="00023296" w:rsidRDefault="00A02AEE" w:rsidP="002F2E2D">
            <w:pPr>
              <w:spacing w:before="120"/>
              <w:jc w:val="right"/>
              <w:rPr>
                <w:rFonts w:ascii="Arial" w:hAnsi="Arial" w:cs="Arial"/>
                <w:b/>
                <w:szCs w:val="22"/>
              </w:rPr>
            </w:pPr>
            <w:r>
              <w:rPr>
                <w:rFonts w:ascii="Arial" w:hAnsi="Arial" w:cs="Arial"/>
                <w:b/>
                <w:szCs w:val="22"/>
              </w:rPr>
              <w:t>9</w:t>
            </w:r>
            <w:r w:rsidRPr="00023296">
              <w:rPr>
                <w:rFonts w:ascii="Arial" w:hAnsi="Arial" w:cs="Arial"/>
                <w:b/>
                <w:szCs w:val="22"/>
              </w:rPr>
              <w:t>.</w:t>
            </w:r>
          </w:p>
        </w:tc>
        <w:tc>
          <w:tcPr>
            <w:tcW w:w="5245" w:type="dxa"/>
          </w:tcPr>
          <w:p w:rsidR="00A02AEE" w:rsidRPr="00023296" w:rsidRDefault="00A02AEE" w:rsidP="002F2E2D">
            <w:pPr>
              <w:keepNext/>
              <w:keepLines/>
              <w:tabs>
                <w:tab w:val="left" w:pos="567"/>
              </w:tabs>
              <w:snapToGrid w:val="0"/>
              <w:spacing w:before="120"/>
              <w:outlineLvl w:val="3"/>
              <w:rPr>
                <w:rFonts w:ascii="Arial" w:hAnsi="Arial" w:cs="Arial"/>
                <w:b/>
                <w:bCs/>
                <w:szCs w:val="22"/>
              </w:rPr>
            </w:pPr>
            <w:r w:rsidRPr="00023296">
              <w:rPr>
                <w:rFonts w:ascii="Arial" w:hAnsi="Arial" w:cs="Arial"/>
                <w:b/>
                <w:szCs w:val="22"/>
              </w:rPr>
              <w:t>Reports of States Parties</w:t>
            </w:r>
          </w:p>
        </w:tc>
        <w:tc>
          <w:tcPr>
            <w:tcW w:w="3860" w:type="dxa"/>
          </w:tcPr>
          <w:p w:rsidR="00A02AEE" w:rsidRPr="00023296" w:rsidRDefault="00A02AEE" w:rsidP="002F2E2D">
            <w:pPr>
              <w:spacing w:before="120"/>
              <w:rPr>
                <w:rFonts w:ascii="Arial" w:hAnsi="Arial" w:cs="Arial"/>
                <w:b/>
                <w:szCs w:val="22"/>
              </w:rPr>
            </w:pPr>
          </w:p>
        </w:tc>
      </w:tr>
      <w:tr w:rsidR="00A02AEE" w:rsidRPr="00023296" w:rsidTr="00FB5752">
        <w:trPr>
          <w:cantSplit/>
        </w:trPr>
        <w:tc>
          <w:tcPr>
            <w:tcW w:w="567" w:type="dxa"/>
          </w:tcPr>
          <w:p w:rsidR="00A02AEE" w:rsidRPr="00023296" w:rsidRDefault="00A02AEE" w:rsidP="002F2E2D">
            <w:pPr>
              <w:spacing w:before="120"/>
              <w:jc w:val="right"/>
              <w:rPr>
                <w:rFonts w:ascii="Arial" w:hAnsi="Arial" w:cs="Arial"/>
                <w:b/>
                <w:szCs w:val="22"/>
              </w:rPr>
            </w:pPr>
          </w:p>
        </w:tc>
        <w:tc>
          <w:tcPr>
            <w:tcW w:w="5245" w:type="dxa"/>
          </w:tcPr>
          <w:p w:rsidR="00A02AEE" w:rsidRPr="00023296" w:rsidRDefault="00A02AEE" w:rsidP="002F2E2D">
            <w:pPr>
              <w:spacing w:before="120"/>
              <w:ind w:left="567" w:hanging="567"/>
              <w:rPr>
                <w:rFonts w:ascii="Arial" w:hAnsi="Arial" w:cs="Arial"/>
                <w:b/>
                <w:szCs w:val="22"/>
              </w:rPr>
            </w:pPr>
            <w:r>
              <w:rPr>
                <w:rFonts w:ascii="Arial" w:hAnsi="Arial" w:cs="Arial"/>
                <w:b/>
                <w:szCs w:val="22"/>
              </w:rPr>
              <w:t>9</w:t>
            </w:r>
            <w:r w:rsidRPr="00023296">
              <w:rPr>
                <w:rFonts w:ascii="Arial" w:hAnsi="Arial" w:cs="Arial"/>
                <w:b/>
                <w:szCs w:val="22"/>
              </w:rPr>
              <w:t>.a.</w:t>
            </w:r>
            <w:r w:rsidRPr="00023296">
              <w:rPr>
                <w:rFonts w:ascii="Arial" w:hAnsi="Arial" w:cs="Arial"/>
                <w:b/>
                <w:szCs w:val="22"/>
              </w:rPr>
              <w:tab/>
              <w:t>Examination of the reports of States Parties on the implementation of the Convention and on the current status of elements inscribed on the Representative List of the Intangible Cultural Heritage of Humanity</w:t>
            </w:r>
          </w:p>
        </w:tc>
        <w:tc>
          <w:tcPr>
            <w:tcW w:w="3860" w:type="dxa"/>
          </w:tcPr>
          <w:p w:rsidR="00A02AEE" w:rsidRPr="00023296" w:rsidRDefault="00A02AEE"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w:t>
            </w:r>
            <w:r>
              <w:rPr>
                <w:rFonts w:ascii="Arial" w:hAnsi="Arial" w:cs="Arial"/>
                <w:b/>
                <w:szCs w:val="22"/>
              </w:rPr>
              <w:t>9</w:t>
            </w:r>
            <w:r w:rsidRPr="00023296">
              <w:rPr>
                <w:rFonts w:ascii="Arial" w:hAnsi="Arial" w:cs="Arial"/>
                <w:b/>
                <w:szCs w:val="22"/>
              </w:rPr>
              <w:t>.a</w:t>
            </w:r>
          </w:p>
          <w:p w:rsidR="00A02AEE" w:rsidRPr="00023296" w:rsidRDefault="00A02AEE" w:rsidP="002F2E2D">
            <w:pPr>
              <w:spacing w:before="120"/>
              <w:ind w:left="284"/>
              <w:rPr>
                <w:rFonts w:ascii="Arial" w:hAnsi="Arial" w:cs="Arial"/>
                <w:i/>
                <w:szCs w:val="22"/>
              </w:rPr>
            </w:pPr>
            <w:r w:rsidRPr="00B25CC1">
              <w:rPr>
                <w:rFonts w:ascii="Arial" w:hAnsi="Arial" w:cs="Arial"/>
                <w:i/>
                <w:szCs w:val="22"/>
              </w:rPr>
              <w:t>Reports available at:</w:t>
            </w:r>
            <w:r w:rsidR="002F2E2D">
              <w:rPr>
                <w:rFonts w:ascii="Arial" w:eastAsiaTheme="minorEastAsia" w:hAnsi="Arial" w:cs="Arial" w:hint="eastAsia"/>
                <w:lang w:eastAsia="ko-KR"/>
              </w:rPr>
              <w:br/>
            </w:r>
            <w:hyperlink r:id="rId9" w:history="1">
              <w:r w:rsidR="00B25CC1" w:rsidRPr="00C17727">
                <w:rPr>
                  <w:rStyle w:val="Hyperlink"/>
                  <w:rFonts w:ascii="Arial" w:hAnsi="Arial" w:cs="Arial"/>
                  <w:i/>
                </w:rPr>
                <w:t>http://www.unesco.org/culture/ich/en/periodic-reporting-00857</w:t>
              </w:r>
            </w:hyperlink>
          </w:p>
        </w:tc>
      </w:tr>
      <w:tr w:rsidR="00A02AEE" w:rsidRPr="00023296" w:rsidTr="00FB5752">
        <w:trPr>
          <w:cantSplit/>
        </w:trPr>
        <w:tc>
          <w:tcPr>
            <w:tcW w:w="567" w:type="dxa"/>
          </w:tcPr>
          <w:p w:rsidR="00A02AEE" w:rsidRPr="00023296" w:rsidRDefault="00A02AEE" w:rsidP="002F2E2D">
            <w:pPr>
              <w:spacing w:before="120"/>
              <w:jc w:val="right"/>
              <w:rPr>
                <w:rFonts w:ascii="Arial" w:hAnsi="Arial" w:cs="Arial"/>
                <w:b/>
                <w:szCs w:val="22"/>
              </w:rPr>
            </w:pPr>
          </w:p>
        </w:tc>
        <w:tc>
          <w:tcPr>
            <w:tcW w:w="5245" w:type="dxa"/>
          </w:tcPr>
          <w:p w:rsidR="00A02AEE" w:rsidRPr="003537D3" w:rsidRDefault="00A02AEE" w:rsidP="002F2E2D">
            <w:pPr>
              <w:spacing w:before="120"/>
              <w:ind w:left="567" w:hanging="567"/>
              <w:rPr>
                <w:rFonts w:ascii="Arial" w:hAnsi="Arial" w:cs="Arial"/>
                <w:b/>
                <w:szCs w:val="22"/>
              </w:rPr>
            </w:pPr>
            <w:r>
              <w:rPr>
                <w:rFonts w:ascii="Arial" w:hAnsi="Arial" w:cs="Arial"/>
                <w:b/>
                <w:szCs w:val="22"/>
              </w:rPr>
              <w:t>9.b</w:t>
            </w:r>
            <w:r w:rsidRPr="00023296">
              <w:rPr>
                <w:rFonts w:ascii="Arial" w:hAnsi="Arial" w:cs="Arial"/>
                <w:b/>
                <w:szCs w:val="22"/>
              </w:rPr>
              <w:t>.</w:t>
            </w:r>
            <w:r w:rsidRPr="00023296">
              <w:rPr>
                <w:rFonts w:ascii="Arial" w:hAnsi="Arial" w:cs="Arial"/>
                <w:b/>
                <w:szCs w:val="22"/>
              </w:rPr>
              <w:tab/>
            </w:r>
            <w:r w:rsidRPr="003537D3">
              <w:rPr>
                <w:rFonts w:ascii="Arial" w:hAnsi="Arial" w:cs="Arial"/>
                <w:b/>
                <w:szCs w:val="22"/>
              </w:rPr>
              <w:t>Examination of the reports of States Parties on the current status of elements inscribed on the List of Intangible Cultural Heritage in Need of Urgent Safeguarding</w:t>
            </w:r>
          </w:p>
        </w:tc>
        <w:tc>
          <w:tcPr>
            <w:tcW w:w="3860" w:type="dxa"/>
          </w:tcPr>
          <w:p w:rsidR="00A02AEE" w:rsidRPr="00023296" w:rsidRDefault="00A02AEE" w:rsidP="002F2E2D">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w:t>
            </w:r>
            <w:r>
              <w:rPr>
                <w:rFonts w:ascii="Arial" w:hAnsi="Arial" w:cs="Arial"/>
                <w:b/>
                <w:szCs w:val="22"/>
              </w:rPr>
              <w:t>9.b</w:t>
            </w:r>
          </w:p>
          <w:p w:rsidR="00A02AEE" w:rsidRPr="002F2E2D" w:rsidRDefault="00A02AEE" w:rsidP="002F2E2D">
            <w:pPr>
              <w:spacing w:before="120"/>
              <w:ind w:left="284"/>
              <w:rPr>
                <w:rFonts w:ascii="Arial" w:eastAsiaTheme="minorEastAsia" w:hAnsi="Arial" w:cs="Arial"/>
                <w:i/>
                <w:color w:val="0000FF"/>
                <w:u w:val="single"/>
                <w:lang w:eastAsia="ko-KR"/>
              </w:rPr>
            </w:pPr>
            <w:r w:rsidRPr="00B25CC1">
              <w:rPr>
                <w:rFonts w:ascii="Arial" w:hAnsi="Arial" w:cs="Arial"/>
                <w:i/>
                <w:szCs w:val="22"/>
              </w:rPr>
              <w:t>Reports available at:</w:t>
            </w:r>
            <w:r>
              <w:t xml:space="preserve"> </w:t>
            </w:r>
            <w:r w:rsidR="002F2E2D">
              <w:rPr>
                <w:rFonts w:eastAsiaTheme="minorEastAsia" w:hint="eastAsia"/>
                <w:lang w:eastAsia="ko-KR"/>
              </w:rPr>
              <w:br/>
            </w:r>
            <w:hyperlink r:id="rId10" w:history="1">
              <w:r w:rsidR="00B25CC1" w:rsidRPr="00C17727">
                <w:rPr>
                  <w:rStyle w:val="Hyperlink"/>
                  <w:rFonts w:ascii="Arial" w:hAnsi="Arial" w:cs="Arial"/>
                  <w:i/>
                </w:rPr>
                <w:t>http://www.unesco.org/culture/ich/en/periodic-reporting-usl-00858</w:t>
              </w:r>
            </w:hyperlink>
          </w:p>
        </w:tc>
      </w:tr>
      <w:tr w:rsidR="00A02AEE" w:rsidRPr="00023296" w:rsidTr="00FB5752">
        <w:trPr>
          <w:cantSplit/>
        </w:trPr>
        <w:tc>
          <w:tcPr>
            <w:tcW w:w="567" w:type="dxa"/>
          </w:tcPr>
          <w:p w:rsidR="00A02AEE" w:rsidRPr="00023296" w:rsidRDefault="00A02AEE" w:rsidP="002F2E2D">
            <w:pPr>
              <w:spacing w:before="120"/>
              <w:jc w:val="right"/>
              <w:rPr>
                <w:rFonts w:ascii="Arial" w:hAnsi="Arial" w:cs="Arial"/>
                <w:b/>
                <w:szCs w:val="22"/>
              </w:rPr>
            </w:pPr>
          </w:p>
        </w:tc>
        <w:tc>
          <w:tcPr>
            <w:tcW w:w="5245" w:type="dxa"/>
          </w:tcPr>
          <w:p w:rsidR="00A02AEE" w:rsidRPr="00023296" w:rsidRDefault="00A02AEE" w:rsidP="00876AB7">
            <w:pPr>
              <w:spacing w:before="120"/>
              <w:ind w:left="567" w:hanging="567"/>
              <w:rPr>
                <w:rFonts w:ascii="Arial" w:hAnsi="Arial" w:cs="Arial"/>
                <w:b/>
                <w:szCs w:val="22"/>
              </w:rPr>
            </w:pPr>
            <w:r>
              <w:rPr>
                <w:rFonts w:ascii="Arial" w:hAnsi="Arial" w:cs="Arial"/>
                <w:b/>
                <w:szCs w:val="22"/>
              </w:rPr>
              <w:t>9</w:t>
            </w:r>
            <w:r w:rsidRPr="00023296">
              <w:rPr>
                <w:rFonts w:ascii="Arial" w:hAnsi="Arial" w:cs="Arial"/>
                <w:b/>
                <w:szCs w:val="22"/>
              </w:rPr>
              <w:t>.c.</w:t>
            </w:r>
            <w:r w:rsidRPr="00023296">
              <w:rPr>
                <w:rFonts w:ascii="Arial" w:hAnsi="Arial" w:cs="Arial"/>
                <w:b/>
                <w:szCs w:val="22"/>
              </w:rPr>
              <w:tab/>
              <w:t xml:space="preserve">Reports of States Parties on the use of </w:t>
            </w:r>
            <w:r w:rsidR="004C523D">
              <w:rPr>
                <w:rFonts w:ascii="Arial" w:hAnsi="Arial" w:cs="Arial"/>
                <w:b/>
                <w:szCs w:val="22"/>
              </w:rPr>
              <w:t>I</w:t>
            </w:r>
            <w:r w:rsidR="004C523D" w:rsidRPr="00023296">
              <w:rPr>
                <w:rFonts w:ascii="Arial" w:hAnsi="Arial" w:cs="Arial"/>
                <w:b/>
                <w:szCs w:val="22"/>
              </w:rPr>
              <w:t xml:space="preserve">nternational </w:t>
            </w:r>
            <w:r w:rsidR="004C523D">
              <w:rPr>
                <w:rFonts w:ascii="Arial" w:hAnsi="Arial" w:cs="Arial"/>
                <w:b/>
                <w:szCs w:val="22"/>
              </w:rPr>
              <w:t>A</w:t>
            </w:r>
            <w:r w:rsidRPr="00023296">
              <w:rPr>
                <w:rFonts w:ascii="Arial" w:hAnsi="Arial" w:cs="Arial"/>
                <w:b/>
                <w:szCs w:val="22"/>
              </w:rPr>
              <w:t>ssistance from the Intangible Cultural Heritage Fund</w:t>
            </w:r>
          </w:p>
        </w:tc>
        <w:tc>
          <w:tcPr>
            <w:tcW w:w="3860" w:type="dxa"/>
          </w:tcPr>
          <w:p w:rsidR="00FB62DD" w:rsidRPr="002F2E2D" w:rsidRDefault="00A02AEE" w:rsidP="002F2E2D">
            <w:pPr>
              <w:spacing w:before="120"/>
              <w:rPr>
                <w:rFonts w:ascii="Arial" w:eastAsiaTheme="minorEastAsia" w:hAnsi="Arial" w:cs="Arial"/>
                <w:b/>
                <w:szCs w:val="22"/>
                <w:lang w:eastAsia="ko-KR"/>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w:t>
            </w:r>
            <w:r>
              <w:rPr>
                <w:rFonts w:ascii="Arial" w:hAnsi="Arial" w:cs="Arial"/>
                <w:b/>
                <w:szCs w:val="22"/>
              </w:rPr>
              <w:t>9</w:t>
            </w:r>
            <w:r w:rsidRPr="00023296">
              <w:rPr>
                <w:rFonts w:ascii="Arial" w:hAnsi="Arial" w:cs="Arial"/>
                <w:b/>
                <w:szCs w:val="22"/>
              </w:rPr>
              <w:t>.c</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Pr>
                <w:rFonts w:ascii="Arial" w:hAnsi="Arial" w:cs="Arial"/>
                <w:b/>
                <w:szCs w:val="22"/>
              </w:rPr>
              <w:lastRenderedPageBreak/>
              <w:t>10</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zCs w:val="22"/>
                <w:lang w:eastAsia="en-US"/>
              </w:rPr>
            </w:pPr>
            <w:r w:rsidRPr="00023296">
              <w:rPr>
                <w:rFonts w:ascii="Arial" w:hAnsi="Arial" w:cs="Arial"/>
                <w:b/>
                <w:szCs w:val="22"/>
              </w:rPr>
              <w:t xml:space="preserve">Report of the </w:t>
            </w:r>
            <w:r>
              <w:rPr>
                <w:rFonts w:ascii="Arial" w:hAnsi="Arial" w:cs="Arial"/>
                <w:b/>
                <w:szCs w:val="22"/>
              </w:rPr>
              <w:t>Evaluation Body on its work in 2016</w:t>
            </w:r>
          </w:p>
        </w:tc>
        <w:tc>
          <w:tcPr>
            <w:tcW w:w="3860" w:type="dxa"/>
          </w:tcPr>
          <w:p w:rsidR="00A02AEE" w:rsidRPr="00023296" w:rsidRDefault="00A02AEE" w:rsidP="00A02AEE">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w:t>
            </w:r>
            <w:r>
              <w:rPr>
                <w:rFonts w:ascii="Arial" w:hAnsi="Arial" w:cs="Arial"/>
                <w:b/>
                <w:szCs w:val="22"/>
              </w:rPr>
              <w:t>10</w:t>
            </w:r>
          </w:p>
        </w:tc>
      </w:tr>
      <w:tr w:rsidR="00A02AEE" w:rsidRPr="00B92801" w:rsidTr="00FB5752">
        <w:trPr>
          <w:cantSplit/>
        </w:trPr>
        <w:tc>
          <w:tcPr>
            <w:tcW w:w="567" w:type="dxa"/>
          </w:tcPr>
          <w:p w:rsidR="00A02AEE" w:rsidRPr="00023296" w:rsidRDefault="00A02AEE" w:rsidP="00A02AEE">
            <w:pPr>
              <w:spacing w:before="120"/>
              <w:jc w:val="right"/>
              <w:rPr>
                <w:rFonts w:ascii="Arial" w:hAnsi="Arial" w:cs="Arial"/>
                <w:b/>
                <w:szCs w:val="22"/>
              </w:rPr>
            </w:pPr>
          </w:p>
        </w:tc>
        <w:tc>
          <w:tcPr>
            <w:tcW w:w="5245" w:type="dxa"/>
          </w:tcPr>
          <w:p w:rsidR="00A02AEE" w:rsidRPr="00023296" w:rsidRDefault="00A02AEE" w:rsidP="00A02AEE">
            <w:pPr>
              <w:keepNext/>
              <w:keepLines/>
              <w:tabs>
                <w:tab w:val="left" w:pos="567"/>
              </w:tabs>
              <w:snapToGrid w:val="0"/>
              <w:spacing w:before="120"/>
              <w:ind w:left="567" w:hanging="567"/>
              <w:outlineLvl w:val="3"/>
              <w:rPr>
                <w:rFonts w:ascii="Arial" w:hAnsi="Arial" w:cs="Arial"/>
                <w:b/>
                <w:bCs/>
                <w:snapToGrid w:val="0"/>
                <w:szCs w:val="22"/>
                <w:lang w:eastAsia="en-US"/>
              </w:rPr>
            </w:pPr>
            <w:r>
              <w:rPr>
                <w:rFonts w:ascii="Arial" w:hAnsi="Arial" w:cs="Arial"/>
                <w:b/>
                <w:bCs/>
                <w:snapToGrid w:val="0"/>
                <w:szCs w:val="22"/>
                <w:lang w:eastAsia="en-US"/>
              </w:rPr>
              <w:t>10</w:t>
            </w:r>
            <w:r w:rsidRPr="00023296">
              <w:rPr>
                <w:rFonts w:ascii="Arial" w:hAnsi="Arial" w:cs="Arial"/>
                <w:b/>
                <w:bCs/>
                <w:snapToGrid w:val="0"/>
                <w:szCs w:val="22"/>
                <w:lang w:eastAsia="en-US"/>
              </w:rPr>
              <w:t>.a.</w:t>
            </w:r>
            <w:r w:rsidRPr="00023296">
              <w:rPr>
                <w:rFonts w:ascii="Arial" w:hAnsi="Arial" w:cs="Arial"/>
                <w:b/>
                <w:bCs/>
                <w:snapToGrid w:val="0"/>
                <w:szCs w:val="22"/>
                <w:lang w:eastAsia="en-US"/>
              </w:rPr>
              <w:tab/>
              <w:t>Examination of nominations for inscription on the List of Intangible Cultural Heritage in Need of Urgent Safeguarding</w:t>
            </w:r>
          </w:p>
        </w:tc>
        <w:tc>
          <w:tcPr>
            <w:tcW w:w="3860" w:type="dxa"/>
          </w:tcPr>
          <w:p w:rsidR="00A02AEE" w:rsidRDefault="00A02AEE" w:rsidP="00A02AEE">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w:t>
            </w:r>
            <w:r>
              <w:rPr>
                <w:rFonts w:ascii="Arial" w:hAnsi="Arial" w:cs="Arial"/>
                <w:b/>
                <w:szCs w:val="22"/>
              </w:rPr>
              <w:t>10</w:t>
            </w:r>
            <w:r w:rsidRPr="00023296">
              <w:rPr>
                <w:rFonts w:ascii="Arial" w:hAnsi="Arial" w:cs="Arial"/>
                <w:b/>
                <w:szCs w:val="22"/>
              </w:rPr>
              <w:t>.a</w:t>
            </w:r>
            <w:r w:rsidR="00CE12DB">
              <w:rPr>
                <w:rFonts w:ascii="Arial" w:hAnsi="Arial" w:cs="Arial"/>
                <w:b/>
                <w:szCs w:val="22"/>
              </w:rPr>
              <w:t>+Add.</w:t>
            </w:r>
          </w:p>
          <w:p w:rsidR="00A02AEE" w:rsidRPr="00023296" w:rsidRDefault="00A02AEE" w:rsidP="00A02AEE">
            <w:pPr>
              <w:spacing w:before="120"/>
              <w:rPr>
                <w:rFonts w:ascii="Arial" w:eastAsia="SimSun" w:hAnsi="Arial" w:cs="Arial"/>
                <w:b/>
                <w:szCs w:val="22"/>
              </w:rPr>
            </w:pPr>
            <w:r w:rsidRPr="00023296">
              <w:rPr>
                <w:rFonts w:ascii="Arial" w:hAnsi="Arial" w:cs="Arial"/>
                <w:b/>
                <w:i/>
                <w:szCs w:val="22"/>
              </w:rPr>
              <w:t>Form ICH-01-Aide-mémoire</w:t>
            </w:r>
            <w:r w:rsidRPr="00023296">
              <w:rPr>
                <w:rFonts w:ascii="Arial" w:hAnsi="Arial" w:cs="Arial"/>
                <w:b/>
                <w:i/>
                <w:szCs w:val="22"/>
              </w:rPr>
              <w:br/>
            </w:r>
            <w:r w:rsidRPr="00023296">
              <w:rPr>
                <w:rFonts w:ascii="Arial" w:hAnsi="Arial" w:cs="Arial"/>
                <w:i/>
                <w:szCs w:val="22"/>
              </w:rPr>
              <w:t>Aide-mémoire for completing a nomination to the List of Intangible Cultural Heritage in Need for Urgent Safeguarding</w:t>
            </w:r>
          </w:p>
          <w:p w:rsidR="00A02AEE" w:rsidRPr="00876AB7" w:rsidRDefault="00A02AEE" w:rsidP="00A02AEE">
            <w:pPr>
              <w:spacing w:before="120"/>
              <w:ind w:left="284"/>
              <w:rPr>
                <w:rFonts w:ascii="Arial" w:eastAsia="SimSun" w:hAnsi="Arial" w:cs="Arial"/>
                <w:i/>
                <w:szCs w:val="22"/>
                <w:lang w:val="fr-FR"/>
              </w:rPr>
            </w:pPr>
            <w:r w:rsidRPr="00876AB7">
              <w:rPr>
                <w:rFonts w:ascii="Arial" w:eastAsia="SimSun" w:hAnsi="Arial" w:cs="Arial"/>
                <w:i/>
                <w:szCs w:val="22"/>
                <w:lang w:val="fr-FR"/>
              </w:rPr>
              <w:t xml:space="preserve">Nominations </w:t>
            </w:r>
            <w:proofErr w:type="spellStart"/>
            <w:r w:rsidRPr="00876AB7">
              <w:rPr>
                <w:rFonts w:ascii="Arial" w:eastAsia="SimSun" w:hAnsi="Arial" w:cs="Arial"/>
                <w:i/>
                <w:szCs w:val="22"/>
                <w:lang w:val="fr-FR"/>
              </w:rPr>
              <w:t>available</w:t>
            </w:r>
            <w:proofErr w:type="spellEnd"/>
            <w:r w:rsidRPr="00876AB7">
              <w:rPr>
                <w:rFonts w:ascii="Arial" w:eastAsia="SimSun" w:hAnsi="Arial" w:cs="Arial"/>
                <w:i/>
                <w:szCs w:val="22"/>
                <w:lang w:val="fr-FR"/>
              </w:rPr>
              <w:t xml:space="preserve"> </w:t>
            </w:r>
            <w:proofErr w:type="spellStart"/>
            <w:r w:rsidRPr="00876AB7">
              <w:rPr>
                <w:rFonts w:ascii="Arial" w:eastAsia="SimSun" w:hAnsi="Arial" w:cs="Arial"/>
                <w:i/>
                <w:szCs w:val="22"/>
                <w:lang w:val="fr-FR"/>
              </w:rPr>
              <w:t>at</w:t>
            </w:r>
            <w:proofErr w:type="spellEnd"/>
            <w:r w:rsidRPr="00876AB7">
              <w:rPr>
                <w:rFonts w:ascii="Arial" w:eastAsia="SimSun" w:hAnsi="Arial" w:cs="Arial"/>
                <w:i/>
                <w:szCs w:val="22"/>
                <w:lang w:val="fr-FR"/>
              </w:rPr>
              <w:t>:</w:t>
            </w:r>
            <w:r w:rsidR="002F2E2D" w:rsidRPr="00876AB7">
              <w:rPr>
                <w:rFonts w:ascii="Arial" w:eastAsiaTheme="minorEastAsia" w:hAnsi="Arial" w:cs="Arial" w:hint="eastAsia"/>
                <w:i/>
                <w:szCs w:val="22"/>
                <w:lang w:val="fr-FR" w:eastAsia="ko-KR"/>
              </w:rPr>
              <w:br/>
            </w:r>
            <w:hyperlink r:id="rId11" w:history="1">
              <w:r w:rsidR="008308F0" w:rsidRPr="00876AB7">
                <w:rPr>
                  <w:rStyle w:val="Hyperlink"/>
                  <w:rFonts w:ascii="Arial" w:eastAsia="SimSun" w:hAnsi="Arial" w:cs="Arial"/>
                  <w:i/>
                  <w:szCs w:val="22"/>
                  <w:lang w:val="fr-FR"/>
                </w:rPr>
                <w:t>http://www.unesco.org/culture/ich/en/10a-urgent-safeguarding-list-00890</w:t>
              </w:r>
            </w:hyperlink>
          </w:p>
        </w:tc>
      </w:tr>
      <w:tr w:rsidR="00A02AEE" w:rsidRPr="00E55F21" w:rsidTr="00FB5752">
        <w:trPr>
          <w:cantSplit/>
        </w:trPr>
        <w:tc>
          <w:tcPr>
            <w:tcW w:w="567" w:type="dxa"/>
          </w:tcPr>
          <w:p w:rsidR="00A02AEE" w:rsidRPr="00876AB7" w:rsidRDefault="00A02AEE" w:rsidP="00A02AEE">
            <w:pPr>
              <w:spacing w:before="120"/>
              <w:jc w:val="right"/>
              <w:rPr>
                <w:rFonts w:ascii="Arial" w:hAnsi="Arial" w:cs="Arial"/>
                <w:b/>
                <w:szCs w:val="22"/>
                <w:lang w:val="fr-FR"/>
              </w:rPr>
            </w:pPr>
          </w:p>
        </w:tc>
        <w:tc>
          <w:tcPr>
            <w:tcW w:w="5245" w:type="dxa"/>
          </w:tcPr>
          <w:p w:rsidR="00A02AEE" w:rsidRPr="00023296" w:rsidRDefault="00A02AEE" w:rsidP="00A02AEE">
            <w:pPr>
              <w:keepNext/>
              <w:keepLines/>
              <w:tabs>
                <w:tab w:val="left" w:pos="567"/>
              </w:tabs>
              <w:snapToGrid w:val="0"/>
              <w:spacing w:before="120"/>
              <w:ind w:left="567" w:hanging="567"/>
              <w:outlineLvl w:val="3"/>
              <w:rPr>
                <w:rFonts w:ascii="Arial" w:hAnsi="Arial" w:cs="Arial"/>
                <w:b/>
                <w:bCs/>
                <w:snapToGrid w:val="0"/>
                <w:szCs w:val="22"/>
                <w:lang w:eastAsia="en-US"/>
              </w:rPr>
            </w:pPr>
            <w:r>
              <w:rPr>
                <w:rFonts w:ascii="Arial" w:eastAsia="SimSun" w:hAnsi="Arial" w:cs="Arial"/>
                <w:b/>
                <w:bCs/>
                <w:snapToGrid w:val="0"/>
                <w:szCs w:val="22"/>
                <w:lang w:eastAsia="en-US"/>
              </w:rPr>
              <w:t>10.b</w:t>
            </w:r>
            <w:r w:rsidR="00FC5316">
              <w:rPr>
                <w:rFonts w:ascii="Arial" w:eastAsia="SimSun" w:hAnsi="Arial" w:cs="Arial"/>
                <w:b/>
                <w:bCs/>
                <w:snapToGrid w:val="0"/>
                <w:szCs w:val="22"/>
                <w:lang w:eastAsia="en-US"/>
              </w:rPr>
              <w:t>.</w:t>
            </w:r>
            <w:r>
              <w:rPr>
                <w:rFonts w:ascii="Arial" w:eastAsia="SimSun" w:hAnsi="Arial" w:cs="Arial"/>
                <w:b/>
                <w:bCs/>
                <w:snapToGrid w:val="0"/>
                <w:szCs w:val="22"/>
                <w:lang w:eastAsia="en-US"/>
              </w:rPr>
              <w:tab/>
            </w:r>
            <w:r w:rsidRPr="00023296">
              <w:rPr>
                <w:rFonts w:ascii="Arial" w:hAnsi="Arial" w:cs="Arial"/>
                <w:b/>
                <w:bCs/>
                <w:snapToGrid w:val="0"/>
                <w:szCs w:val="22"/>
                <w:lang w:eastAsia="en-US"/>
              </w:rPr>
              <w:t xml:space="preserve">Examination of nominations for inscription on the </w:t>
            </w:r>
            <w:r w:rsidRPr="00AB2F65">
              <w:rPr>
                <w:rFonts w:ascii="Arial" w:hAnsi="Arial" w:cs="Arial"/>
                <w:b/>
                <w:szCs w:val="22"/>
              </w:rPr>
              <w:t>Representative</w:t>
            </w:r>
            <w:r w:rsidRPr="00023296">
              <w:rPr>
                <w:rFonts w:ascii="Arial" w:eastAsia="SimSun" w:hAnsi="Arial" w:cs="Arial"/>
                <w:b/>
                <w:bCs/>
                <w:snapToGrid w:val="0"/>
                <w:szCs w:val="22"/>
                <w:lang w:eastAsia="en-US"/>
              </w:rPr>
              <w:t xml:space="preserve"> List</w:t>
            </w:r>
            <w:r>
              <w:rPr>
                <w:rFonts w:ascii="Arial" w:hAnsi="Arial" w:cs="Arial"/>
                <w:b/>
                <w:bCs/>
                <w:snapToGrid w:val="0"/>
                <w:szCs w:val="22"/>
                <w:lang w:eastAsia="en-US"/>
              </w:rPr>
              <w:t xml:space="preserve"> of the Intangible </w:t>
            </w:r>
            <w:r w:rsidRPr="00023296">
              <w:rPr>
                <w:rFonts w:ascii="Arial" w:hAnsi="Arial" w:cs="Arial"/>
                <w:b/>
                <w:bCs/>
                <w:snapToGrid w:val="0"/>
                <w:szCs w:val="22"/>
                <w:lang w:eastAsia="en-US"/>
              </w:rPr>
              <w:t>Cultural Heritage of Humanity</w:t>
            </w:r>
          </w:p>
        </w:tc>
        <w:tc>
          <w:tcPr>
            <w:tcW w:w="3860" w:type="dxa"/>
          </w:tcPr>
          <w:p w:rsidR="00A02AEE" w:rsidRPr="00023296" w:rsidRDefault="00A02AEE" w:rsidP="00A02AEE">
            <w:pPr>
              <w:keepNext/>
              <w:keepLines/>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w:t>
            </w:r>
            <w:r w:rsidRPr="00023296">
              <w:rPr>
                <w:rFonts w:ascii="Arial" w:hAnsi="Arial" w:cs="Arial"/>
                <w:b/>
                <w:szCs w:val="22"/>
              </w:rPr>
              <w:t>/</w:t>
            </w:r>
            <w:r>
              <w:rPr>
                <w:rFonts w:ascii="Arial" w:hAnsi="Arial" w:cs="Arial"/>
                <w:b/>
                <w:szCs w:val="22"/>
              </w:rPr>
              <w:t>10.b</w:t>
            </w:r>
          </w:p>
          <w:p w:rsidR="00A02AEE" w:rsidRPr="00023296" w:rsidRDefault="00A02AEE" w:rsidP="00A02AEE">
            <w:pPr>
              <w:spacing w:before="120"/>
              <w:rPr>
                <w:rFonts w:ascii="Arial" w:hAnsi="Arial" w:cs="Arial"/>
                <w:b/>
                <w:i/>
                <w:szCs w:val="22"/>
              </w:rPr>
            </w:pPr>
            <w:r w:rsidRPr="00023296">
              <w:rPr>
                <w:rFonts w:ascii="Arial" w:hAnsi="Arial" w:cs="Arial"/>
                <w:b/>
                <w:i/>
                <w:szCs w:val="22"/>
              </w:rPr>
              <w:t>Form ICH-02-Aide-mémoire</w:t>
            </w:r>
            <w:r w:rsidRPr="00023296">
              <w:rPr>
                <w:rFonts w:ascii="Arial" w:hAnsi="Arial" w:cs="Arial"/>
                <w:b/>
                <w:i/>
                <w:szCs w:val="22"/>
              </w:rPr>
              <w:br/>
            </w:r>
            <w:r w:rsidRPr="00023296">
              <w:rPr>
                <w:rFonts w:ascii="Arial" w:hAnsi="Arial" w:cs="Arial"/>
                <w:i/>
                <w:szCs w:val="22"/>
              </w:rPr>
              <w:t>Aide-mémoire for completing a nomination to the Representative List of the Intangible Cultural Heritage of Humanity</w:t>
            </w:r>
          </w:p>
          <w:p w:rsidR="00A02AEE" w:rsidRPr="002F2E2D" w:rsidRDefault="00A02AEE" w:rsidP="002F2E2D">
            <w:pPr>
              <w:spacing w:before="120" w:after="0"/>
              <w:ind w:left="284"/>
              <w:rPr>
                <w:rFonts w:ascii="Arial" w:eastAsiaTheme="minorEastAsia" w:hAnsi="Arial" w:cs="Arial"/>
                <w:i/>
                <w:szCs w:val="22"/>
                <w:lang w:val="fr-FR" w:eastAsia="ko-KR"/>
              </w:rPr>
            </w:pPr>
            <w:r w:rsidRPr="00C17727">
              <w:rPr>
                <w:rFonts w:ascii="Arial" w:eastAsia="SimSun" w:hAnsi="Arial" w:cs="Arial"/>
                <w:i/>
                <w:szCs w:val="22"/>
                <w:lang w:val="fr-FR"/>
              </w:rPr>
              <w:t xml:space="preserve">Nominations </w:t>
            </w:r>
            <w:proofErr w:type="spellStart"/>
            <w:r w:rsidRPr="00C17727">
              <w:rPr>
                <w:rFonts w:ascii="Arial" w:eastAsia="SimSun" w:hAnsi="Arial" w:cs="Arial"/>
                <w:i/>
                <w:szCs w:val="22"/>
                <w:lang w:val="fr-FR"/>
              </w:rPr>
              <w:t>available</w:t>
            </w:r>
            <w:proofErr w:type="spellEnd"/>
            <w:r w:rsidRPr="00C17727">
              <w:rPr>
                <w:rFonts w:ascii="Arial" w:eastAsia="SimSun" w:hAnsi="Arial" w:cs="Arial"/>
                <w:i/>
                <w:szCs w:val="22"/>
                <w:lang w:val="fr-FR"/>
              </w:rPr>
              <w:t xml:space="preserve"> </w:t>
            </w:r>
            <w:proofErr w:type="spellStart"/>
            <w:r w:rsidRPr="00C17727">
              <w:rPr>
                <w:rFonts w:ascii="Arial" w:eastAsia="SimSun" w:hAnsi="Arial" w:cs="Arial"/>
                <w:i/>
                <w:szCs w:val="22"/>
                <w:lang w:val="fr-FR"/>
              </w:rPr>
              <w:t>at</w:t>
            </w:r>
            <w:proofErr w:type="spellEnd"/>
            <w:r w:rsidRPr="00C17727">
              <w:rPr>
                <w:rFonts w:ascii="Arial" w:eastAsia="SimSun" w:hAnsi="Arial" w:cs="Arial"/>
                <w:i/>
                <w:szCs w:val="22"/>
                <w:lang w:val="fr-FR"/>
              </w:rPr>
              <w:t>:</w:t>
            </w:r>
            <w:r w:rsidR="002F2E2D">
              <w:rPr>
                <w:rFonts w:ascii="Arial" w:eastAsiaTheme="minorEastAsia" w:hAnsi="Arial" w:cs="Arial" w:hint="eastAsia"/>
                <w:i/>
                <w:szCs w:val="22"/>
                <w:lang w:val="fr-FR" w:eastAsia="ko-KR"/>
              </w:rPr>
              <w:br/>
            </w:r>
            <w:hyperlink r:id="rId12" w:history="1">
              <w:r w:rsidR="00EF6C64" w:rsidRPr="00C17727">
                <w:rPr>
                  <w:rStyle w:val="Hyperlink"/>
                  <w:rFonts w:ascii="Arial" w:eastAsia="SimSun" w:hAnsi="Arial" w:cs="Arial"/>
                  <w:i/>
                  <w:lang w:val="fr-FR"/>
                </w:rPr>
                <w:t>http://www.unesco.org/culture/ich/en/10b-representative-list-00891</w:t>
              </w:r>
            </w:hyperlink>
          </w:p>
        </w:tc>
      </w:tr>
      <w:tr w:rsidR="00A02AEE" w:rsidRPr="00023296" w:rsidTr="00FB5752">
        <w:trPr>
          <w:cantSplit/>
        </w:trPr>
        <w:tc>
          <w:tcPr>
            <w:tcW w:w="567" w:type="dxa"/>
          </w:tcPr>
          <w:p w:rsidR="00A02AEE" w:rsidRPr="00C17727" w:rsidRDefault="00A02AEE" w:rsidP="00A02AEE">
            <w:pPr>
              <w:spacing w:before="120"/>
              <w:jc w:val="right"/>
              <w:rPr>
                <w:rFonts w:ascii="Arial" w:hAnsi="Arial" w:cs="Arial"/>
                <w:b/>
                <w:szCs w:val="22"/>
                <w:lang w:val="fr-FR"/>
              </w:rPr>
            </w:pPr>
          </w:p>
        </w:tc>
        <w:tc>
          <w:tcPr>
            <w:tcW w:w="5245" w:type="dxa"/>
          </w:tcPr>
          <w:p w:rsidR="00A02AEE" w:rsidRPr="00023296" w:rsidRDefault="00A02AEE" w:rsidP="00A02AEE">
            <w:pPr>
              <w:keepNext/>
              <w:spacing w:before="120"/>
              <w:ind w:left="567" w:hanging="567"/>
              <w:rPr>
                <w:rFonts w:ascii="Arial" w:hAnsi="Arial" w:cs="Arial"/>
                <w:b/>
                <w:szCs w:val="22"/>
              </w:rPr>
            </w:pPr>
            <w:r>
              <w:rPr>
                <w:rFonts w:ascii="Arial" w:hAnsi="Arial" w:cs="Arial"/>
                <w:b/>
                <w:szCs w:val="22"/>
              </w:rPr>
              <w:t>10.c</w:t>
            </w:r>
            <w:r w:rsidRPr="00023296">
              <w:rPr>
                <w:rFonts w:ascii="Arial" w:hAnsi="Arial" w:cs="Arial"/>
                <w:b/>
                <w:szCs w:val="22"/>
              </w:rPr>
              <w:t>.</w:t>
            </w:r>
            <w:r w:rsidRPr="00023296">
              <w:rPr>
                <w:rFonts w:ascii="Arial" w:hAnsi="Arial" w:cs="Arial"/>
                <w:b/>
                <w:szCs w:val="22"/>
              </w:rPr>
              <w:tab/>
            </w:r>
            <w:r w:rsidRPr="00BC7550">
              <w:rPr>
                <w:rFonts w:ascii="Arial" w:hAnsi="Arial" w:cs="Arial"/>
                <w:b/>
                <w:szCs w:val="22"/>
              </w:rPr>
              <w:t>Examination of proposals to the Register of Best Safeguarding Practices</w:t>
            </w:r>
          </w:p>
        </w:tc>
        <w:tc>
          <w:tcPr>
            <w:tcW w:w="3860" w:type="dxa"/>
          </w:tcPr>
          <w:p w:rsidR="00A02AEE" w:rsidRPr="00023296" w:rsidRDefault="00A02AEE" w:rsidP="00A02AEE">
            <w:pPr>
              <w:keepNext/>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w:t>
            </w:r>
            <w:r w:rsidRPr="00023296">
              <w:rPr>
                <w:rFonts w:ascii="Arial" w:hAnsi="Arial" w:cs="Arial"/>
                <w:b/>
                <w:szCs w:val="22"/>
              </w:rPr>
              <w:t>/</w:t>
            </w:r>
            <w:r>
              <w:rPr>
                <w:rFonts w:ascii="Arial" w:hAnsi="Arial" w:cs="Arial"/>
                <w:b/>
                <w:szCs w:val="22"/>
              </w:rPr>
              <w:t>10.c</w:t>
            </w:r>
          </w:p>
          <w:p w:rsidR="00A02AEE" w:rsidRPr="002F2E2D" w:rsidRDefault="004E2378" w:rsidP="00A02AEE">
            <w:pPr>
              <w:spacing w:before="120"/>
              <w:ind w:left="284"/>
              <w:rPr>
                <w:rFonts w:ascii="Arial" w:eastAsiaTheme="minorEastAsia" w:hAnsi="Arial" w:cs="Arial"/>
                <w:i/>
                <w:szCs w:val="22"/>
                <w:lang w:eastAsia="ko-KR"/>
              </w:rPr>
            </w:pPr>
            <w:r w:rsidRPr="00C17727">
              <w:rPr>
                <w:rFonts w:ascii="Arial" w:eastAsia="SimSun" w:hAnsi="Arial" w:cs="Arial"/>
                <w:i/>
                <w:szCs w:val="22"/>
              </w:rPr>
              <w:t xml:space="preserve">Proposals </w:t>
            </w:r>
            <w:r w:rsidR="00A02AEE" w:rsidRPr="00EF6C64">
              <w:rPr>
                <w:rFonts w:ascii="Arial" w:eastAsia="SimSun" w:hAnsi="Arial" w:cs="Arial"/>
                <w:i/>
                <w:szCs w:val="22"/>
              </w:rPr>
              <w:t>available at:</w:t>
            </w:r>
            <w:r w:rsidR="002F2E2D">
              <w:rPr>
                <w:rFonts w:ascii="Arial" w:eastAsiaTheme="minorEastAsia" w:hAnsi="Arial" w:cs="Arial" w:hint="eastAsia"/>
                <w:i/>
                <w:szCs w:val="22"/>
                <w:lang w:eastAsia="ko-KR"/>
              </w:rPr>
              <w:br/>
            </w:r>
            <w:hyperlink r:id="rId13" w:history="1">
              <w:r w:rsidR="00EF6C64" w:rsidRPr="000A256A">
                <w:rPr>
                  <w:rStyle w:val="Hyperlink"/>
                  <w:rFonts w:ascii="Arial" w:eastAsia="SimSun" w:hAnsi="Arial" w:cs="Arial"/>
                  <w:i/>
                  <w:szCs w:val="22"/>
                </w:rPr>
                <w:t>http://www.unesco.org/culture/ich/en/10c-register-00892</w:t>
              </w:r>
            </w:hyperlink>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Pr>
                <w:rFonts w:ascii="Arial" w:hAnsi="Arial" w:cs="Arial"/>
                <w:b/>
                <w:szCs w:val="22"/>
              </w:rPr>
              <w:t>11</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pacing w:val="-2"/>
                <w:szCs w:val="22"/>
              </w:rPr>
            </w:pPr>
            <w:r w:rsidRPr="00023296">
              <w:rPr>
                <w:rFonts w:ascii="Arial" w:hAnsi="Arial" w:cs="Arial"/>
                <w:b/>
                <w:spacing w:val="-2"/>
                <w:szCs w:val="22"/>
              </w:rPr>
              <w:t xml:space="preserve">Establishment of the Evaluation Body </w:t>
            </w:r>
            <w:r>
              <w:rPr>
                <w:rFonts w:ascii="Arial" w:hAnsi="Arial" w:cs="Arial"/>
                <w:b/>
                <w:color w:val="000000"/>
                <w:szCs w:val="22"/>
              </w:rPr>
              <w:t>for the 2017</w:t>
            </w:r>
            <w:r w:rsidRPr="00023296">
              <w:rPr>
                <w:rFonts w:ascii="Arial" w:hAnsi="Arial" w:cs="Arial"/>
                <w:b/>
                <w:color w:val="000000"/>
                <w:szCs w:val="22"/>
              </w:rPr>
              <w:t xml:space="preserve"> cycle</w:t>
            </w:r>
          </w:p>
        </w:tc>
        <w:tc>
          <w:tcPr>
            <w:tcW w:w="3860" w:type="dxa"/>
          </w:tcPr>
          <w:p w:rsidR="00A02AEE" w:rsidRPr="00023296" w:rsidRDefault="00A02AEE" w:rsidP="00A02AEE">
            <w:pPr>
              <w:spacing w:before="120"/>
              <w:rPr>
                <w:rFonts w:ascii="Arial" w:hAnsi="Arial" w:cs="Arial"/>
                <w:b/>
                <w:szCs w:val="22"/>
              </w:rPr>
            </w:pPr>
            <w:r w:rsidRPr="00023296">
              <w:rPr>
                <w:rFonts w:ascii="Arial" w:hAnsi="Arial" w:cs="Arial"/>
                <w:b/>
                <w:szCs w:val="22"/>
              </w:rPr>
              <w:t>ITH/</w:t>
            </w:r>
            <w:r>
              <w:rPr>
                <w:rFonts w:ascii="Arial" w:hAnsi="Arial" w:cs="Arial"/>
                <w:b/>
                <w:szCs w:val="22"/>
              </w:rPr>
              <w:t>16/11.COM/11</w:t>
            </w:r>
            <w:r w:rsidR="00D968CA">
              <w:rPr>
                <w:rFonts w:ascii="Arial" w:hAnsi="Arial" w:cs="Arial"/>
                <w:b/>
                <w:szCs w:val="22"/>
              </w:rPr>
              <w:t xml:space="preserve"> Rev.</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Pr>
                <w:rFonts w:ascii="Arial" w:hAnsi="Arial" w:cs="Arial"/>
                <w:b/>
                <w:szCs w:val="22"/>
              </w:rPr>
              <w:t>12</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pacing w:val="-2"/>
                <w:szCs w:val="22"/>
              </w:rPr>
            </w:pPr>
            <w:r w:rsidRPr="00023296">
              <w:rPr>
                <w:rFonts w:ascii="Arial" w:hAnsi="Arial" w:cs="Arial"/>
                <w:b/>
                <w:szCs w:val="22"/>
              </w:rPr>
              <w:t xml:space="preserve">Number of files submitted for the </w:t>
            </w:r>
            <w:r>
              <w:rPr>
                <w:rFonts w:ascii="Arial" w:hAnsi="Arial" w:cs="Arial"/>
                <w:b/>
                <w:szCs w:val="22"/>
              </w:rPr>
              <w:t>2017</w:t>
            </w:r>
            <w:r w:rsidRPr="00023296">
              <w:rPr>
                <w:rFonts w:ascii="Arial" w:hAnsi="Arial" w:cs="Arial"/>
                <w:b/>
                <w:szCs w:val="22"/>
              </w:rPr>
              <w:t xml:space="preserve"> cycle and number of files</w:t>
            </w:r>
            <w:r>
              <w:rPr>
                <w:rFonts w:ascii="Arial" w:hAnsi="Arial" w:cs="Arial"/>
                <w:b/>
                <w:szCs w:val="22"/>
              </w:rPr>
              <w:t xml:space="preserve"> that can be treated in the 2018 and 2019</w:t>
            </w:r>
            <w:r w:rsidRPr="00023296">
              <w:rPr>
                <w:rFonts w:ascii="Arial" w:hAnsi="Arial" w:cs="Arial"/>
                <w:b/>
                <w:szCs w:val="22"/>
              </w:rPr>
              <w:t xml:space="preserve"> cycles</w:t>
            </w:r>
          </w:p>
        </w:tc>
        <w:tc>
          <w:tcPr>
            <w:tcW w:w="3860" w:type="dxa"/>
          </w:tcPr>
          <w:p w:rsidR="00A02AEE" w:rsidRPr="00023296" w:rsidRDefault="00A02AEE" w:rsidP="00A02AEE">
            <w:pPr>
              <w:spacing w:before="120"/>
              <w:rPr>
                <w:rFonts w:ascii="Arial" w:hAnsi="Arial" w:cs="Arial"/>
                <w:b/>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/1</w:t>
            </w:r>
            <w:r>
              <w:rPr>
                <w:rFonts w:ascii="Arial" w:hAnsi="Arial" w:cs="Arial"/>
                <w:b/>
                <w:szCs w:val="22"/>
              </w:rPr>
              <w:t>2</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sidRPr="00023296">
              <w:rPr>
                <w:rFonts w:ascii="Arial" w:hAnsi="Arial" w:cs="Arial"/>
                <w:b/>
                <w:szCs w:val="22"/>
              </w:rPr>
              <w:t>1</w:t>
            </w:r>
            <w:r>
              <w:rPr>
                <w:rFonts w:ascii="Arial" w:hAnsi="Arial" w:cs="Arial"/>
                <w:b/>
                <w:szCs w:val="22"/>
              </w:rPr>
              <w:t>3</w:t>
            </w:r>
            <w:r w:rsidRPr="00023296">
              <w:rPr>
                <w:rFonts w:ascii="Arial" w:hAnsi="Arial" w:cs="Arial"/>
                <w:b/>
                <w:szCs w:val="22"/>
              </w:rPr>
              <w:t>.</w:t>
            </w:r>
          </w:p>
        </w:tc>
        <w:tc>
          <w:tcPr>
            <w:tcW w:w="5245" w:type="dxa"/>
          </w:tcPr>
          <w:p w:rsidR="00A02AEE" w:rsidRPr="006B625C" w:rsidRDefault="004C523D" w:rsidP="00430727">
            <w:pPr>
              <w:spacing w:before="120"/>
              <w:rPr>
                <w:rFonts w:ascii="Arial" w:hAnsi="Arial" w:cs="Arial"/>
                <w:b/>
                <w:spacing w:val="-2"/>
                <w:szCs w:val="22"/>
              </w:rPr>
            </w:pPr>
            <w:r w:rsidRPr="004C523D">
              <w:rPr>
                <w:rFonts w:ascii="Arial" w:hAnsi="Arial" w:cs="Arial"/>
                <w:b/>
                <w:spacing w:val="-2"/>
                <w:szCs w:val="22"/>
              </w:rPr>
              <w:t>Reflection on the transfer of an element from one List to the other and the removal of an element from a List</w:t>
            </w:r>
          </w:p>
        </w:tc>
        <w:tc>
          <w:tcPr>
            <w:tcW w:w="3860" w:type="dxa"/>
          </w:tcPr>
          <w:p w:rsidR="00A02AEE" w:rsidRDefault="00A02AEE" w:rsidP="00A02AEE">
            <w:pPr>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w:t>
            </w:r>
            <w:r w:rsidRPr="00023296">
              <w:rPr>
                <w:rFonts w:ascii="Arial" w:hAnsi="Arial" w:cs="Arial"/>
                <w:b/>
                <w:szCs w:val="22"/>
              </w:rPr>
              <w:t>/1</w:t>
            </w:r>
            <w:r>
              <w:rPr>
                <w:rFonts w:ascii="Arial" w:hAnsi="Arial" w:cs="Arial"/>
                <w:b/>
                <w:szCs w:val="22"/>
              </w:rPr>
              <w:t>3</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Pr>
                <w:rFonts w:ascii="Arial" w:hAnsi="Arial" w:cs="Arial"/>
                <w:b/>
                <w:szCs w:val="22"/>
              </w:rPr>
              <w:t>14.</w:t>
            </w:r>
          </w:p>
        </w:tc>
        <w:tc>
          <w:tcPr>
            <w:tcW w:w="5245" w:type="dxa"/>
          </w:tcPr>
          <w:p w:rsidR="00A02AEE" w:rsidRPr="00023296" w:rsidRDefault="00A02AEE" w:rsidP="008D1D05">
            <w:pPr>
              <w:keepNext/>
              <w:tabs>
                <w:tab w:val="left" w:pos="0"/>
              </w:tabs>
              <w:spacing w:before="120"/>
              <w:rPr>
                <w:rFonts w:ascii="Arial" w:hAnsi="Arial" w:cs="Arial"/>
                <w:b/>
                <w:szCs w:val="22"/>
              </w:rPr>
            </w:pPr>
            <w:r w:rsidRPr="00FB684B">
              <w:rPr>
                <w:rFonts w:ascii="Arial" w:hAnsi="Arial" w:cs="Arial"/>
                <w:b/>
                <w:szCs w:val="22"/>
              </w:rPr>
              <w:t>Preliminary expert meeting on developing an overall results framework for the Convention</w:t>
            </w:r>
          </w:p>
        </w:tc>
        <w:tc>
          <w:tcPr>
            <w:tcW w:w="3860" w:type="dxa"/>
          </w:tcPr>
          <w:p w:rsidR="00A02AEE" w:rsidRDefault="00A02AEE" w:rsidP="00A02AEE">
            <w:pPr>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w:t>
            </w:r>
            <w:r w:rsidRPr="00023296">
              <w:rPr>
                <w:rFonts w:ascii="Arial" w:hAnsi="Arial" w:cs="Arial"/>
                <w:b/>
                <w:szCs w:val="22"/>
              </w:rPr>
              <w:t>/1</w:t>
            </w:r>
            <w:r>
              <w:rPr>
                <w:rFonts w:ascii="Arial" w:hAnsi="Arial" w:cs="Arial"/>
                <w:b/>
                <w:szCs w:val="22"/>
              </w:rPr>
              <w:t>4</w:t>
            </w:r>
          </w:p>
        </w:tc>
      </w:tr>
      <w:tr w:rsidR="00A02AEE" w:rsidRPr="00023296" w:rsidTr="00FB5752">
        <w:trPr>
          <w:cantSplit/>
        </w:trPr>
        <w:tc>
          <w:tcPr>
            <w:tcW w:w="567" w:type="dxa"/>
          </w:tcPr>
          <w:p w:rsidR="00A02AEE" w:rsidRDefault="00A02AEE" w:rsidP="00A02AEE">
            <w:pPr>
              <w:spacing w:before="120"/>
              <w:jc w:val="right"/>
              <w:rPr>
                <w:rFonts w:ascii="Arial" w:hAnsi="Arial" w:cs="Arial"/>
                <w:b/>
                <w:szCs w:val="22"/>
              </w:rPr>
            </w:pPr>
            <w:r>
              <w:rPr>
                <w:rFonts w:ascii="Arial" w:hAnsi="Arial" w:cs="Arial"/>
                <w:b/>
                <w:szCs w:val="22"/>
              </w:rPr>
              <w:t>15.</w:t>
            </w:r>
          </w:p>
        </w:tc>
        <w:tc>
          <w:tcPr>
            <w:tcW w:w="5245" w:type="dxa"/>
          </w:tcPr>
          <w:p w:rsidR="00A02AEE" w:rsidRPr="00023296" w:rsidRDefault="00A02AEE" w:rsidP="00A02AEE">
            <w:pPr>
              <w:spacing w:before="120"/>
              <w:rPr>
                <w:rFonts w:ascii="Arial" w:hAnsi="Arial" w:cs="Arial"/>
                <w:b/>
                <w:szCs w:val="22"/>
              </w:rPr>
            </w:pPr>
            <w:r w:rsidRPr="00282A72">
              <w:rPr>
                <w:rFonts w:ascii="Arial" w:hAnsi="Arial" w:cs="Arial"/>
                <w:b/>
                <w:szCs w:val="22"/>
              </w:rPr>
              <w:t>Intangible Cultural Heritage in emergencies</w:t>
            </w:r>
          </w:p>
        </w:tc>
        <w:tc>
          <w:tcPr>
            <w:tcW w:w="3860" w:type="dxa"/>
          </w:tcPr>
          <w:p w:rsidR="00A02AEE" w:rsidRPr="00023296" w:rsidRDefault="00A02AEE" w:rsidP="00A02AEE">
            <w:pPr>
              <w:spacing w:before="120"/>
              <w:rPr>
                <w:rFonts w:ascii="Arial" w:hAnsi="Arial" w:cs="Arial"/>
                <w:b/>
                <w:szCs w:val="22"/>
              </w:rPr>
            </w:pPr>
            <w:r>
              <w:rPr>
                <w:rFonts w:ascii="Arial" w:hAnsi="Arial" w:cs="Arial"/>
                <w:b/>
                <w:szCs w:val="22"/>
              </w:rPr>
              <w:t>ITH/16</w:t>
            </w:r>
            <w:r w:rsidRPr="00023296">
              <w:rPr>
                <w:rFonts w:ascii="Arial" w:hAnsi="Arial" w:cs="Arial"/>
                <w:b/>
                <w:szCs w:val="22"/>
              </w:rPr>
              <w:t>/</w:t>
            </w:r>
            <w:r>
              <w:rPr>
                <w:rFonts w:ascii="Arial" w:hAnsi="Arial" w:cs="Arial"/>
                <w:b/>
                <w:szCs w:val="22"/>
              </w:rPr>
              <w:t>11.COM</w:t>
            </w:r>
            <w:r w:rsidRPr="00023296">
              <w:rPr>
                <w:rFonts w:ascii="Arial" w:hAnsi="Arial" w:cs="Arial"/>
                <w:b/>
                <w:szCs w:val="22"/>
              </w:rPr>
              <w:t>/1</w:t>
            </w:r>
            <w:r>
              <w:rPr>
                <w:rFonts w:ascii="Arial" w:hAnsi="Arial" w:cs="Arial"/>
                <w:b/>
                <w:szCs w:val="22"/>
              </w:rPr>
              <w:t>5</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sidRPr="00023296">
              <w:rPr>
                <w:rFonts w:ascii="Arial" w:hAnsi="Arial" w:cs="Arial"/>
                <w:b/>
                <w:szCs w:val="22"/>
              </w:rPr>
              <w:t>1</w:t>
            </w:r>
            <w:r>
              <w:rPr>
                <w:rFonts w:ascii="Arial" w:hAnsi="Arial" w:cs="Arial"/>
                <w:b/>
                <w:szCs w:val="22"/>
              </w:rPr>
              <w:t>6</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zCs w:val="22"/>
              </w:rPr>
            </w:pPr>
            <w:r w:rsidRPr="00023296">
              <w:rPr>
                <w:rFonts w:ascii="Arial" w:hAnsi="Arial" w:cs="Arial"/>
                <w:b/>
                <w:szCs w:val="22"/>
              </w:rPr>
              <w:t xml:space="preserve">Date and venue of the </w:t>
            </w:r>
            <w:r>
              <w:rPr>
                <w:rFonts w:ascii="Arial" w:hAnsi="Arial" w:cs="Arial"/>
                <w:b/>
                <w:szCs w:val="22"/>
              </w:rPr>
              <w:t>twelfth</w:t>
            </w:r>
            <w:r w:rsidRPr="00023296">
              <w:rPr>
                <w:rFonts w:ascii="Arial" w:hAnsi="Arial" w:cs="Arial"/>
                <w:b/>
                <w:szCs w:val="22"/>
              </w:rPr>
              <w:t xml:space="preserve"> session of the Committee</w:t>
            </w:r>
          </w:p>
        </w:tc>
        <w:tc>
          <w:tcPr>
            <w:tcW w:w="3860" w:type="dxa"/>
          </w:tcPr>
          <w:p w:rsidR="00A02AEE" w:rsidRPr="00023296" w:rsidRDefault="00A02AEE" w:rsidP="00A02AEE">
            <w:pPr>
              <w:spacing w:before="120"/>
              <w:rPr>
                <w:rFonts w:ascii="Arial" w:hAnsi="Arial" w:cs="Arial"/>
                <w:b/>
                <w:i/>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/1</w:t>
            </w:r>
            <w:r>
              <w:rPr>
                <w:rFonts w:ascii="Arial" w:hAnsi="Arial" w:cs="Arial"/>
                <w:b/>
                <w:szCs w:val="22"/>
              </w:rPr>
              <w:t>6</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sidRPr="00023296">
              <w:rPr>
                <w:rFonts w:ascii="Arial" w:hAnsi="Arial" w:cs="Arial"/>
                <w:b/>
                <w:szCs w:val="22"/>
              </w:rPr>
              <w:t>1</w:t>
            </w:r>
            <w:r>
              <w:rPr>
                <w:rFonts w:ascii="Arial" w:hAnsi="Arial" w:cs="Arial"/>
                <w:b/>
                <w:szCs w:val="22"/>
              </w:rPr>
              <w:t>7</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zCs w:val="22"/>
              </w:rPr>
            </w:pPr>
            <w:r w:rsidRPr="00023296">
              <w:rPr>
                <w:rFonts w:ascii="Arial" w:hAnsi="Arial" w:cs="Arial"/>
                <w:b/>
                <w:szCs w:val="22"/>
              </w:rPr>
              <w:t xml:space="preserve">Election of the members of the Bureau of the </w:t>
            </w:r>
            <w:r>
              <w:rPr>
                <w:rFonts w:ascii="Arial" w:hAnsi="Arial" w:cs="Arial"/>
                <w:b/>
                <w:szCs w:val="22"/>
              </w:rPr>
              <w:t>twelfth</w:t>
            </w:r>
            <w:r w:rsidRPr="00023296">
              <w:rPr>
                <w:rFonts w:ascii="Arial" w:hAnsi="Arial" w:cs="Arial"/>
                <w:b/>
                <w:szCs w:val="22"/>
              </w:rPr>
              <w:t xml:space="preserve"> session of the Committee</w:t>
            </w:r>
          </w:p>
        </w:tc>
        <w:tc>
          <w:tcPr>
            <w:tcW w:w="3860" w:type="dxa"/>
          </w:tcPr>
          <w:p w:rsidR="00A02AEE" w:rsidRPr="00023296" w:rsidRDefault="00A02AEE" w:rsidP="00A02AEE">
            <w:pPr>
              <w:spacing w:before="120"/>
              <w:rPr>
                <w:rFonts w:ascii="Arial" w:hAnsi="Arial" w:cs="Arial"/>
                <w:b/>
                <w:i/>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/1</w:t>
            </w:r>
            <w:r>
              <w:rPr>
                <w:rFonts w:ascii="Arial" w:hAnsi="Arial" w:cs="Arial"/>
                <w:b/>
                <w:szCs w:val="22"/>
              </w:rPr>
              <w:t>7</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sidRPr="00023296">
              <w:rPr>
                <w:rFonts w:ascii="Arial" w:hAnsi="Arial" w:cs="Arial"/>
                <w:b/>
                <w:szCs w:val="22"/>
              </w:rPr>
              <w:t>1</w:t>
            </w:r>
            <w:r>
              <w:rPr>
                <w:rFonts w:ascii="Arial" w:hAnsi="Arial" w:cs="Arial"/>
                <w:b/>
                <w:szCs w:val="22"/>
              </w:rPr>
              <w:t>8</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zCs w:val="22"/>
              </w:rPr>
            </w:pPr>
            <w:r w:rsidRPr="00023296">
              <w:rPr>
                <w:rFonts w:ascii="Arial" w:hAnsi="Arial" w:cs="Arial"/>
                <w:b/>
                <w:szCs w:val="22"/>
              </w:rPr>
              <w:t>Other business</w:t>
            </w:r>
          </w:p>
        </w:tc>
        <w:tc>
          <w:tcPr>
            <w:tcW w:w="3860" w:type="dxa"/>
          </w:tcPr>
          <w:p w:rsidR="00A02AEE" w:rsidRPr="00023296" w:rsidRDefault="00A02AEE" w:rsidP="00A02AEE">
            <w:pPr>
              <w:spacing w:before="120"/>
              <w:rPr>
                <w:rFonts w:ascii="Arial" w:hAnsi="Arial" w:cs="Arial"/>
                <w:b/>
                <w:i/>
                <w:szCs w:val="22"/>
              </w:rPr>
            </w:pP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Pr>
                <w:rFonts w:ascii="Arial" w:hAnsi="Arial" w:cs="Arial"/>
                <w:b/>
                <w:szCs w:val="22"/>
              </w:rPr>
              <w:lastRenderedPageBreak/>
              <w:t>19</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zCs w:val="22"/>
              </w:rPr>
            </w:pPr>
            <w:r w:rsidRPr="00023296">
              <w:rPr>
                <w:rFonts w:ascii="Arial" w:hAnsi="Arial" w:cs="Arial"/>
                <w:b/>
                <w:szCs w:val="22"/>
              </w:rPr>
              <w:t>Adoption of the list of decisions</w:t>
            </w:r>
          </w:p>
        </w:tc>
        <w:tc>
          <w:tcPr>
            <w:tcW w:w="3860" w:type="dxa"/>
          </w:tcPr>
          <w:p w:rsidR="00A02AEE" w:rsidRPr="00023296" w:rsidRDefault="00A02AEE" w:rsidP="00A02AEE">
            <w:pPr>
              <w:spacing w:before="120"/>
              <w:rPr>
                <w:rFonts w:ascii="Arial" w:hAnsi="Arial" w:cs="Arial"/>
                <w:b/>
                <w:i/>
                <w:szCs w:val="22"/>
              </w:rPr>
            </w:pPr>
            <w:r w:rsidRPr="00023296">
              <w:rPr>
                <w:rFonts w:ascii="Arial" w:hAnsi="Arial" w:cs="Arial"/>
                <w:b/>
                <w:szCs w:val="22"/>
              </w:rPr>
              <w:t>ITH/</w:t>
            </w:r>
            <w:r>
              <w:rPr>
                <w:rFonts w:ascii="Arial" w:hAnsi="Arial" w:cs="Arial"/>
                <w:b/>
                <w:szCs w:val="22"/>
              </w:rPr>
              <w:t>16/11.COM</w:t>
            </w:r>
            <w:r w:rsidRPr="00023296">
              <w:rPr>
                <w:rFonts w:ascii="Arial" w:hAnsi="Arial" w:cs="Arial"/>
                <w:b/>
                <w:szCs w:val="22"/>
              </w:rPr>
              <w:t>/Decisions</w:t>
            </w:r>
          </w:p>
        </w:tc>
      </w:tr>
      <w:tr w:rsidR="00A02AEE" w:rsidRPr="00023296" w:rsidTr="00FB5752">
        <w:trPr>
          <w:cantSplit/>
        </w:trPr>
        <w:tc>
          <w:tcPr>
            <w:tcW w:w="567" w:type="dxa"/>
          </w:tcPr>
          <w:p w:rsidR="00A02AEE" w:rsidRPr="00023296" w:rsidRDefault="00A02AEE" w:rsidP="00A02AEE">
            <w:pPr>
              <w:spacing w:before="120"/>
              <w:jc w:val="right"/>
              <w:rPr>
                <w:rFonts w:ascii="Arial" w:hAnsi="Arial" w:cs="Arial"/>
                <w:b/>
                <w:szCs w:val="22"/>
              </w:rPr>
            </w:pPr>
            <w:r>
              <w:rPr>
                <w:rFonts w:ascii="Arial" w:hAnsi="Arial" w:cs="Arial"/>
                <w:b/>
                <w:szCs w:val="22"/>
              </w:rPr>
              <w:t>20</w:t>
            </w:r>
            <w:r w:rsidRPr="00023296">
              <w:rPr>
                <w:rFonts w:ascii="Arial" w:hAnsi="Arial" w:cs="Arial"/>
                <w:b/>
                <w:szCs w:val="22"/>
              </w:rPr>
              <w:t>.</w:t>
            </w:r>
          </w:p>
        </w:tc>
        <w:tc>
          <w:tcPr>
            <w:tcW w:w="5245" w:type="dxa"/>
          </w:tcPr>
          <w:p w:rsidR="00A02AEE" w:rsidRPr="00023296" w:rsidRDefault="00A02AEE" w:rsidP="00A02AEE">
            <w:pPr>
              <w:spacing w:before="120"/>
              <w:rPr>
                <w:rFonts w:ascii="Arial" w:hAnsi="Arial" w:cs="Arial"/>
                <w:b/>
                <w:szCs w:val="22"/>
              </w:rPr>
            </w:pPr>
            <w:r w:rsidRPr="00023296">
              <w:rPr>
                <w:rFonts w:ascii="Arial" w:hAnsi="Arial" w:cs="Arial"/>
                <w:b/>
                <w:szCs w:val="22"/>
              </w:rPr>
              <w:t>Closure</w:t>
            </w:r>
          </w:p>
        </w:tc>
        <w:tc>
          <w:tcPr>
            <w:tcW w:w="3860" w:type="dxa"/>
          </w:tcPr>
          <w:p w:rsidR="00A02AEE" w:rsidRPr="00023296" w:rsidRDefault="00A02AEE" w:rsidP="00A02AEE">
            <w:pPr>
              <w:spacing w:before="120"/>
              <w:rPr>
                <w:rFonts w:ascii="Arial" w:hAnsi="Arial" w:cs="Arial"/>
                <w:b/>
                <w:i/>
                <w:szCs w:val="22"/>
              </w:rPr>
            </w:pPr>
          </w:p>
        </w:tc>
      </w:tr>
    </w:tbl>
    <w:p w:rsidR="00E22B99" w:rsidRDefault="00E22B99" w:rsidP="000C18CC">
      <w:pPr>
        <w:pStyle w:val="1GAPara"/>
        <w:numPr>
          <w:ilvl w:val="0"/>
          <w:numId w:val="0"/>
        </w:numPr>
      </w:pPr>
    </w:p>
    <w:sectPr w:rsidR="00E22B99" w:rsidSect="002938F2">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A1" w:rsidRDefault="005414A1" w:rsidP="002938F2">
      <w:r>
        <w:separator/>
      </w:r>
    </w:p>
    <w:p w:rsidR="005414A1" w:rsidRDefault="005414A1"/>
  </w:endnote>
  <w:endnote w:type="continuationSeparator" w:id="0">
    <w:p w:rsidR="005414A1" w:rsidRDefault="005414A1" w:rsidP="002938F2">
      <w:r>
        <w:continuationSeparator/>
      </w:r>
    </w:p>
    <w:p w:rsidR="005414A1" w:rsidRDefault="00541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A1" w:rsidRDefault="005414A1" w:rsidP="002938F2">
      <w:r>
        <w:separator/>
      </w:r>
    </w:p>
    <w:p w:rsidR="005414A1" w:rsidRDefault="005414A1"/>
  </w:footnote>
  <w:footnote w:type="continuationSeparator" w:id="0">
    <w:p w:rsidR="005414A1" w:rsidRDefault="005414A1" w:rsidP="002938F2">
      <w:r>
        <w:continuationSeparator/>
      </w:r>
    </w:p>
    <w:p w:rsidR="005414A1" w:rsidRDefault="005414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7A" w:rsidRPr="007E4E37" w:rsidRDefault="005414A1" w:rsidP="007E4E37">
    <w:pPr>
      <w:pStyle w:val="Header"/>
      <w:rPr>
        <w:rFonts w:ascii="Arial" w:hAnsi="Arial" w:cs="Arial"/>
      </w:rPr>
    </w:pPr>
    <w:r w:rsidRPr="00E70697">
      <w:rPr>
        <w:rFonts w:ascii="Arial" w:hAnsi="Arial" w:cs="Arial"/>
        <w:sz w:val="20"/>
        <w:szCs w:val="20"/>
      </w:rPr>
      <w:t>ITH/16</w:t>
    </w:r>
    <w:r w:rsidR="006A0D86" w:rsidRPr="00E70697">
      <w:rPr>
        <w:rFonts w:ascii="Arial" w:hAnsi="Arial" w:cs="Arial"/>
        <w:sz w:val="20"/>
        <w:szCs w:val="20"/>
      </w:rPr>
      <w:t>/11</w:t>
    </w:r>
    <w:r w:rsidR="007E4E37" w:rsidRPr="00E70697">
      <w:rPr>
        <w:rFonts w:ascii="Arial" w:hAnsi="Arial" w:cs="Arial"/>
        <w:sz w:val="20"/>
        <w:szCs w:val="20"/>
      </w:rPr>
      <w:t>.COM</w:t>
    </w:r>
    <w:r w:rsidR="000A34CE" w:rsidRPr="00E70697">
      <w:rPr>
        <w:rFonts w:ascii="Arial" w:hAnsi="Arial" w:cs="Arial"/>
        <w:sz w:val="20"/>
        <w:szCs w:val="20"/>
      </w:rPr>
      <w:t>/INF.</w:t>
    </w:r>
    <w:r w:rsidR="00E70697" w:rsidRPr="00E70697">
      <w:rPr>
        <w:rFonts w:ascii="Arial" w:hAnsi="Arial" w:cs="Arial"/>
        <w:sz w:val="20"/>
        <w:szCs w:val="20"/>
      </w:rPr>
      <w:t>2.2</w:t>
    </w:r>
    <w:r w:rsidR="00CE12DB">
      <w:rPr>
        <w:rFonts w:ascii="Arial" w:hAnsi="Arial" w:cs="Arial"/>
        <w:sz w:val="20"/>
        <w:szCs w:val="20"/>
      </w:rPr>
      <w:t> Rev</w:t>
    </w:r>
    <w:r w:rsidR="009336C0">
      <w:rPr>
        <w:rFonts w:ascii="Arial" w:hAnsi="Arial" w:cs="Arial"/>
        <w:sz w:val="20"/>
        <w:szCs w:val="20"/>
      </w:rPr>
      <w:t>.</w:t>
    </w:r>
    <w:r w:rsidR="00D968CA">
      <w:rPr>
        <w:rFonts w:ascii="Arial" w:hAnsi="Arial" w:cs="Arial"/>
        <w:sz w:val="20"/>
        <w:szCs w:val="20"/>
      </w:rPr>
      <w:t>3</w:t>
    </w:r>
    <w:r w:rsidR="00B6167A" w:rsidRPr="00D81948">
      <w:rPr>
        <w:rFonts w:ascii="Arial" w:hAnsi="Arial" w:cs="Arial"/>
        <w:sz w:val="20"/>
        <w:szCs w:val="20"/>
      </w:rPr>
      <w:t xml:space="preserve"> – page </w:t>
    </w:r>
    <w:r w:rsidR="00B6167A" w:rsidRPr="00D81948">
      <w:rPr>
        <w:rStyle w:val="PageNumber"/>
        <w:rFonts w:ascii="Arial" w:hAnsi="Arial" w:cs="Arial"/>
        <w:sz w:val="20"/>
        <w:szCs w:val="20"/>
      </w:rPr>
      <w:fldChar w:fldCharType="begin"/>
    </w:r>
    <w:r w:rsidR="00B6167A" w:rsidRPr="00D81948">
      <w:rPr>
        <w:rStyle w:val="PageNumber"/>
        <w:rFonts w:ascii="Arial" w:hAnsi="Arial" w:cs="Arial"/>
        <w:sz w:val="20"/>
        <w:szCs w:val="20"/>
      </w:rPr>
      <w:instrText xml:space="preserve"> PAGE </w:instrText>
    </w:r>
    <w:r w:rsidR="00B6167A" w:rsidRPr="00D81948">
      <w:rPr>
        <w:rStyle w:val="PageNumber"/>
        <w:rFonts w:ascii="Arial" w:hAnsi="Arial" w:cs="Arial"/>
        <w:sz w:val="20"/>
        <w:szCs w:val="20"/>
      </w:rPr>
      <w:fldChar w:fldCharType="separate"/>
    </w:r>
    <w:r w:rsidR="00B92801">
      <w:rPr>
        <w:rStyle w:val="PageNumber"/>
        <w:rFonts w:ascii="Arial" w:hAnsi="Arial" w:cs="Arial"/>
        <w:noProof/>
        <w:sz w:val="20"/>
        <w:szCs w:val="20"/>
      </w:rPr>
      <w:t>4</w:t>
    </w:r>
    <w:r w:rsidR="00B6167A" w:rsidRPr="00D81948">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7A" w:rsidRPr="007E4E37" w:rsidRDefault="0067005F" w:rsidP="00BA52C8">
    <w:pPr>
      <w:pStyle w:val="Header"/>
      <w:ind w:left="2544" w:firstLine="3552"/>
      <w:jc w:val="right"/>
      <w:rPr>
        <w:rFonts w:ascii="Arial" w:hAnsi="Arial" w:cs="Arial"/>
      </w:rPr>
    </w:pPr>
    <w:r w:rsidRPr="00E70697">
      <w:rPr>
        <w:rFonts w:ascii="Arial" w:hAnsi="Arial" w:cs="Arial"/>
        <w:sz w:val="20"/>
        <w:szCs w:val="20"/>
        <w:lang w:val="en-US"/>
      </w:rPr>
      <w:t>ITH/</w:t>
    </w:r>
    <w:r w:rsidR="00FB62DD" w:rsidRPr="00E70697">
      <w:rPr>
        <w:rFonts w:ascii="Arial" w:hAnsi="Arial" w:cs="Arial"/>
        <w:sz w:val="20"/>
        <w:szCs w:val="20"/>
        <w:lang w:val="en-US"/>
      </w:rPr>
      <w:t>1</w:t>
    </w:r>
    <w:r w:rsidR="00FB62DD">
      <w:rPr>
        <w:rFonts w:ascii="Arial" w:hAnsi="Arial" w:cs="Arial"/>
        <w:sz w:val="20"/>
        <w:szCs w:val="20"/>
        <w:lang w:val="en-US"/>
      </w:rPr>
      <w:t>6</w:t>
    </w:r>
    <w:r w:rsidRPr="00E70697">
      <w:rPr>
        <w:rFonts w:ascii="Arial" w:hAnsi="Arial" w:cs="Arial"/>
        <w:sz w:val="20"/>
        <w:szCs w:val="20"/>
        <w:lang w:val="en-US"/>
      </w:rPr>
      <w:t>/1</w:t>
    </w:r>
    <w:r w:rsidR="00FB62DD">
      <w:rPr>
        <w:rFonts w:ascii="Arial" w:hAnsi="Arial" w:cs="Arial"/>
        <w:sz w:val="20"/>
        <w:szCs w:val="20"/>
        <w:lang w:val="en-US"/>
      </w:rPr>
      <w:t>1</w:t>
    </w:r>
    <w:r w:rsidR="007E4E37" w:rsidRPr="00E70697">
      <w:rPr>
        <w:rFonts w:ascii="Arial" w:hAnsi="Arial" w:cs="Arial"/>
        <w:sz w:val="20"/>
        <w:szCs w:val="20"/>
        <w:lang w:val="en-US"/>
      </w:rPr>
      <w:t>.COM</w:t>
    </w:r>
    <w:r w:rsidR="001E4EEB" w:rsidRPr="00E70697">
      <w:rPr>
        <w:rFonts w:ascii="Arial" w:hAnsi="Arial" w:cs="Arial"/>
        <w:sz w:val="20"/>
        <w:szCs w:val="20"/>
        <w:lang w:val="en-US"/>
      </w:rPr>
      <w:t>/INF.</w:t>
    </w:r>
    <w:r w:rsidR="00E70697" w:rsidRPr="00E70697">
      <w:rPr>
        <w:rFonts w:ascii="Arial" w:hAnsi="Arial" w:cs="Arial"/>
        <w:sz w:val="20"/>
        <w:szCs w:val="20"/>
        <w:lang w:val="en-US"/>
      </w:rPr>
      <w:t>2.2</w:t>
    </w:r>
    <w:r w:rsidR="00CE12DB">
      <w:rPr>
        <w:rFonts w:ascii="Arial" w:hAnsi="Arial" w:cs="Arial"/>
        <w:sz w:val="20"/>
        <w:szCs w:val="20"/>
        <w:lang w:val="en-US"/>
      </w:rPr>
      <w:t> Rev.</w:t>
    </w:r>
    <w:r w:rsidR="00D968CA">
      <w:rPr>
        <w:rFonts w:ascii="Arial" w:hAnsi="Arial" w:cs="Arial"/>
        <w:sz w:val="20"/>
        <w:szCs w:val="20"/>
        <w:lang w:val="en-US"/>
      </w:rPr>
      <w:t>3</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PageNumber"/>
        <w:rFonts w:ascii="Arial" w:hAnsi="Arial" w:cs="Arial"/>
        <w:sz w:val="20"/>
        <w:szCs w:val="20"/>
      </w:rPr>
      <w:fldChar w:fldCharType="begin"/>
    </w:r>
    <w:r w:rsidR="001E4EEB" w:rsidRPr="00EF563B">
      <w:rPr>
        <w:rStyle w:val="PageNumber"/>
        <w:rFonts w:ascii="Arial" w:hAnsi="Arial" w:cs="Arial"/>
        <w:sz w:val="20"/>
        <w:szCs w:val="20"/>
        <w:lang w:val="en-US"/>
      </w:rPr>
      <w:instrText xml:space="preserve"> </w:instrText>
    </w:r>
    <w:r w:rsidR="001E4EEB">
      <w:rPr>
        <w:rStyle w:val="PageNumber"/>
        <w:rFonts w:ascii="Arial" w:hAnsi="Arial" w:cs="Arial"/>
        <w:sz w:val="20"/>
        <w:szCs w:val="20"/>
        <w:lang w:val="en-US"/>
      </w:rPr>
      <w:instrText>PAGE</w:instrText>
    </w:r>
    <w:r w:rsidR="001E4EEB" w:rsidRPr="00EF563B">
      <w:rPr>
        <w:rStyle w:val="PageNumber"/>
        <w:rFonts w:ascii="Arial" w:hAnsi="Arial" w:cs="Arial"/>
        <w:sz w:val="20"/>
        <w:szCs w:val="20"/>
        <w:lang w:val="en-US"/>
      </w:rPr>
      <w:instrText xml:space="preserve"> </w:instrText>
    </w:r>
    <w:r w:rsidR="001E4EEB" w:rsidRPr="00EF563B">
      <w:rPr>
        <w:rStyle w:val="PageNumber"/>
        <w:rFonts w:ascii="Arial" w:hAnsi="Arial" w:cs="Arial"/>
        <w:sz w:val="20"/>
        <w:szCs w:val="20"/>
      </w:rPr>
      <w:fldChar w:fldCharType="separate"/>
    </w:r>
    <w:r w:rsidR="00B92801">
      <w:rPr>
        <w:rStyle w:val="PageNumber"/>
        <w:rFonts w:ascii="Arial" w:hAnsi="Arial" w:cs="Arial"/>
        <w:noProof/>
        <w:sz w:val="20"/>
        <w:szCs w:val="20"/>
        <w:lang w:val="en-US"/>
      </w:rPr>
      <w:t>3</w:t>
    </w:r>
    <w:r w:rsidR="001E4EEB"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7A" w:rsidRPr="008724E5" w:rsidRDefault="00F50245">
    <w:pPr>
      <w:pStyle w:val="Header"/>
    </w:pPr>
    <w:r>
      <w:rPr>
        <w:noProof/>
        <w:lang w:val="en-US" w:eastAsia="en-US"/>
      </w:rPr>
      <w:drawing>
        <wp:anchor distT="0" distB="0" distL="114300" distR="114300" simplePos="0" relativeHeight="251657728" behindDoc="0" locked="0" layoutInCell="1" allowOverlap="1" wp14:anchorId="77668B26" wp14:editId="33F533C8">
          <wp:simplePos x="0" y="0"/>
          <wp:positionH relativeFrom="column">
            <wp:posOffset>-567690</wp:posOffset>
          </wp:positionH>
          <wp:positionV relativeFrom="page">
            <wp:posOffset>255905</wp:posOffset>
          </wp:positionV>
          <wp:extent cx="2228400" cy="136800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13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67A" w:rsidRPr="00D81948" w:rsidRDefault="00F33650" w:rsidP="002938F2">
    <w:pPr>
      <w:pStyle w:val="Header"/>
      <w:spacing w:after="520"/>
      <w:jc w:val="right"/>
      <w:rPr>
        <w:rFonts w:ascii="Arial" w:hAnsi="Arial" w:cs="Arial"/>
        <w:b/>
        <w:sz w:val="44"/>
        <w:szCs w:val="44"/>
      </w:rPr>
    </w:pPr>
    <w:r>
      <w:rPr>
        <w:rFonts w:ascii="Arial" w:hAnsi="Arial" w:cs="Arial"/>
        <w:b/>
        <w:sz w:val="44"/>
        <w:szCs w:val="44"/>
      </w:rPr>
      <w:t>11</w:t>
    </w:r>
    <w:r w:rsidR="00B6167A" w:rsidRPr="00D81948">
      <w:rPr>
        <w:rFonts w:ascii="Arial" w:hAnsi="Arial" w:cs="Arial"/>
        <w:b/>
        <w:sz w:val="44"/>
        <w:szCs w:val="44"/>
      </w:rPr>
      <w:t xml:space="preserve"> </w:t>
    </w:r>
    <w:r w:rsidR="007E4E37">
      <w:rPr>
        <w:rFonts w:ascii="Arial" w:hAnsi="Arial" w:cs="Arial"/>
        <w:b/>
        <w:sz w:val="44"/>
        <w:szCs w:val="44"/>
      </w:rPr>
      <w:t>COM</w:t>
    </w:r>
  </w:p>
  <w:p w:rsidR="00B6167A" w:rsidRPr="00D81948" w:rsidRDefault="006A0D86" w:rsidP="002D396D">
    <w:pPr>
      <w:spacing w:after="0"/>
      <w:jc w:val="right"/>
      <w:rPr>
        <w:rFonts w:ascii="Arial" w:hAnsi="Arial" w:cs="Arial"/>
        <w:b/>
        <w:szCs w:val="22"/>
      </w:rPr>
    </w:pPr>
    <w:r>
      <w:rPr>
        <w:rFonts w:ascii="Arial" w:hAnsi="Arial" w:cs="Arial"/>
        <w:b/>
        <w:szCs w:val="22"/>
      </w:rPr>
      <w:t>ITH/16</w:t>
    </w:r>
    <w:r w:rsidR="00B6167A" w:rsidRPr="00D81948">
      <w:rPr>
        <w:rFonts w:ascii="Arial" w:hAnsi="Arial" w:cs="Arial"/>
        <w:b/>
        <w:szCs w:val="22"/>
      </w:rPr>
      <w:t>/</w:t>
    </w:r>
    <w:r w:rsidR="005414A1">
      <w:rPr>
        <w:rFonts w:ascii="Arial" w:hAnsi="Arial" w:cs="Arial"/>
        <w:b/>
        <w:szCs w:val="22"/>
      </w:rPr>
      <w:t>11</w:t>
    </w:r>
    <w:r w:rsidR="00B6167A" w:rsidRPr="00D81948">
      <w:rPr>
        <w:rFonts w:ascii="Arial" w:hAnsi="Arial" w:cs="Arial"/>
        <w:b/>
        <w:szCs w:val="22"/>
      </w:rPr>
      <w:t>.</w:t>
    </w:r>
    <w:r w:rsidR="007E4E37">
      <w:rPr>
        <w:rFonts w:ascii="Arial" w:hAnsi="Arial" w:cs="Arial"/>
        <w:b/>
        <w:szCs w:val="22"/>
      </w:rPr>
      <w:t>COM</w:t>
    </w:r>
    <w:r w:rsidR="00B6167A" w:rsidRPr="00D81948">
      <w:rPr>
        <w:rFonts w:ascii="Arial" w:hAnsi="Arial" w:cs="Arial"/>
        <w:b/>
        <w:szCs w:val="22"/>
      </w:rPr>
      <w:t>/INF.</w:t>
    </w:r>
    <w:r w:rsidR="00E70697">
      <w:rPr>
        <w:rFonts w:ascii="Arial" w:hAnsi="Arial" w:cs="Arial"/>
        <w:b/>
        <w:szCs w:val="22"/>
      </w:rPr>
      <w:t>2.2</w:t>
    </w:r>
    <w:r w:rsidR="00CE12DB">
      <w:rPr>
        <w:rFonts w:ascii="Arial" w:hAnsi="Arial" w:cs="Arial"/>
        <w:b/>
        <w:szCs w:val="22"/>
      </w:rPr>
      <w:t> Rev</w:t>
    </w:r>
    <w:r w:rsidR="009336C0">
      <w:rPr>
        <w:rFonts w:ascii="Arial" w:hAnsi="Arial" w:cs="Arial"/>
        <w:b/>
        <w:szCs w:val="22"/>
      </w:rPr>
      <w:t>.</w:t>
    </w:r>
    <w:r w:rsidR="00D968CA">
      <w:rPr>
        <w:rFonts w:ascii="Arial" w:hAnsi="Arial" w:cs="Arial"/>
        <w:b/>
        <w:szCs w:val="22"/>
      </w:rPr>
      <w:t>3</w:t>
    </w:r>
  </w:p>
  <w:p w:rsidR="00B6167A" w:rsidRPr="00D81948" w:rsidRDefault="00B6167A" w:rsidP="002D396D">
    <w:pPr>
      <w:spacing w:after="0"/>
      <w:jc w:val="right"/>
      <w:rPr>
        <w:rFonts w:ascii="Arial" w:hAnsi="Arial" w:cs="Arial"/>
        <w:b/>
        <w:szCs w:val="22"/>
      </w:rPr>
    </w:pPr>
    <w:r w:rsidRPr="00D81948">
      <w:rPr>
        <w:rFonts w:ascii="Arial" w:hAnsi="Arial" w:cs="Arial"/>
        <w:b/>
        <w:szCs w:val="22"/>
      </w:rPr>
      <w:t xml:space="preserve">Paris, </w:t>
    </w:r>
    <w:r w:rsidR="00B92801">
      <w:rPr>
        <w:rFonts w:ascii="Arial" w:eastAsiaTheme="minorEastAsia" w:hAnsi="Arial" w:cs="Arial"/>
        <w:b/>
        <w:szCs w:val="22"/>
        <w:lang w:eastAsia="ko-KR"/>
      </w:rPr>
      <w:t>2</w:t>
    </w:r>
    <w:r w:rsidR="00D968CA">
      <w:rPr>
        <w:rFonts w:ascii="Arial" w:eastAsiaTheme="minorEastAsia" w:hAnsi="Arial" w:cs="Arial"/>
        <w:b/>
        <w:szCs w:val="22"/>
        <w:lang w:eastAsia="ko-KR"/>
      </w:rPr>
      <w:t xml:space="preserve"> December</w:t>
    </w:r>
    <w:r w:rsidR="005414A1">
      <w:rPr>
        <w:rFonts w:ascii="Arial" w:hAnsi="Arial" w:cs="Arial"/>
        <w:b/>
        <w:szCs w:val="22"/>
      </w:rPr>
      <w:t xml:space="preserve"> 2016</w:t>
    </w:r>
  </w:p>
  <w:p w:rsidR="00B6167A" w:rsidRPr="00203C69" w:rsidRDefault="00B6167A" w:rsidP="00203C69">
    <w:pPr>
      <w:spacing w:after="0"/>
      <w:jc w:val="right"/>
      <w:rPr>
        <w:rFonts w:ascii="Arial" w:eastAsiaTheme="minorEastAsia" w:hAnsi="Arial" w:cs="Arial"/>
        <w:b/>
        <w:szCs w:val="22"/>
        <w:lang w:eastAsia="ko-KR"/>
      </w:rPr>
    </w:pPr>
    <w:r w:rsidRPr="00D81948">
      <w:rPr>
        <w:rFonts w:ascii="Arial" w:hAnsi="Arial" w:cs="Arial"/>
        <w:b/>
        <w:szCs w:val="22"/>
      </w:rPr>
      <w:t xml:space="preserve">Original: </w:t>
    </w:r>
    <w:r w:rsidR="00B25CC1">
      <w:rPr>
        <w:rFonts w:ascii="Arial" w:hAnsi="Arial" w:cs="Arial"/>
        <w:b/>
        <w:szCs w:val="22"/>
      </w:rP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nsid w:val="3AC30BD2"/>
    <w:multiLevelType w:val="hybridMultilevel"/>
    <w:tmpl w:val="2F02E984"/>
    <w:lvl w:ilvl="0" w:tplc="DFC65752">
      <w:start w:val="1"/>
      <w:numFmt w:val="upperRoman"/>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9"/>
  </w:num>
  <w:num w:numId="5">
    <w:abstractNumId w:val="7"/>
  </w:num>
  <w:num w:numId="6">
    <w:abstractNumId w:val="0"/>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A1"/>
    <w:rsid w:val="000016A4"/>
    <w:rsid w:val="000019DB"/>
    <w:rsid w:val="00001C0F"/>
    <w:rsid w:val="000047CC"/>
    <w:rsid w:val="000120FD"/>
    <w:rsid w:val="000131BF"/>
    <w:rsid w:val="00021831"/>
    <w:rsid w:val="00047E58"/>
    <w:rsid w:val="00073D20"/>
    <w:rsid w:val="000755E1"/>
    <w:rsid w:val="00085541"/>
    <w:rsid w:val="00093063"/>
    <w:rsid w:val="000A34CE"/>
    <w:rsid w:val="000C18CC"/>
    <w:rsid w:val="000C65E4"/>
    <w:rsid w:val="00106B72"/>
    <w:rsid w:val="0011750D"/>
    <w:rsid w:val="001412DE"/>
    <w:rsid w:val="00144A4D"/>
    <w:rsid w:val="00151351"/>
    <w:rsid w:val="00174B39"/>
    <w:rsid w:val="001A431C"/>
    <w:rsid w:val="001C40D4"/>
    <w:rsid w:val="001D00B5"/>
    <w:rsid w:val="001D3B29"/>
    <w:rsid w:val="001E4EEB"/>
    <w:rsid w:val="001E6026"/>
    <w:rsid w:val="001F3696"/>
    <w:rsid w:val="001F37CA"/>
    <w:rsid w:val="00203C69"/>
    <w:rsid w:val="00204B37"/>
    <w:rsid w:val="00237E43"/>
    <w:rsid w:val="0027198B"/>
    <w:rsid w:val="00282A72"/>
    <w:rsid w:val="00286C0C"/>
    <w:rsid w:val="00290D5F"/>
    <w:rsid w:val="002938F2"/>
    <w:rsid w:val="00294952"/>
    <w:rsid w:val="002C5280"/>
    <w:rsid w:val="002D396D"/>
    <w:rsid w:val="002F2E2D"/>
    <w:rsid w:val="0035648A"/>
    <w:rsid w:val="00363995"/>
    <w:rsid w:val="0039446E"/>
    <w:rsid w:val="0039668F"/>
    <w:rsid w:val="003C7065"/>
    <w:rsid w:val="004108B6"/>
    <w:rsid w:val="00430727"/>
    <w:rsid w:val="00434773"/>
    <w:rsid w:val="00447C66"/>
    <w:rsid w:val="00461838"/>
    <w:rsid w:val="00471B34"/>
    <w:rsid w:val="004C523D"/>
    <w:rsid w:val="004E056C"/>
    <w:rsid w:val="004E2378"/>
    <w:rsid w:val="004E2817"/>
    <w:rsid w:val="004F3CD3"/>
    <w:rsid w:val="004F55EA"/>
    <w:rsid w:val="005016FB"/>
    <w:rsid w:val="00511D17"/>
    <w:rsid w:val="0051699F"/>
    <w:rsid w:val="00521C42"/>
    <w:rsid w:val="005414A1"/>
    <w:rsid w:val="005C0660"/>
    <w:rsid w:val="00601DD6"/>
    <w:rsid w:val="0063073E"/>
    <w:rsid w:val="00636760"/>
    <w:rsid w:val="00641F59"/>
    <w:rsid w:val="006515C9"/>
    <w:rsid w:val="00652318"/>
    <w:rsid w:val="0067005F"/>
    <w:rsid w:val="006A0D86"/>
    <w:rsid w:val="006B625C"/>
    <w:rsid w:val="006D46FB"/>
    <w:rsid w:val="006E2CEF"/>
    <w:rsid w:val="00703393"/>
    <w:rsid w:val="00746204"/>
    <w:rsid w:val="00747715"/>
    <w:rsid w:val="00750138"/>
    <w:rsid w:val="00753DA3"/>
    <w:rsid w:val="00764F50"/>
    <w:rsid w:val="00770A92"/>
    <w:rsid w:val="00790C65"/>
    <w:rsid w:val="007A7D45"/>
    <w:rsid w:val="007C1B00"/>
    <w:rsid w:val="007D31CE"/>
    <w:rsid w:val="007D5BB7"/>
    <w:rsid w:val="007E0621"/>
    <w:rsid w:val="007E4E37"/>
    <w:rsid w:val="007F4B07"/>
    <w:rsid w:val="008134F2"/>
    <w:rsid w:val="008308F0"/>
    <w:rsid w:val="0083488D"/>
    <w:rsid w:val="008466C3"/>
    <w:rsid w:val="00851458"/>
    <w:rsid w:val="008542E6"/>
    <w:rsid w:val="008605B1"/>
    <w:rsid w:val="00861A47"/>
    <w:rsid w:val="008707FF"/>
    <w:rsid w:val="008724E5"/>
    <w:rsid w:val="00876AB7"/>
    <w:rsid w:val="008D1D05"/>
    <w:rsid w:val="008D3BF7"/>
    <w:rsid w:val="008F16C6"/>
    <w:rsid w:val="008F34A1"/>
    <w:rsid w:val="009121CE"/>
    <w:rsid w:val="009127D8"/>
    <w:rsid w:val="00921F65"/>
    <w:rsid w:val="009336C0"/>
    <w:rsid w:val="0097349C"/>
    <w:rsid w:val="00993CE2"/>
    <w:rsid w:val="009D4547"/>
    <w:rsid w:val="009D5E38"/>
    <w:rsid w:val="009F34A4"/>
    <w:rsid w:val="009F3988"/>
    <w:rsid w:val="00A02AEE"/>
    <w:rsid w:val="00A150C7"/>
    <w:rsid w:val="00A519A2"/>
    <w:rsid w:val="00A70883"/>
    <w:rsid w:val="00A77AEB"/>
    <w:rsid w:val="00A86042"/>
    <w:rsid w:val="00AA444A"/>
    <w:rsid w:val="00AB1528"/>
    <w:rsid w:val="00AD113D"/>
    <w:rsid w:val="00AE1B18"/>
    <w:rsid w:val="00AF1C32"/>
    <w:rsid w:val="00B11AE3"/>
    <w:rsid w:val="00B25CC1"/>
    <w:rsid w:val="00B6167A"/>
    <w:rsid w:val="00B92801"/>
    <w:rsid w:val="00B973B5"/>
    <w:rsid w:val="00BA52C8"/>
    <w:rsid w:val="00BC7550"/>
    <w:rsid w:val="00BD59BD"/>
    <w:rsid w:val="00BF06BE"/>
    <w:rsid w:val="00C11F8F"/>
    <w:rsid w:val="00C17727"/>
    <w:rsid w:val="00C5697E"/>
    <w:rsid w:val="00C6478B"/>
    <w:rsid w:val="00CB0F37"/>
    <w:rsid w:val="00CC2BC6"/>
    <w:rsid w:val="00CE12DB"/>
    <w:rsid w:val="00CE2586"/>
    <w:rsid w:val="00CF1529"/>
    <w:rsid w:val="00D404B7"/>
    <w:rsid w:val="00D648D9"/>
    <w:rsid w:val="00D809E5"/>
    <w:rsid w:val="00D81948"/>
    <w:rsid w:val="00D9501F"/>
    <w:rsid w:val="00D968CA"/>
    <w:rsid w:val="00DB50D5"/>
    <w:rsid w:val="00DF0A3C"/>
    <w:rsid w:val="00DF3DA3"/>
    <w:rsid w:val="00E06A00"/>
    <w:rsid w:val="00E22B99"/>
    <w:rsid w:val="00E258D9"/>
    <w:rsid w:val="00E439CA"/>
    <w:rsid w:val="00E5219B"/>
    <w:rsid w:val="00E55F21"/>
    <w:rsid w:val="00E70697"/>
    <w:rsid w:val="00EA198F"/>
    <w:rsid w:val="00EC3C8F"/>
    <w:rsid w:val="00EF0BCB"/>
    <w:rsid w:val="00EF0E74"/>
    <w:rsid w:val="00EF6C64"/>
    <w:rsid w:val="00F00E8A"/>
    <w:rsid w:val="00F33650"/>
    <w:rsid w:val="00F473CB"/>
    <w:rsid w:val="00F50245"/>
    <w:rsid w:val="00F63DDA"/>
    <w:rsid w:val="00F70858"/>
    <w:rsid w:val="00F7397F"/>
    <w:rsid w:val="00F75949"/>
    <w:rsid w:val="00F941F0"/>
    <w:rsid w:val="00FB62DD"/>
    <w:rsid w:val="00FB684B"/>
    <w:rsid w:val="00FC5316"/>
    <w:rsid w:val="00FF2B1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COM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aliases w:val="GA Heading Char,COM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character" w:styleId="Hyperlink">
    <w:name w:val="Hyperlink"/>
    <w:unhideWhenUsed/>
    <w:rsid w:val="00E70697"/>
    <w:rPr>
      <w:color w:val="0000FF"/>
      <w:u w:val="single"/>
    </w:rPr>
  </w:style>
  <w:style w:type="character" w:styleId="FollowedHyperlink">
    <w:name w:val="FollowedHyperlink"/>
    <w:basedOn w:val="DefaultParagraphFont"/>
    <w:semiHidden/>
    <w:unhideWhenUsed/>
    <w:rsid w:val="00B25C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COM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aliases w:val="GA Heading Char,COM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uiPriority w:val="99"/>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character" w:styleId="Hyperlink">
    <w:name w:val="Hyperlink"/>
    <w:unhideWhenUsed/>
    <w:rsid w:val="00E70697"/>
    <w:rPr>
      <w:color w:val="0000FF"/>
      <w:u w:val="single"/>
    </w:rPr>
  </w:style>
  <w:style w:type="character" w:styleId="FollowedHyperlink">
    <w:name w:val="FollowedHyperlink"/>
    <w:basedOn w:val="DefaultParagraphFont"/>
    <w:semiHidden/>
    <w:unhideWhenUsed/>
    <w:rsid w:val="00B25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culture/ich/en/10c-register-008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esco.org/culture/ich/en/10b-representative-list-008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en/10a-urgent-safeguarding-list-0089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nesco.org/culture/ich/en/periodic-reporting-usl-00858" TargetMode="External"/><Relationship Id="rId4" Type="http://schemas.microsoft.com/office/2007/relationships/stylesWithEffects" Target="stylesWithEffects.xml"/><Relationship Id="rId9" Type="http://schemas.openxmlformats.org/officeDocument/2006/relationships/hyperlink" Target="http://www.unesco.org/culture/ich/en/periodic-reporting-00857"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A338-CE14-4211-BA7F-665EBDF3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COM_Information document_EN</Template>
  <TotalTime>22</TotalTime>
  <Pages>4</Pages>
  <Words>637</Words>
  <Characters>3631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admin</cp:lastModifiedBy>
  <cp:revision>12</cp:revision>
  <cp:lastPrinted>2016-07-04T14:45:00Z</cp:lastPrinted>
  <dcterms:created xsi:type="dcterms:W3CDTF">2016-11-22T16:59:00Z</dcterms:created>
  <dcterms:modified xsi:type="dcterms:W3CDTF">2016-12-01T21:12:00Z</dcterms:modified>
</cp:coreProperties>
</file>