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293C60" w:rsidRDefault="00A7796F" w:rsidP="00EC6F8D">
      <w:pPr>
        <w:spacing w:before="1440"/>
        <w:jc w:val="center"/>
        <w:rPr>
          <w:rFonts w:ascii="Arial" w:hAnsi="Arial" w:cs="Arial"/>
          <w:b/>
          <w:sz w:val="22"/>
          <w:szCs w:val="22"/>
        </w:rPr>
      </w:pPr>
      <w:r>
        <w:rPr>
          <w:rFonts w:ascii="Arial" w:hAnsi="Arial"/>
          <w:b/>
          <w:sz w:val="22"/>
        </w:rPr>
        <w:t xml:space="preserve"> </w:t>
      </w:r>
      <w:r w:rsidR="00EC6F8D">
        <w:rPr>
          <w:rFonts w:ascii="Arial" w:hAnsi="Arial"/>
          <w:b/>
          <w:sz w:val="22"/>
        </w:rPr>
        <w:t>CONVENTION POUR LA SAUVEGARDE</w:t>
      </w:r>
      <w:r w:rsidR="00EC6F8D">
        <w:rPr>
          <w:rFonts w:ascii="Arial" w:hAnsi="Arial" w:cs="Arial"/>
          <w:b/>
          <w:sz w:val="22"/>
          <w:szCs w:val="22"/>
        </w:rPr>
        <w:br/>
      </w:r>
      <w:r w:rsidR="00EC6F8D">
        <w:rPr>
          <w:rFonts w:ascii="Arial" w:hAnsi="Arial"/>
          <w:b/>
          <w:sz w:val="22"/>
        </w:rPr>
        <w:t>DU PATRIMOINE CULTUREL IMMATÉRIEL</w:t>
      </w:r>
    </w:p>
    <w:p w:rsidR="00EC6F8D" w:rsidRPr="00293C60" w:rsidRDefault="00A17C04" w:rsidP="00EC6F8D">
      <w:pPr>
        <w:spacing w:before="1200"/>
        <w:jc w:val="center"/>
        <w:rPr>
          <w:rFonts w:ascii="Arial" w:hAnsi="Arial" w:cs="Arial"/>
          <w:b/>
          <w:sz w:val="22"/>
          <w:szCs w:val="22"/>
        </w:rPr>
      </w:pPr>
      <w:r>
        <w:rPr>
          <w:rFonts w:ascii="Arial" w:hAnsi="Arial"/>
          <w:b/>
          <w:sz w:val="22"/>
        </w:rPr>
        <w:t>COMITÉ INTERGOUVERNEMENTAL DE</w:t>
      </w:r>
      <w:r w:rsidR="00EC6F8D">
        <w:rPr>
          <w:rFonts w:ascii="Arial" w:hAnsi="Arial" w:cs="Arial"/>
          <w:b/>
          <w:sz w:val="22"/>
          <w:szCs w:val="22"/>
        </w:rPr>
        <w:br/>
      </w:r>
      <w:r w:rsidR="00EC6F8D">
        <w:rPr>
          <w:rFonts w:ascii="Arial" w:hAnsi="Arial"/>
          <w:b/>
          <w:sz w:val="22"/>
        </w:rPr>
        <w:t>SAUVEGARDE DU PATRIMOINE CULTUREL IMMATÉRIEL</w:t>
      </w:r>
    </w:p>
    <w:p w:rsidR="00EC6F8D" w:rsidRPr="00293C60" w:rsidRDefault="00CB0542" w:rsidP="00EC6F8D">
      <w:pPr>
        <w:spacing w:before="840"/>
        <w:jc w:val="center"/>
        <w:rPr>
          <w:rFonts w:ascii="Arial" w:hAnsi="Arial" w:cs="Arial"/>
          <w:b/>
          <w:sz w:val="22"/>
          <w:szCs w:val="22"/>
        </w:rPr>
      </w:pPr>
      <w:r>
        <w:rPr>
          <w:rFonts w:ascii="Arial" w:hAnsi="Arial"/>
          <w:b/>
          <w:sz w:val="22"/>
        </w:rPr>
        <w:t>Onzième session</w:t>
      </w:r>
    </w:p>
    <w:p w:rsidR="009D5428" w:rsidRDefault="00CB0542" w:rsidP="005E7074">
      <w:pPr>
        <w:jc w:val="center"/>
        <w:rPr>
          <w:rFonts w:ascii="Arial" w:hAnsi="Arial" w:cs="Arial"/>
          <w:b/>
          <w:sz w:val="22"/>
          <w:szCs w:val="22"/>
        </w:rPr>
      </w:pPr>
      <w:r>
        <w:rPr>
          <w:rFonts w:ascii="Arial" w:hAnsi="Arial"/>
          <w:b/>
          <w:sz w:val="22"/>
        </w:rPr>
        <w:t>Addis-Abeba, Éthiopie</w:t>
      </w:r>
    </w:p>
    <w:p w:rsidR="00EC6F8D" w:rsidRPr="00293C60" w:rsidRDefault="00CB0542" w:rsidP="00EC6F8D">
      <w:pPr>
        <w:jc w:val="center"/>
        <w:rPr>
          <w:rFonts w:ascii="Arial" w:hAnsi="Arial" w:cs="Arial"/>
          <w:b/>
          <w:sz w:val="22"/>
          <w:szCs w:val="22"/>
        </w:rPr>
      </w:pPr>
      <w:r>
        <w:rPr>
          <w:rFonts w:ascii="Arial" w:hAnsi="Arial"/>
          <w:b/>
          <w:sz w:val="22"/>
        </w:rPr>
        <w:t>28 novembre – 2 décembre 2016</w:t>
      </w:r>
    </w:p>
    <w:p w:rsidR="00EC6F8D" w:rsidRPr="00293C60" w:rsidRDefault="00EC6F8D" w:rsidP="00EC6F8D">
      <w:pPr>
        <w:pStyle w:val="Sansinterligne2"/>
        <w:spacing w:before="1200"/>
        <w:jc w:val="center"/>
        <w:rPr>
          <w:rFonts w:ascii="Arial" w:hAnsi="Arial" w:cs="Arial"/>
          <w:b/>
          <w:sz w:val="22"/>
          <w:szCs w:val="22"/>
        </w:rPr>
      </w:pPr>
      <w:r>
        <w:rPr>
          <w:rFonts w:ascii="Arial" w:hAnsi="Arial"/>
          <w:b/>
          <w:sz w:val="22"/>
          <w:u w:val="single"/>
        </w:rPr>
        <w:t>Point</w:t>
      </w:r>
      <w:r w:rsidR="0020412F">
        <w:rPr>
          <w:rFonts w:ascii="Arial" w:hAnsi="Arial"/>
          <w:b/>
          <w:sz w:val="22"/>
          <w:u w:val="single"/>
        </w:rPr>
        <w:t> </w:t>
      </w:r>
      <w:r>
        <w:rPr>
          <w:rFonts w:ascii="Arial" w:hAnsi="Arial"/>
          <w:b/>
          <w:sz w:val="22"/>
          <w:u w:val="single"/>
        </w:rPr>
        <w:t>8 de l</w:t>
      </w:r>
      <w:r w:rsidR="00A17C04">
        <w:rPr>
          <w:rFonts w:ascii="Arial" w:hAnsi="Arial" w:hint="eastAsia"/>
          <w:b/>
          <w:sz w:val="22"/>
          <w:u w:val="single"/>
        </w:rPr>
        <w:t>’</w:t>
      </w:r>
      <w:r>
        <w:rPr>
          <w:rFonts w:ascii="Arial" w:hAnsi="Arial"/>
          <w:b/>
          <w:sz w:val="22"/>
          <w:u w:val="single"/>
        </w:rPr>
        <w:t>ordre du jour provisoire</w:t>
      </w:r>
      <w:r>
        <w:rPr>
          <w:rFonts w:ascii="Arial" w:hAnsi="Arial"/>
          <w:b/>
          <w:sz w:val="22"/>
        </w:rPr>
        <w:t> :</w:t>
      </w:r>
    </w:p>
    <w:p w:rsidR="00EC6F8D" w:rsidRPr="00293C60" w:rsidRDefault="00E069D7" w:rsidP="00EC6F8D">
      <w:pPr>
        <w:pStyle w:val="Sansinterligne2"/>
        <w:spacing w:after="1200"/>
        <w:jc w:val="center"/>
        <w:rPr>
          <w:rFonts w:ascii="Arial" w:hAnsi="Arial" w:cs="Arial"/>
          <w:b/>
          <w:sz w:val="22"/>
          <w:szCs w:val="22"/>
        </w:rPr>
      </w:pPr>
      <w:r>
        <w:rPr>
          <w:rFonts w:ascii="Arial" w:hAnsi="Arial"/>
          <w:b/>
          <w:sz w:val="22"/>
        </w:rPr>
        <w:t>C</w:t>
      </w:r>
      <w:r w:rsidR="00341099">
        <w:rPr>
          <w:rFonts w:ascii="Arial" w:hAnsi="Arial"/>
          <w:b/>
          <w:sz w:val="22"/>
        </w:rPr>
        <w:t xml:space="preserve">larification </w:t>
      </w:r>
      <w:r w:rsidR="000C1520">
        <w:rPr>
          <w:rFonts w:ascii="Arial" w:hAnsi="Arial"/>
          <w:b/>
          <w:sz w:val="22"/>
        </w:rPr>
        <w:t>du</w:t>
      </w:r>
      <w:r w:rsidR="00341099">
        <w:rPr>
          <w:rFonts w:ascii="Arial" w:hAnsi="Arial"/>
          <w:b/>
          <w:sz w:val="22"/>
        </w:rPr>
        <w:t xml:space="preserve"> processus de prise de décisions concernant l</w:t>
      </w:r>
      <w:r w:rsidR="00A17C04">
        <w:rPr>
          <w:rFonts w:ascii="Arial" w:hAnsi="Arial" w:hint="eastAsia"/>
          <w:b/>
          <w:sz w:val="22"/>
        </w:rPr>
        <w:t>’</w:t>
      </w:r>
      <w:r w:rsidR="00341099">
        <w:rPr>
          <w:rFonts w:ascii="Arial" w:hAnsi="Arial"/>
          <w:b/>
          <w:sz w:val="22"/>
        </w:rPr>
        <w:t>inscription, la sélection ou l</w:t>
      </w:r>
      <w:r w:rsidR="00A17C04">
        <w:rPr>
          <w:rFonts w:ascii="Arial" w:hAnsi="Arial" w:hint="eastAsia"/>
          <w:b/>
          <w:sz w:val="22"/>
        </w:rPr>
        <w:t>’</w:t>
      </w:r>
      <w:r w:rsidR="00341099">
        <w:rPr>
          <w:rFonts w:ascii="Arial" w:hAnsi="Arial"/>
          <w:b/>
          <w:sz w:val="22"/>
        </w:rPr>
        <w:t>approbation des candidatures, des propositions et des demandes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E04FCD" w:rsidTr="00EC6F8D">
        <w:trPr>
          <w:jc w:val="center"/>
        </w:trPr>
        <w:tc>
          <w:tcPr>
            <w:tcW w:w="5670" w:type="dxa"/>
            <w:vAlign w:val="center"/>
          </w:tcPr>
          <w:p w:rsidR="00EC6F8D" w:rsidRPr="00293C60"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rsidR="00987181" w:rsidRDefault="007252F7" w:rsidP="00987181">
            <w:pPr>
              <w:pStyle w:val="Sansinterligne1"/>
              <w:spacing w:before="200" w:after="200"/>
              <w:jc w:val="both"/>
              <w:rPr>
                <w:rFonts w:ascii="Arial" w:hAnsi="Arial" w:cs="Arial"/>
                <w:sz w:val="22"/>
                <w:szCs w:val="22"/>
              </w:rPr>
            </w:pPr>
            <w:r>
              <w:rPr>
                <w:rFonts w:ascii="Arial" w:hAnsi="Arial"/>
                <w:sz w:val="22"/>
              </w:rPr>
              <w:t>Conformément à l</w:t>
            </w:r>
            <w:r w:rsidR="00A17C04">
              <w:rPr>
                <w:rFonts w:ascii="Arial" w:hAnsi="Arial" w:hint="eastAsia"/>
                <w:sz w:val="22"/>
              </w:rPr>
              <w:t>’</w:t>
            </w:r>
            <w:r>
              <w:rPr>
                <w:rFonts w:ascii="Arial" w:hAnsi="Arial"/>
                <w:sz w:val="22"/>
              </w:rPr>
              <w:t>article</w:t>
            </w:r>
            <w:r w:rsidR="0020412F">
              <w:rPr>
                <w:rFonts w:ascii="Arial" w:hAnsi="Arial"/>
                <w:sz w:val="22"/>
              </w:rPr>
              <w:t> </w:t>
            </w:r>
            <w:r>
              <w:rPr>
                <w:rFonts w:ascii="Arial" w:hAnsi="Arial"/>
                <w:sz w:val="22"/>
              </w:rPr>
              <w:t>9.2 (c) du Règlement intérieur du Comité, l</w:t>
            </w:r>
            <w:r w:rsidR="00A17C04">
              <w:rPr>
                <w:rFonts w:ascii="Arial" w:hAnsi="Arial" w:hint="eastAsia"/>
                <w:sz w:val="22"/>
              </w:rPr>
              <w:t>’</w:t>
            </w:r>
            <w:r>
              <w:rPr>
                <w:rFonts w:ascii="Arial" w:hAnsi="Arial"/>
                <w:sz w:val="22"/>
              </w:rPr>
              <w:t>Espagne a proposé d</w:t>
            </w:r>
            <w:r w:rsidR="00A17C04">
              <w:rPr>
                <w:rFonts w:ascii="Arial" w:hAnsi="Arial" w:hint="eastAsia"/>
                <w:sz w:val="22"/>
              </w:rPr>
              <w:t>’</w:t>
            </w:r>
            <w:r>
              <w:rPr>
                <w:rFonts w:ascii="Arial" w:hAnsi="Arial"/>
                <w:sz w:val="22"/>
              </w:rPr>
              <w:t>ajouter un point à l</w:t>
            </w:r>
            <w:r w:rsidR="00A17C04">
              <w:rPr>
                <w:rFonts w:ascii="Arial" w:hAnsi="Arial" w:hint="eastAsia"/>
                <w:sz w:val="22"/>
              </w:rPr>
              <w:t>’</w:t>
            </w:r>
            <w:r>
              <w:rPr>
                <w:rFonts w:ascii="Arial" w:hAnsi="Arial"/>
                <w:sz w:val="22"/>
              </w:rPr>
              <w:t xml:space="preserve">ordre du jour de cette session pour clarifier les pratiques </w:t>
            </w:r>
            <w:r w:rsidR="00613602">
              <w:rPr>
                <w:rFonts w:ascii="Arial" w:hAnsi="Arial"/>
                <w:sz w:val="22"/>
              </w:rPr>
              <w:t xml:space="preserve">établies </w:t>
            </w:r>
            <w:r>
              <w:rPr>
                <w:rFonts w:ascii="Arial" w:hAnsi="Arial"/>
                <w:sz w:val="22"/>
              </w:rPr>
              <w:t>régissant l</w:t>
            </w:r>
            <w:r w:rsidR="00A17C04">
              <w:rPr>
                <w:rFonts w:ascii="Arial" w:hAnsi="Arial" w:hint="eastAsia"/>
                <w:sz w:val="22"/>
              </w:rPr>
              <w:t>’</w:t>
            </w:r>
            <w:r>
              <w:rPr>
                <w:rFonts w:ascii="Arial" w:hAnsi="Arial"/>
                <w:sz w:val="22"/>
              </w:rPr>
              <w:t>inscription, la sélection ou l</w:t>
            </w:r>
            <w:r w:rsidR="00A17C04">
              <w:rPr>
                <w:rFonts w:ascii="Arial" w:hAnsi="Arial" w:hint="eastAsia"/>
                <w:sz w:val="22"/>
              </w:rPr>
              <w:t>’</w:t>
            </w:r>
            <w:r>
              <w:rPr>
                <w:rFonts w:ascii="Arial" w:hAnsi="Arial"/>
                <w:sz w:val="22"/>
              </w:rPr>
              <w:t>approbation des candidatures, des propositions et des demandes. Le présent document revient donc sur le processus de prise de décision adopté par le Comité.</w:t>
            </w:r>
          </w:p>
          <w:p w:rsidR="00EC6F8D" w:rsidRPr="00293C60" w:rsidRDefault="00EC6F8D" w:rsidP="00E414F4">
            <w:pPr>
              <w:pStyle w:val="Sansinterligne1"/>
              <w:spacing w:before="200" w:after="200"/>
              <w:jc w:val="both"/>
              <w:rPr>
                <w:rFonts w:ascii="Arial" w:hAnsi="Arial" w:cs="Arial"/>
                <w:b/>
                <w:sz w:val="22"/>
                <w:szCs w:val="22"/>
              </w:rPr>
            </w:pPr>
            <w:r>
              <w:rPr>
                <w:rFonts w:ascii="Arial" w:hAnsi="Arial"/>
                <w:b/>
                <w:sz w:val="22"/>
              </w:rPr>
              <w:t xml:space="preserve">Décision requise : </w:t>
            </w:r>
            <w:r>
              <w:rPr>
                <w:rFonts w:ascii="Arial" w:hAnsi="Arial"/>
                <w:sz w:val="22"/>
              </w:rPr>
              <w:t>paragraphe</w:t>
            </w:r>
            <w:r w:rsidR="0020412F">
              <w:rPr>
                <w:rFonts w:ascii="Arial" w:hAnsi="Arial"/>
                <w:sz w:val="22"/>
              </w:rPr>
              <w:t> </w:t>
            </w:r>
            <w:r>
              <w:rPr>
                <w:rFonts w:ascii="Arial" w:hAnsi="Arial"/>
                <w:sz w:val="22"/>
              </w:rPr>
              <w:t>13.</w:t>
            </w:r>
          </w:p>
        </w:tc>
      </w:tr>
    </w:tbl>
    <w:p w:rsidR="001D5DC6" w:rsidRDefault="00655736" w:rsidP="00603BDD">
      <w:pPr>
        <w:pStyle w:val="COMPara"/>
        <w:numPr>
          <w:ilvl w:val="0"/>
          <w:numId w:val="9"/>
        </w:numPr>
        <w:ind w:left="567" w:hanging="567"/>
        <w:jc w:val="both"/>
      </w:pPr>
      <w:r>
        <w:br w:type="page"/>
      </w:r>
      <w:r>
        <w:lastRenderedPageBreak/>
        <w:t>L</w:t>
      </w:r>
      <w:r w:rsidR="00A17C04">
        <w:rPr>
          <w:rFonts w:eastAsiaTheme="minorEastAsia"/>
          <w:lang w:eastAsia="ko-KR"/>
        </w:rPr>
        <w:t>’</w:t>
      </w:r>
      <w:r>
        <w:t>article</w:t>
      </w:r>
      <w:r w:rsidR="0020412F">
        <w:t> </w:t>
      </w:r>
      <w:r>
        <w:t>9.2 (c) du Règlement intérieur du Comité intergouvernemental de sauvegarde du patrimoine culturel immatériel (« le Comité ») stipule que l</w:t>
      </w:r>
      <w:r w:rsidR="00A17C04">
        <w:rPr>
          <w:rFonts w:hint="eastAsia"/>
        </w:rPr>
        <w:t>’</w:t>
      </w:r>
      <w:r>
        <w:t>ordre du jour provisoire d</w:t>
      </w:r>
      <w:r w:rsidR="00A17C04">
        <w:rPr>
          <w:rFonts w:hint="eastAsia"/>
        </w:rPr>
        <w:t>’</w:t>
      </w:r>
      <w:r>
        <w:t>une session ordinaire du Comité comprend « toutes les questions proposées par les États parties à la Convention qui ne sont pas membres du Comité ».</w:t>
      </w:r>
    </w:p>
    <w:p w:rsidR="001D5DC6" w:rsidRDefault="00987181" w:rsidP="00603BDD">
      <w:pPr>
        <w:pStyle w:val="COMPara"/>
        <w:numPr>
          <w:ilvl w:val="0"/>
          <w:numId w:val="9"/>
        </w:numPr>
        <w:ind w:left="567" w:hanging="567"/>
        <w:jc w:val="both"/>
      </w:pPr>
      <w:r>
        <w:t>À l</w:t>
      </w:r>
      <w:r w:rsidR="00A17C04">
        <w:rPr>
          <w:rFonts w:hint="eastAsia"/>
        </w:rPr>
        <w:t>’</w:t>
      </w:r>
      <w:r>
        <w:t>occasion de la sixième</w:t>
      </w:r>
      <w:r w:rsidR="0020412F">
        <w:t> </w:t>
      </w:r>
      <w:r>
        <w:t>session de l</w:t>
      </w:r>
      <w:r w:rsidR="00A17C04">
        <w:rPr>
          <w:rFonts w:hint="eastAsia"/>
        </w:rPr>
        <w:t>’</w:t>
      </w:r>
      <w:r>
        <w:t>Assemblée générale des États parties à la Convention en juin 2016, l</w:t>
      </w:r>
      <w:r w:rsidR="00A17C04">
        <w:rPr>
          <w:rFonts w:hint="eastAsia"/>
        </w:rPr>
        <w:t>’</w:t>
      </w:r>
      <w:r>
        <w:t>Espagne a demandé par écrit d</w:t>
      </w:r>
      <w:r w:rsidR="00A17C04">
        <w:rPr>
          <w:rFonts w:hint="eastAsia"/>
        </w:rPr>
        <w:t>’</w:t>
      </w:r>
      <w:r>
        <w:t>ajouter à l</w:t>
      </w:r>
      <w:r w:rsidR="00A17C04">
        <w:rPr>
          <w:rFonts w:hint="eastAsia"/>
        </w:rPr>
        <w:t>’</w:t>
      </w:r>
      <w:r>
        <w:t>ordre du jour provisoire de la onzième</w:t>
      </w:r>
      <w:r w:rsidR="0020412F">
        <w:t> </w:t>
      </w:r>
      <w:r>
        <w:t xml:space="preserve">session du Comité </w:t>
      </w:r>
      <w:r w:rsidR="009D37B8">
        <w:t xml:space="preserve">un point sur </w:t>
      </w:r>
      <w:r>
        <w:t>la clarification du processus de prise de décision concernant l</w:t>
      </w:r>
      <w:r w:rsidR="00A17C04">
        <w:rPr>
          <w:rFonts w:hint="eastAsia"/>
        </w:rPr>
        <w:t>’</w:t>
      </w:r>
      <w:r>
        <w:t>inscription d</w:t>
      </w:r>
      <w:r w:rsidR="00A17C04">
        <w:rPr>
          <w:rFonts w:hint="eastAsia"/>
        </w:rPr>
        <w:t>’</w:t>
      </w:r>
      <w:r>
        <w:t>éléments sur la Liste du patrimoine culturel immatériel nécessitant une sauvegarde urgente et la Liste représentative du patrimoine culturel immatériel de l</w:t>
      </w:r>
      <w:r w:rsidR="00A17C04">
        <w:rPr>
          <w:rFonts w:hint="eastAsia"/>
        </w:rPr>
        <w:t>’</w:t>
      </w:r>
      <w:r>
        <w:t xml:space="preserve">humanité, </w:t>
      </w:r>
      <w:r w:rsidR="009D37B8">
        <w:t xml:space="preserve">ainsi que </w:t>
      </w:r>
      <w:r>
        <w:t>l</w:t>
      </w:r>
      <w:r w:rsidR="00A17C04">
        <w:rPr>
          <w:rFonts w:hint="eastAsia"/>
        </w:rPr>
        <w:t>’</w:t>
      </w:r>
      <w:r>
        <w:t>inscription de propositions au Registre des meilleures pratiques de sauvegarde et l</w:t>
      </w:r>
      <w:r w:rsidR="00A17C04">
        <w:rPr>
          <w:rFonts w:hint="eastAsia"/>
        </w:rPr>
        <w:t>’</w:t>
      </w:r>
      <w:r>
        <w:t>approbation des demandes d</w:t>
      </w:r>
      <w:r w:rsidR="00A17C04">
        <w:rPr>
          <w:rFonts w:hint="eastAsia"/>
        </w:rPr>
        <w:t>’</w:t>
      </w:r>
      <w:r>
        <w:t>assistance internationale.</w:t>
      </w:r>
    </w:p>
    <w:p w:rsidR="00B66368" w:rsidRPr="00CD58AB" w:rsidRDefault="00B66368" w:rsidP="00603BDD">
      <w:pPr>
        <w:pStyle w:val="COMPara"/>
        <w:numPr>
          <w:ilvl w:val="0"/>
          <w:numId w:val="9"/>
        </w:numPr>
        <w:ind w:left="567" w:hanging="567"/>
        <w:jc w:val="both"/>
      </w:pPr>
      <w:r>
        <w:t>Le présent document revient donc sur le processus de prise de décision suivi par le Comité pour les candidatures, les propositions et les demandes.</w:t>
      </w:r>
    </w:p>
    <w:p w:rsidR="008864FC" w:rsidRPr="008864FC" w:rsidRDefault="00077152" w:rsidP="00A17C04">
      <w:pPr>
        <w:pStyle w:val="COMPara"/>
        <w:jc w:val="both"/>
        <w:rPr>
          <w:b/>
        </w:rPr>
      </w:pPr>
      <w:r>
        <w:rPr>
          <w:b/>
        </w:rPr>
        <w:t>Préparation des projets de décisions sur les candidatures, les propositions et les demandes</w:t>
      </w:r>
    </w:p>
    <w:p w:rsidR="005847F5" w:rsidRPr="00B4008C" w:rsidRDefault="005847F5" w:rsidP="00603BDD">
      <w:pPr>
        <w:pStyle w:val="COMPara"/>
        <w:numPr>
          <w:ilvl w:val="0"/>
          <w:numId w:val="9"/>
        </w:numPr>
        <w:ind w:left="567" w:hanging="567"/>
        <w:jc w:val="both"/>
      </w:pPr>
      <w:r>
        <w:t>Le chapitre</w:t>
      </w:r>
      <w:r w:rsidR="0020412F">
        <w:t> </w:t>
      </w:r>
      <w:r>
        <w:t>I des Directives opérationnelles définit la procédure d</w:t>
      </w:r>
      <w:r w:rsidR="00A17C04">
        <w:rPr>
          <w:rFonts w:hint="eastAsia"/>
        </w:rPr>
        <w:t>’</w:t>
      </w:r>
      <w:r>
        <w:t>évaluation et d</w:t>
      </w:r>
      <w:r w:rsidR="00A17C04">
        <w:rPr>
          <w:rFonts w:hint="eastAsia"/>
        </w:rPr>
        <w:t>’</w:t>
      </w:r>
      <w:r>
        <w:t>examen des propositions d</w:t>
      </w:r>
      <w:r w:rsidR="00A17C04">
        <w:rPr>
          <w:rFonts w:hint="eastAsia"/>
        </w:rPr>
        <w:t>’</w:t>
      </w:r>
      <w:r>
        <w:t>inscription sur la Liste du patrimoine culturel immatériel nécessitant une sauvegarde urgente et la Liste représentative du patrimoine culturel immatériel de l</w:t>
      </w:r>
      <w:r w:rsidR="00A17C04">
        <w:rPr>
          <w:rFonts w:hint="eastAsia"/>
        </w:rPr>
        <w:t>’</w:t>
      </w:r>
      <w:r>
        <w:t>humanité, des propositions d</w:t>
      </w:r>
      <w:r w:rsidR="00A17C04">
        <w:rPr>
          <w:rFonts w:hint="eastAsia"/>
        </w:rPr>
        <w:t>’</w:t>
      </w:r>
      <w:r>
        <w:t>inscription sur le Registre des meilleures pratiques et des demandes d</w:t>
      </w:r>
      <w:r w:rsidR="00A17C04">
        <w:rPr>
          <w:rFonts w:hint="eastAsia"/>
        </w:rPr>
        <w:t>’</w:t>
      </w:r>
      <w:r>
        <w:t>assistance internationale. Ces dossiers sont examinés tous les ans pendant la session ordinaire du Comité. Les dossiers soumis par les États parties sont évalués techniquement par le Secrétariat qui les transmet, une fois qu</w:t>
      </w:r>
      <w:r w:rsidR="00A17C04">
        <w:rPr>
          <w:rFonts w:hint="eastAsia"/>
        </w:rPr>
        <w:t>’</w:t>
      </w:r>
      <w:r>
        <w:t>ils sont jugés techniquement complets, à l</w:t>
      </w:r>
      <w:r w:rsidR="00A17C04">
        <w:rPr>
          <w:rFonts w:hint="eastAsia"/>
        </w:rPr>
        <w:t>’</w:t>
      </w:r>
      <w:r>
        <w:t>Organe d</w:t>
      </w:r>
      <w:r w:rsidR="00A17C04">
        <w:rPr>
          <w:rFonts w:hint="eastAsia"/>
        </w:rPr>
        <w:t>’</w:t>
      </w:r>
      <w:r>
        <w:t>évaluation.</w:t>
      </w:r>
    </w:p>
    <w:p w:rsidR="00860D92" w:rsidRDefault="00B67DEB" w:rsidP="00603BDD">
      <w:pPr>
        <w:pStyle w:val="COMPara"/>
        <w:numPr>
          <w:ilvl w:val="0"/>
          <w:numId w:val="9"/>
        </w:numPr>
        <w:ind w:left="567" w:hanging="567"/>
        <w:jc w:val="both"/>
      </w:pPr>
      <w:r>
        <w:t>L</w:t>
      </w:r>
      <w:r w:rsidR="00A17C04">
        <w:rPr>
          <w:rFonts w:hint="eastAsia"/>
        </w:rPr>
        <w:t>’</w:t>
      </w:r>
      <w:r>
        <w:t>Organe d</w:t>
      </w:r>
      <w:r w:rsidR="00A17C04">
        <w:rPr>
          <w:rFonts w:hint="eastAsia"/>
        </w:rPr>
        <w:t>’</w:t>
      </w:r>
      <w:r>
        <w:t xml:space="preserve">évaluation est </w:t>
      </w:r>
      <w:r w:rsidR="00ED51A9">
        <w:t xml:space="preserve">un organe consultatif </w:t>
      </w:r>
      <w:r w:rsidR="001D7995">
        <w:t xml:space="preserve">du Comité </w:t>
      </w:r>
      <w:r>
        <w:t>composé de 12</w:t>
      </w:r>
      <w:r w:rsidR="0020412F">
        <w:t> </w:t>
      </w:r>
      <w:r w:rsidR="00942324">
        <w:t>membres</w:t>
      </w:r>
      <w:r w:rsidR="00942324" w:rsidRPr="00942324">
        <w:t> </w:t>
      </w:r>
      <w:r>
        <w:t>: six</w:t>
      </w:r>
      <w:r w:rsidR="0020412F">
        <w:t> </w:t>
      </w:r>
      <w:r>
        <w:t xml:space="preserve">experts qualifiés dans les </w:t>
      </w:r>
      <w:r w:rsidR="0021748A">
        <w:t xml:space="preserve">divers </w:t>
      </w:r>
      <w:r>
        <w:t>domaines du patrimoine culturel immatériel représentant</w:t>
      </w:r>
      <w:r w:rsidR="0021748A">
        <w:t>s</w:t>
      </w:r>
      <w:r>
        <w:t xml:space="preserve"> d</w:t>
      </w:r>
      <w:r w:rsidR="00A17C04">
        <w:rPr>
          <w:rFonts w:hint="eastAsia"/>
        </w:rPr>
        <w:t>’</w:t>
      </w:r>
      <w:r>
        <w:t xml:space="preserve">États parties non membres du Comité </w:t>
      </w:r>
      <w:r w:rsidR="003D6BC3">
        <w:t xml:space="preserve">– </w:t>
      </w:r>
      <w:r>
        <w:t>un</w:t>
      </w:r>
      <w:r w:rsidR="0020412F">
        <w:t> </w:t>
      </w:r>
      <w:r>
        <w:t xml:space="preserve">par groupe électoral </w:t>
      </w:r>
      <w:r w:rsidR="003D6BC3">
        <w:t xml:space="preserve">– </w:t>
      </w:r>
      <w:r>
        <w:t>et six</w:t>
      </w:r>
      <w:r w:rsidR="0020412F">
        <w:t> </w:t>
      </w:r>
      <w:r w:rsidR="003C60AA">
        <w:t xml:space="preserve">organisations non gouvernementales </w:t>
      </w:r>
      <w:r>
        <w:t>accrédit</w:t>
      </w:r>
      <w:r w:rsidR="002D1DBF">
        <w:t xml:space="preserve">ées </w:t>
      </w:r>
      <w:r w:rsidR="003D6BC3">
        <w:t xml:space="preserve">– </w:t>
      </w:r>
      <w:r w:rsidR="002D1DBF">
        <w:t>une</w:t>
      </w:r>
      <w:r w:rsidR="0020412F">
        <w:t> </w:t>
      </w:r>
      <w:r w:rsidR="002D1DBF">
        <w:t>par groupe électoral</w:t>
      </w:r>
      <w:r w:rsidR="003D6BC3">
        <w:t xml:space="preserve"> également</w:t>
      </w:r>
      <w:r w:rsidR="002D1DBF">
        <w:t>.</w:t>
      </w:r>
      <w:r w:rsidR="00197E7B">
        <w:t xml:space="preserve"> </w:t>
      </w:r>
      <w:r w:rsidR="003C60AA">
        <w:t>Ces membres sont désignés par le Comité à l</w:t>
      </w:r>
      <w:r w:rsidR="00A17C04">
        <w:rPr>
          <w:rFonts w:hint="eastAsia"/>
        </w:rPr>
        <w:t>’</w:t>
      </w:r>
      <w:r w:rsidR="003C60AA">
        <w:t>issue d</w:t>
      </w:r>
      <w:r w:rsidR="00A17C04">
        <w:rPr>
          <w:rFonts w:hint="eastAsia"/>
        </w:rPr>
        <w:t>’</w:t>
      </w:r>
      <w:r w:rsidR="003C60AA">
        <w:t xml:space="preserve">une élection. </w:t>
      </w:r>
      <w:r>
        <w:t xml:space="preserve">Les candidats sont proposés </w:t>
      </w:r>
      <w:r w:rsidR="003C60AA">
        <w:t xml:space="preserve">au Comité </w:t>
      </w:r>
      <w:r>
        <w:t>par les États parties dans le cadre de chaque groupe électoral. L</w:t>
      </w:r>
      <w:r w:rsidR="00A17C04">
        <w:rPr>
          <w:rFonts w:hint="eastAsia"/>
        </w:rPr>
        <w:t>’</w:t>
      </w:r>
      <w:r>
        <w:t>Organe d</w:t>
      </w:r>
      <w:r w:rsidR="00A17C04">
        <w:rPr>
          <w:rFonts w:hint="eastAsia"/>
        </w:rPr>
        <w:t>’</w:t>
      </w:r>
      <w:r>
        <w:t>évaluation prépare un rapport proposant des recommandations de décisions au Comité conformément aux Directives opérationnelles et aux missions fixées par le Comité. Chacun des membres de l</w:t>
      </w:r>
      <w:r w:rsidR="00A17C04">
        <w:rPr>
          <w:rFonts w:hint="eastAsia"/>
        </w:rPr>
        <w:t>’</w:t>
      </w:r>
      <w:r>
        <w:t xml:space="preserve">Organe évalue individuellement </w:t>
      </w:r>
      <w:r w:rsidR="00AF3804">
        <w:t>chaque dos</w:t>
      </w:r>
      <w:r w:rsidR="00A17C04">
        <w:t>sier devant être examiné par le</w:t>
      </w:r>
      <w:r>
        <w:t xml:space="preserve"> Comité avant de se réunir pour procéder à une évaluation commune, permettant d</w:t>
      </w:r>
      <w:r w:rsidR="00A17C04">
        <w:rPr>
          <w:rFonts w:hint="eastAsia"/>
        </w:rPr>
        <w:t>’</w:t>
      </w:r>
      <w:r>
        <w:t xml:space="preserve">aboutir à un consensus sur chacun des critères </w:t>
      </w:r>
      <w:r w:rsidR="003A58D0">
        <w:t xml:space="preserve">spécifiques </w:t>
      </w:r>
      <w:r w:rsidR="00A17C04">
        <w:t>à</w:t>
      </w:r>
      <w:r>
        <w:t xml:space="preserve"> chaque dossier. En d</w:t>
      </w:r>
      <w:r w:rsidR="00A17C04">
        <w:rPr>
          <w:rFonts w:hint="eastAsia"/>
        </w:rPr>
        <w:t>’</w:t>
      </w:r>
      <w:r>
        <w:t>autres termes, l</w:t>
      </w:r>
      <w:r w:rsidR="00A17C04">
        <w:rPr>
          <w:rFonts w:hint="eastAsia"/>
        </w:rPr>
        <w:t>’</w:t>
      </w:r>
      <w:r>
        <w:t>Organe fonctionne comme une entité collective, équilibrée géographiquement et entre experts et organisations non gouvernementales, parlant d</w:t>
      </w:r>
      <w:r w:rsidR="00A17C04">
        <w:rPr>
          <w:rFonts w:hint="eastAsia"/>
        </w:rPr>
        <w:t>’</w:t>
      </w:r>
      <w:r>
        <w:t xml:space="preserve">une seule voix. Depuis </w:t>
      </w:r>
      <w:r w:rsidR="00ED51A9">
        <w:t xml:space="preserve">quelques </w:t>
      </w:r>
      <w:r>
        <w:t xml:space="preserve">années, </w:t>
      </w:r>
      <w:r w:rsidR="005416D2">
        <w:t xml:space="preserve">il incombe au </w:t>
      </w:r>
      <w:r>
        <w:t>rapporteur de l</w:t>
      </w:r>
      <w:r w:rsidR="00A17C04">
        <w:rPr>
          <w:rFonts w:hint="eastAsia"/>
        </w:rPr>
        <w:t>’</w:t>
      </w:r>
      <w:r>
        <w:t xml:space="preserve">Organe </w:t>
      </w:r>
      <w:r w:rsidR="005416D2">
        <w:t xml:space="preserve">de </w:t>
      </w:r>
      <w:r>
        <w:t>prépare</w:t>
      </w:r>
      <w:r w:rsidR="005416D2">
        <w:t>r</w:t>
      </w:r>
      <w:r>
        <w:t xml:space="preserve"> le rapport </w:t>
      </w:r>
      <w:r w:rsidR="00ED51A9">
        <w:t xml:space="preserve">qui sera </w:t>
      </w:r>
      <w:r w:rsidR="005416D2">
        <w:t xml:space="preserve">ensuite </w:t>
      </w:r>
      <w:r>
        <w:t>approuvé par l</w:t>
      </w:r>
      <w:r w:rsidR="00A17C04">
        <w:rPr>
          <w:rFonts w:hint="eastAsia"/>
        </w:rPr>
        <w:t>’</w:t>
      </w:r>
      <w:r>
        <w:t xml:space="preserve">Organe et soumis au Comité, </w:t>
      </w:r>
      <w:r w:rsidR="00E65BC7">
        <w:t>sous la forme de</w:t>
      </w:r>
      <w:r>
        <w:t xml:space="preserve"> plusieurs documents de travail </w:t>
      </w:r>
      <w:r w:rsidR="005416D2">
        <w:t xml:space="preserve">– </w:t>
      </w:r>
      <w:r>
        <w:t>un pour chacun des mécanismes et un p</w:t>
      </w:r>
      <w:r w:rsidR="00A17C04">
        <w:t>our les observations générales.</w:t>
      </w:r>
    </w:p>
    <w:p w:rsidR="00D4286E" w:rsidRPr="00A17C04" w:rsidRDefault="00077152" w:rsidP="00A17C04">
      <w:pPr>
        <w:pStyle w:val="COMPara"/>
        <w:jc w:val="both"/>
        <w:rPr>
          <w:rFonts w:eastAsiaTheme="minorEastAsia"/>
          <w:b/>
          <w:lang w:eastAsia="ko-KR"/>
        </w:rPr>
      </w:pPr>
      <w:r>
        <w:rPr>
          <w:b/>
        </w:rPr>
        <w:t>Adoption des projets de décisions concernant les candidatures, les propositions et le</w:t>
      </w:r>
      <w:r w:rsidR="00A17C04">
        <w:rPr>
          <w:b/>
        </w:rPr>
        <w:t>s demandes et rôle du Président</w:t>
      </w:r>
    </w:p>
    <w:p w:rsidR="00877E88" w:rsidRDefault="00F216EE" w:rsidP="00603BDD">
      <w:pPr>
        <w:pStyle w:val="COMPara"/>
        <w:numPr>
          <w:ilvl w:val="0"/>
          <w:numId w:val="9"/>
        </w:numPr>
        <w:ind w:left="567" w:hanging="567"/>
        <w:jc w:val="both"/>
      </w:pPr>
      <w:r>
        <w:t>Le Comité peut décider d</w:t>
      </w:r>
      <w:r w:rsidR="00A17C04">
        <w:rPr>
          <w:rFonts w:hint="eastAsia"/>
        </w:rPr>
        <w:t>’</w:t>
      </w:r>
      <w:r>
        <w:t xml:space="preserve">adopter les projets de décisions </w:t>
      </w:r>
      <w:r w:rsidR="0012655B">
        <w:t xml:space="preserve">préparés </w:t>
      </w:r>
      <w:r>
        <w:t>par l</w:t>
      </w:r>
      <w:r w:rsidR="00A17C04">
        <w:rPr>
          <w:rFonts w:hint="eastAsia"/>
        </w:rPr>
        <w:t>’</w:t>
      </w:r>
      <w:r>
        <w:t>Organe d</w:t>
      </w:r>
      <w:r w:rsidR="00A17C04">
        <w:rPr>
          <w:rFonts w:hint="eastAsia"/>
        </w:rPr>
        <w:t>’</w:t>
      </w:r>
      <w:r>
        <w:t>évaluation ou d</w:t>
      </w:r>
      <w:r w:rsidR="00A17C04">
        <w:rPr>
          <w:rFonts w:hint="eastAsia"/>
        </w:rPr>
        <w:t>’</w:t>
      </w:r>
      <w:r>
        <w:t>en modifier</w:t>
      </w:r>
      <w:r w:rsidR="0012655B">
        <w:t xml:space="preserve"> certains</w:t>
      </w:r>
      <w:r>
        <w:t xml:space="preserve"> suivant les propositions des membres du Comité, en fonction des critères définis dans les Directives opérationnelles et des informations contenues dans les dossiers conformément à l</w:t>
      </w:r>
      <w:r w:rsidR="00A17C04">
        <w:rPr>
          <w:rFonts w:hint="eastAsia"/>
        </w:rPr>
        <w:t>’</w:t>
      </w:r>
      <w:r>
        <w:t>article</w:t>
      </w:r>
      <w:r w:rsidR="0020412F">
        <w:t> </w:t>
      </w:r>
      <w:r>
        <w:t>34 du Règlement intérieur stipulant que « </w:t>
      </w:r>
      <w:r w:rsidR="001A0106">
        <w:t>[l]</w:t>
      </w:r>
      <w:r>
        <w:t>e Comité adopte les décisions et recommandations qu</w:t>
      </w:r>
      <w:r w:rsidR="00A17C04">
        <w:rPr>
          <w:rFonts w:hint="eastAsia"/>
        </w:rPr>
        <w:t>’</w:t>
      </w:r>
      <w:r>
        <w:t>il juge appropriées ».</w:t>
      </w:r>
    </w:p>
    <w:p w:rsidR="00E75032" w:rsidRPr="00E75032" w:rsidRDefault="00E75032" w:rsidP="00603BDD">
      <w:pPr>
        <w:pStyle w:val="COMPara"/>
        <w:numPr>
          <w:ilvl w:val="0"/>
          <w:numId w:val="9"/>
        </w:numPr>
        <w:ind w:left="567" w:hanging="567"/>
        <w:jc w:val="both"/>
      </w:pPr>
      <w:r>
        <w:t>La conduite des débats pendant les sessions du Comité est régie par le chapitre</w:t>
      </w:r>
      <w:r w:rsidR="0020412F">
        <w:t> </w:t>
      </w:r>
      <w:r>
        <w:t>VI du Règlement intérieur et, notamment, les articles</w:t>
      </w:r>
      <w:r w:rsidR="0020412F">
        <w:t> </w:t>
      </w:r>
      <w:r>
        <w:t xml:space="preserve">24 </w:t>
      </w:r>
      <w:r w:rsidR="0012655B">
        <w:t xml:space="preserve">à </w:t>
      </w:r>
      <w:r>
        <w:t>26 précisant les procédures pour le vote des propositions et amendements</w:t>
      </w:r>
      <w:r w:rsidR="00553B9C">
        <w:t xml:space="preserve"> par le Comité</w:t>
      </w:r>
      <w:r>
        <w:t>. Le chapitre</w:t>
      </w:r>
      <w:r w:rsidR="0020412F">
        <w:t> </w:t>
      </w:r>
      <w:r>
        <w:t>VII du Règlement intérieur détaille la procédure formelle de mise aux voix.</w:t>
      </w:r>
    </w:p>
    <w:p w:rsidR="00D9325B" w:rsidRDefault="00F32B74" w:rsidP="00603BDD">
      <w:pPr>
        <w:pStyle w:val="COMPara"/>
        <w:numPr>
          <w:ilvl w:val="0"/>
          <w:numId w:val="9"/>
        </w:numPr>
        <w:ind w:left="567" w:hanging="567"/>
        <w:jc w:val="both"/>
      </w:pPr>
      <w:r>
        <w:lastRenderedPageBreak/>
        <w:t>Suivant les pratiques des organes directeurs de l</w:t>
      </w:r>
      <w:r w:rsidR="00A17C04">
        <w:rPr>
          <w:rFonts w:hint="eastAsia"/>
        </w:rPr>
        <w:t>’</w:t>
      </w:r>
      <w:r>
        <w:t xml:space="preserve">UNESCO, le Comité a </w:t>
      </w:r>
      <w:r w:rsidR="00CD0333">
        <w:t>jusqu</w:t>
      </w:r>
      <w:r w:rsidR="00A17C04">
        <w:rPr>
          <w:rFonts w:hint="eastAsia"/>
        </w:rPr>
        <w:t>’</w:t>
      </w:r>
      <w:r w:rsidR="00CD0333">
        <w:t xml:space="preserve">à présent </w:t>
      </w:r>
      <w:r>
        <w:t>privilégié l</w:t>
      </w:r>
      <w:r w:rsidR="00A17C04">
        <w:rPr>
          <w:rFonts w:hint="eastAsia"/>
        </w:rPr>
        <w:t>’</w:t>
      </w:r>
      <w:r>
        <w:t>adoption des décisions par consensus, dans le cadre de débats</w:t>
      </w:r>
      <w:r w:rsidR="00D115B0">
        <w:t xml:space="preserve"> entre ses membres</w:t>
      </w:r>
      <w:r>
        <w:t xml:space="preserve">, plutôt que par une mise aux voix formelle. Cette méthode favorise </w:t>
      </w:r>
      <w:r w:rsidR="00730F8E">
        <w:t>l</w:t>
      </w:r>
      <w:r w:rsidR="00A17C04">
        <w:rPr>
          <w:rFonts w:hint="eastAsia"/>
        </w:rPr>
        <w:t>’</w:t>
      </w:r>
      <w:r w:rsidR="00730F8E">
        <w:t xml:space="preserve">esprit de </w:t>
      </w:r>
      <w:r>
        <w:t>coopération international</w:t>
      </w:r>
      <w:r w:rsidR="00A17C04">
        <w:t>e et la compréhension mutuelle.</w:t>
      </w:r>
    </w:p>
    <w:p w:rsidR="008E48DE" w:rsidRDefault="00D9325B" w:rsidP="00603BDD">
      <w:pPr>
        <w:pStyle w:val="COMPara"/>
        <w:numPr>
          <w:ilvl w:val="0"/>
          <w:numId w:val="9"/>
        </w:numPr>
        <w:ind w:left="567" w:hanging="567"/>
        <w:jc w:val="both"/>
      </w:pPr>
      <w:r>
        <w:t xml:space="preserve">Le Président </w:t>
      </w:r>
      <w:r w:rsidR="00913629">
        <w:t xml:space="preserve">est chargé de gérer </w:t>
      </w:r>
      <w:r>
        <w:t>le Comité conformément à l</w:t>
      </w:r>
      <w:r w:rsidR="00A17C04">
        <w:rPr>
          <w:rFonts w:hint="eastAsia"/>
        </w:rPr>
        <w:t>’</w:t>
      </w:r>
      <w:r>
        <w:t>article</w:t>
      </w:r>
      <w:r w:rsidR="0020412F">
        <w:t> </w:t>
      </w:r>
      <w:r>
        <w:t>14 du Règlement intérieur du Comité, qui précise que le Président « dirige les débats, assure l</w:t>
      </w:r>
      <w:r w:rsidR="00A17C04">
        <w:rPr>
          <w:rFonts w:hint="eastAsia"/>
        </w:rPr>
        <w:t>’</w:t>
      </w:r>
      <w:r>
        <w:t>observation du présent Règlement, donne la parole aux orateurs, met les questions aux voix et proclame les décisions ». Le Président a pris l</w:t>
      </w:r>
      <w:r w:rsidR="00A17C04">
        <w:rPr>
          <w:rFonts w:hint="eastAsia"/>
        </w:rPr>
        <w:t>’</w:t>
      </w:r>
      <w:r>
        <w:t>habitude, à l</w:t>
      </w:r>
      <w:r w:rsidR="00A17C04">
        <w:rPr>
          <w:rFonts w:hint="eastAsia"/>
        </w:rPr>
        <w:t>’</w:t>
      </w:r>
      <w:r>
        <w:t>occasion des sessions du Comité, d</w:t>
      </w:r>
      <w:r w:rsidR="00A17C04">
        <w:rPr>
          <w:rFonts w:hint="eastAsia"/>
        </w:rPr>
        <w:t>’</w:t>
      </w:r>
      <w:r>
        <w:t xml:space="preserve">encourager </w:t>
      </w:r>
      <w:r w:rsidR="007E5BA3">
        <w:t xml:space="preserve">et de permettre à </w:t>
      </w:r>
      <w:r w:rsidR="00A17C04">
        <w:t>tous les membres</w:t>
      </w:r>
      <w:r>
        <w:t xml:space="preserve"> </w:t>
      </w:r>
      <w:r w:rsidR="007E5BA3">
        <w:t>d</w:t>
      </w:r>
      <w:r w:rsidR="00A17C04">
        <w:rPr>
          <w:rFonts w:hint="eastAsia"/>
        </w:rPr>
        <w:t>’</w:t>
      </w:r>
      <w:r>
        <w:t>exprimer leur point de vue, en animant le débat de manière à parvenir à un compromis</w:t>
      </w:r>
      <w:r w:rsidR="00730F8E">
        <w:t xml:space="preserve"> en cas d</w:t>
      </w:r>
      <w:r w:rsidR="00A17C04">
        <w:rPr>
          <w:rFonts w:hint="eastAsia"/>
        </w:rPr>
        <w:t>’</w:t>
      </w:r>
      <w:r w:rsidR="00730F8E">
        <w:t>opinions divergentes</w:t>
      </w:r>
      <w:r>
        <w:t xml:space="preserve">. Le Président détermine </w:t>
      </w:r>
      <w:r w:rsidR="00730F8E">
        <w:t xml:space="preserve">aussi </w:t>
      </w:r>
      <w:r>
        <w:t>l</w:t>
      </w:r>
      <w:r w:rsidR="00A17C04">
        <w:rPr>
          <w:rFonts w:hint="eastAsia"/>
        </w:rPr>
        <w:t>’</w:t>
      </w:r>
      <w:r>
        <w:t>émergence d</w:t>
      </w:r>
      <w:r w:rsidR="00A17C04">
        <w:rPr>
          <w:rFonts w:hint="eastAsia"/>
        </w:rPr>
        <w:t>’</w:t>
      </w:r>
      <w:r>
        <w:t xml:space="preserve">un consensus et conclut le débat. </w:t>
      </w:r>
      <w:r w:rsidR="006F0BA0">
        <w:t>Pendant la discussion autour des amendements, l</w:t>
      </w:r>
      <w:r>
        <w:t>e Secrétariat a également pris l</w:t>
      </w:r>
      <w:r w:rsidR="00A17C04">
        <w:rPr>
          <w:rFonts w:hint="eastAsia"/>
        </w:rPr>
        <w:t>’</w:t>
      </w:r>
      <w:r>
        <w:t>habitude d</w:t>
      </w:r>
      <w:r w:rsidR="00A17C04">
        <w:rPr>
          <w:rFonts w:hint="eastAsia"/>
        </w:rPr>
        <w:t>’</w:t>
      </w:r>
      <w:r>
        <w:t>indiquer à l</w:t>
      </w:r>
      <w:r w:rsidR="00A17C04">
        <w:rPr>
          <w:rFonts w:hint="eastAsia"/>
        </w:rPr>
        <w:t>’</w:t>
      </w:r>
      <w:r>
        <w:t>écran</w:t>
      </w:r>
      <w:r w:rsidR="006F0BA0">
        <w:t>, dans</w:t>
      </w:r>
      <w:r>
        <w:t xml:space="preserve"> le texte des amendements proposés</w:t>
      </w:r>
      <w:r w:rsidR="006F0BA0">
        <w:t>,</w:t>
      </w:r>
      <w:r>
        <w:t xml:space="preserve"> le nom des membres du Comité qui soutiennent (proposent)</w:t>
      </w:r>
      <w:r w:rsidR="006F0BA0">
        <w:t xml:space="preserve"> des options </w:t>
      </w:r>
      <w:r w:rsidR="009F7909">
        <w:t>en particulier</w:t>
      </w:r>
      <w:r>
        <w:t>.</w:t>
      </w:r>
    </w:p>
    <w:p w:rsidR="005A0C3B" w:rsidRPr="00207010" w:rsidRDefault="005A0C3B" w:rsidP="00603BDD">
      <w:pPr>
        <w:pStyle w:val="COMPara"/>
        <w:numPr>
          <w:ilvl w:val="0"/>
          <w:numId w:val="9"/>
        </w:numPr>
        <w:ind w:left="567" w:hanging="567"/>
        <w:jc w:val="both"/>
      </w:pPr>
      <w:r>
        <w:t>À l</w:t>
      </w:r>
      <w:r w:rsidR="00A17C04">
        <w:rPr>
          <w:rFonts w:hint="eastAsia"/>
        </w:rPr>
        <w:t>’</w:t>
      </w:r>
      <w:r>
        <w:t>occasion des dernières sessions</w:t>
      </w:r>
      <w:r w:rsidR="008A59E5">
        <w:t xml:space="preserve"> du Comité</w:t>
      </w:r>
      <w:r>
        <w:t xml:space="preserve">, les Présidents ont adopté des procédures particulières de prise de décision </w:t>
      </w:r>
      <w:r w:rsidR="007E345C">
        <w:t xml:space="preserve">concernant </w:t>
      </w:r>
      <w:r>
        <w:t xml:space="preserve">les candidatures, </w:t>
      </w:r>
      <w:r w:rsidR="007E345C">
        <w:t xml:space="preserve">les </w:t>
      </w:r>
      <w:r>
        <w:t xml:space="preserve">propositions et </w:t>
      </w:r>
      <w:r w:rsidR="007E345C">
        <w:t xml:space="preserve">les </w:t>
      </w:r>
      <w:r>
        <w:t xml:space="preserve">demandes. </w:t>
      </w:r>
      <w:r w:rsidR="00746A9C" w:rsidRPr="00746A9C">
        <w:t>Compte tenu du travail confié par le Comité à l</w:t>
      </w:r>
      <w:r w:rsidR="00A17C04">
        <w:rPr>
          <w:rFonts w:hint="eastAsia"/>
        </w:rPr>
        <w:t>’</w:t>
      </w:r>
      <w:r w:rsidR="00746A9C" w:rsidRPr="00746A9C">
        <w:t>Organe d</w:t>
      </w:r>
      <w:r w:rsidR="00A17C04">
        <w:rPr>
          <w:rFonts w:hint="eastAsia"/>
        </w:rPr>
        <w:t>’</w:t>
      </w:r>
      <w:r w:rsidR="00746A9C" w:rsidRPr="00746A9C">
        <w:t>évaluation, du temps et des efforts que ce dernier y consacre sur plusieurs mois et de l</w:t>
      </w:r>
      <w:r w:rsidR="00A17C04">
        <w:rPr>
          <w:rFonts w:hint="eastAsia"/>
        </w:rPr>
        <w:t>’</w:t>
      </w:r>
      <w:r w:rsidR="00746A9C" w:rsidRPr="00746A9C">
        <w:t xml:space="preserve">élaboration collégiale de ses recommandations, les Présidents cherchent depuis quelques années à obtenir </w:t>
      </w:r>
      <w:r w:rsidR="007F2DC4">
        <w:t>un large accord</w:t>
      </w:r>
      <w:r w:rsidR="00D93885">
        <w:t>,</w:t>
      </w:r>
      <w:r w:rsidR="007F2DC4">
        <w:t xml:space="preserve"> à travers l</w:t>
      </w:r>
      <w:r w:rsidR="00A17C04">
        <w:rPr>
          <w:rFonts w:hint="eastAsia"/>
        </w:rPr>
        <w:t>’</w:t>
      </w:r>
      <w:r w:rsidR="007F2DC4">
        <w:t>expression active de marques de soutien</w:t>
      </w:r>
      <w:r w:rsidR="00D93885">
        <w:t>,</w:t>
      </w:r>
      <w:r w:rsidR="007F2DC4">
        <w:t xml:space="preserve"> afin d</w:t>
      </w:r>
      <w:r w:rsidR="00A17C04">
        <w:rPr>
          <w:rFonts w:hint="eastAsia"/>
        </w:rPr>
        <w:t>’</w:t>
      </w:r>
      <w:r w:rsidR="007F2DC4">
        <w:t xml:space="preserve">établir un consensus </w:t>
      </w:r>
      <w:r w:rsidR="0009209C">
        <w:t>e</w:t>
      </w:r>
      <w:r w:rsidR="00947726">
        <w:t xml:space="preserve">n cas </w:t>
      </w:r>
      <w:r w:rsidR="0009209C">
        <w:t>d</w:t>
      </w:r>
      <w:r w:rsidR="00A17C04">
        <w:rPr>
          <w:rFonts w:hint="eastAsia"/>
        </w:rPr>
        <w:t>’</w:t>
      </w:r>
      <w:r w:rsidR="00947726">
        <w:t>amendement</w:t>
      </w:r>
      <w:r w:rsidR="0009209C">
        <w:t xml:space="preserve"> de décisions concernant des candidatures, propositions ou demandes pouvant infléchir </w:t>
      </w:r>
      <w:r w:rsidR="0009209C" w:rsidRPr="00746A9C">
        <w:t xml:space="preserve">des recommandations concernant </w:t>
      </w:r>
      <w:r w:rsidR="0009209C">
        <w:t>une candidature</w:t>
      </w:r>
      <w:r w:rsidR="00A17C04">
        <w:t>.</w:t>
      </w:r>
    </w:p>
    <w:p w:rsidR="00904B37" w:rsidRDefault="00904B37" w:rsidP="00603BDD">
      <w:pPr>
        <w:pStyle w:val="COMPara"/>
        <w:numPr>
          <w:ilvl w:val="0"/>
          <w:numId w:val="9"/>
        </w:numPr>
        <w:ind w:left="567" w:hanging="567"/>
        <w:jc w:val="both"/>
      </w:pPr>
      <w:r>
        <w:t>Il convient de noter que le Règlement intérieur ne prévoit pas d</w:t>
      </w:r>
      <w:r w:rsidR="00A17C04">
        <w:rPr>
          <w:rFonts w:hint="eastAsia"/>
        </w:rPr>
        <w:t>’</w:t>
      </w:r>
      <w:r>
        <w:t>adoption des décisions par consensus pour les candidatures, les propositions, les demandes ou tout autre point à l</w:t>
      </w:r>
      <w:r w:rsidR="00A17C04">
        <w:rPr>
          <w:rFonts w:hint="eastAsia"/>
        </w:rPr>
        <w:t>’</w:t>
      </w:r>
      <w:r>
        <w:t>ordre du jour. En l</w:t>
      </w:r>
      <w:r w:rsidR="00A17C04">
        <w:rPr>
          <w:rFonts w:hint="eastAsia"/>
        </w:rPr>
        <w:t>’</w:t>
      </w:r>
      <w:r>
        <w:t>absence de dispositions statutaires, il appartient au Président d</w:t>
      </w:r>
      <w:r w:rsidR="00A17C04">
        <w:rPr>
          <w:rFonts w:hint="eastAsia"/>
        </w:rPr>
        <w:t>’</w:t>
      </w:r>
      <w:r>
        <w:t>expliquer aux membres du Comité comment il/elle compte conduire les débats et de convenir avec eux d</w:t>
      </w:r>
      <w:r w:rsidR="00A17C04">
        <w:rPr>
          <w:rFonts w:hint="eastAsia"/>
        </w:rPr>
        <w:t>’</w:t>
      </w:r>
      <w:r w:rsidR="00A17C04">
        <w:t>un mode opératoire.</w:t>
      </w:r>
    </w:p>
    <w:p w:rsidR="00904B37" w:rsidRDefault="00F42B0D" w:rsidP="00603BDD">
      <w:pPr>
        <w:pStyle w:val="COMPara"/>
        <w:numPr>
          <w:ilvl w:val="0"/>
          <w:numId w:val="9"/>
        </w:numPr>
        <w:ind w:left="567" w:hanging="567"/>
        <w:jc w:val="both"/>
      </w:pPr>
      <w:r>
        <w:t>Enfin, conformément à l</w:t>
      </w:r>
      <w:r w:rsidR="00A17C04">
        <w:rPr>
          <w:rFonts w:hint="eastAsia"/>
        </w:rPr>
        <w:t>’</w:t>
      </w:r>
      <w:r>
        <w:t>article</w:t>
      </w:r>
      <w:r w:rsidR="0020412F">
        <w:t> </w:t>
      </w:r>
      <w:r>
        <w:t xml:space="preserve">28, </w:t>
      </w:r>
      <w:r w:rsidR="00F465B5">
        <w:t>tout</w:t>
      </w:r>
      <w:r>
        <w:t xml:space="preserve"> membre du Comité peut présenter une motion d</w:t>
      </w:r>
      <w:r w:rsidR="00A17C04">
        <w:rPr>
          <w:rFonts w:hint="eastAsia"/>
        </w:rPr>
        <w:t>’</w:t>
      </w:r>
      <w:r>
        <w:t>ordre sur laquelle le Président se prononce immédiatement. L</w:t>
      </w:r>
      <w:r w:rsidR="00A17C04">
        <w:rPr>
          <w:rFonts w:hint="eastAsia"/>
        </w:rPr>
        <w:t>’</w:t>
      </w:r>
      <w:r>
        <w:t>article</w:t>
      </w:r>
      <w:r w:rsidR="0020412F">
        <w:t> </w:t>
      </w:r>
      <w:r>
        <w:t xml:space="preserve">28.2 stipule </w:t>
      </w:r>
      <w:r w:rsidR="00290F41">
        <w:t xml:space="preserve">en outre </w:t>
      </w:r>
      <w:r w:rsidR="007D3B81">
        <w:br/>
      </w:r>
      <w:r>
        <w:t>qu</w:t>
      </w:r>
      <w:r w:rsidR="00A17C04">
        <w:rPr>
          <w:rFonts w:hint="eastAsia"/>
        </w:rPr>
        <w:t>’</w:t>
      </w:r>
      <w:r>
        <w:t>« </w:t>
      </w:r>
      <w:r w:rsidR="007D3B81">
        <w:t>[i]</w:t>
      </w:r>
      <w:r>
        <w:t>l est possible de faire appel de la décision du Président. L</w:t>
      </w:r>
      <w:r w:rsidR="00A17C04">
        <w:rPr>
          <w:rFonts w:hint="eastAsia"/>
        </w:rPr>
        <w:t>’</w:t>
      </w:r>
      <w:r>
        <w:t>appel est immédiatement mis aux voix et la décision du Président est maintenue si elle n</w:t>
      </w:r>
      <w:r w:rsidR="00A17C04">
        <w:rPr>
          <w:rFonts w:hint="eastAsia"/>
        </w:rPr>
        <w:t>’</w:t>
      </w:r>
      <w:r>
        <w:t>est pas rejetée ». Cette disposition suppose que tous les membres du Comité, et non seulement le Président, peuvent contribuer activement au bon déroulement de la session du Comité.</w:t>
      </w:r>
    </w:p>
    <w:p w:rsidR="008B6673" w:rsidRPr="00EA528C" w:rsidRDefault="008B6673" w:rsidP="008B6673">
      <w:pPr>
        <w:pStyle w:val="COMPara"/>
        <w:numPr>
          <w:ilvl w:val="0"/>
          <w:numId w:val="9"/>
        </w:numPr>
        <w:ind w:left="567" w:hanging="567"/>
        <w:jc w:val="both"/>
      </w:pPr>
      <w:r>
        <w:t>Le Comité souhaitera peut-être adopter la décision suivante :</w:t>
      </w:r>
    </w:p>
    <w:p w:rsidR="008B6673" w:rsidRPr="008B6673" w:rsidRDefault="008B6673" w:rsidP="008B6673">
      <w:pPr>
        <w:pStyle w:val="COMTitleDecision"/>
        <w:rPr>
          <w:rFonts w:eastAsiaTheme="minorEastAsia" w:hint="eastAsia"/>
          <w:lang w:eastAsia="ko-KR"/>
        </w:rPr>
      </w:pPr>
      <w:r w:rsidRPr="008B6673">
        <w:t xml:space="preserve">PROJET DE DÉCISION 11.COM </w:t>
      </w:r>
      <w:r>
        <w:rPr>
          <w:rFonts w:eastAsiaTheme="minorEastAsia" w:hint="eastAsia"/>
          <w:lang w:eastAsia="ko-KR"/>
        </w:rPr>
        <w:t>8</w:t>
      </w:r>
    </w:p>
    <w:p w:rsidR="004B3687" w:rsidRPr="00345CD7" w:rsidRDefault="00904B37" w:rsidP="008B6673">
      <w:pPr>
        <w:pStyle w:val="COMPreambulaDecisions"/>
      </w:pPr>
      <w:r>
        <w:t>Le Comi</w:t>
      </w:r>
      <w:bookmarkStart w:id="0" w:name="_GoBack"/>
      <w:bookmarkEnd w:id="0"/>
      <w:r>
        <w:t>té,</w:t>
      </w:r>
    </w:p>
    <w:p w:rsidR="004B3687" w:rsidRPr="00B66368" w:rsidRDefault="004B3687" w:rsidP="00345CD7">
      <w:pPr>
        <w:pStyle w:val="COMParaDecision"/>
        <w:keepNext/>
        <w:keepLines/>
        <w:numPr>
          <w:ilvl w:val="0"/>
          <w:numId w:val="46"/>
        </w:numPr>
        <w:ind w:hanging="436"/>
      </w:pPr>
      <w:r>
        <w:t>Ayant examiné</w:t>
      </w:r>
      <w:r>
        <w:rPr>
          <w:u w:val="none"/>
        </w:rPr>
        <w:t xml:space="preserve"> le document ITH/16/11.COM/8,</w:t>
      </w:r>
    </w:p>
    <w:p w:rsidR="004B3687" w:rsidRDefault="004B3687" w:rsidP="00345CD7">
      <w:pPr>
        <w:pStyle w:val="COMParaDecision"/>
        <w:keepNext/>
        <w:keepLines/>
        <w:ind w:hanging="436"/>
        <w:rPr>
          <w:u w:val="none"/>
        </w:rPr>
      </w:pPr>
      <w:r>
        <w:t>Rappelant</w:t>
      </w:r>
      <w:r>
        <w:rPr>
          <w:u w:val="none"/>
        </w:rPr>
        <w:t xml:space="preserve"> le </w:t>
      </w:r>
      <w:r w:rsidR="00E65BC7">
        <w:rPr>
          <w:u w:val="none"/>
        </w:rPr>
        <w:t>c</w:t>
      </w:r>
      <w:r>
        <w:rPr>
          <w:u w:val="none"/>
        </w:rPr>
        <w:t>hapitre</w:t>
      </w:r>
      <w:r w:rsidR="006D542E">
        <w:rPr>
          <w:rFonts w:eastAsiaTheme="minorEastAsia" w:hint="eastAsia"/>
          <w:u w:val="none"/>
          <w:lang w:eastAsia="ko-KR"/>
        </w:rPr>
        <w:t xml:space="preserve"> </w:t>
      </w:r>
      <w:r>
        <w:rPr>
          <w:u w:val="none"/>
        </w:rPr>
        <w:t>I des Directives opérationnelles et du Règlement intérieur du Comité,</w:t>
      </w:r>
    </w:p>
    <w:p w:rsidR="00914814" w:rsidRDefault="00914814" w:rsidP="00345CD7">
      <w:pPr>
        <w:pStyle w:val="COMParaDecision"/>
        <w:ind w:hanging="436"/>
        <w:rPr>
          <w:u w:val="none"/>
        </w:rPr>
      </w:pPr>
      <w:r>
        <w:t>Affirme</w:t>
      </w:r>
      <w:r>
        <w:rPr>
          <w:u w:val="none"/>
        </w:rPr>
        <w:t xml:space="preserve"> le rôle essentiel assumé par le Président du Comité dans l</w:t>
      </w:r>
      <w:r w:rsidR="00A17C04">
        <w:rPr>
          <w:rFonts w:eastAsiaTheme="minorEastAsia"/>
          <w:u w:val="none"/>
          <w:lang w:eastAsia="ko-KR"/>
        </w:rPr>
        <w:t>’</w:t>
      </w:r>
      <w:r>
        <w:rPr>
          <w:u w:val="none"/>
        </w:rPr>
        <w:t>organisation des débats sur tous les points à l</w:t>
      </w:r>
      <w:r w:rsidR="00A17C04">
        <w:rPr>
          <w:rFonts w:eastAsiaTheme="minorEastAsia"/>
          <w:u w:val="none"/>
          <w:lang w:eastAsia="ko-KR"/>
        </w:rPr>
        <w:t>’</w:t>
      </w:r>
      <w:r>
        <w:rPr>
          <w:u w:val="none"/>
        </w:rPr>
        <w:t>ordre du jour, y compris les recommandations de l</w:t>
      </w:r>
      <w:r w:rsidR="00A17C04">
        <w:rPr>
          <w:rFonts w:eastAsiaTheme="minorEastAsia"/>
          <w:u w:val="none"/>
          <w:lang w:eastAsia="ko-KR"/>
        </w:rPr>
        <w:t>’</w:t>
      </w:r>
      <w:r>
        <w:rPr>
          <w:u w:val="none"/>
        </w:rPr>
        <w:t>Organe d</w:t>
      </w:r>
      <w:r w:rsidR="00A17C04">
        <w:rPr>
          <w:rFonts w:eastAsiaTheme="minorEastAsia"/>
          <w:u w:val="none"/>
          <w:lang w:eastAsia="ko-KR"/>
        </w:rPr>
        <w:t>’</w:t>
      </w:r>
      <w:r>
        <w:rPr>
          <w:u w:val="none"/>
        </w:rPr>
        <w:t>évaluation ;</w:t>
      </w:r>
    </w:p>
    <w:p w:rsidR="00920E1F" w:rsidRPr="005A4D97" w:rsidRDefault="004830E3">
      <w:pPr>
        <w:pStyle w:val="COMParaDecision"/>
        <w:ind w:hanging="436"/>
        <w:rPr>
          <w:u w:val="none"/>
        </w:rPr>
      </w:pPr>
      <w:r>
        <w:t>Rappelle</w:t>
      </w:r>
      <w:r>
        <w:rPr>
          <w:u w:val="none"/>
        </w:rPr>
        <w:t xml:space="preserve"> l</w:t>
      </w:r>
      <w:r w:rsidR="00A17C04">
        <w:rPr>
          <w:rFonts w:eastAsiaTheme="minorEastAsia"/>
          <w:u w:val="none"/>
          <w:lang w:eastAsia="ko-KR"/>
        </w:rPr>
        <w:t>’</w:t>
      </w:r>
      <w:r>
        <w:rPr>
          <w:u w:val="none"/>
        </w:rPr>
        <w:t>importance d</w:t>
      </w:r>
      <w:r w:rsidR="00A17C04">
        <w:rPr>
          <w:rFonts w:eastAsiaTheme="minorEastAsia"/>
          <w:u w:val="none"/>
          <w:lang w:eastAsia="ko-KR"/>
        </w:rPr>
        <w:t>’</w:t>
      </w:r>
      <w:r>
        <w:rPr>
          <w:u w:val="none"/>
        </w:rPr>
        <w:t xml:space="preserve">observer rigoureusement le Règlement intérieur du Comité, </w:t>
      </w:r>
      <w:r>
        <w:t>tout en affirmant</w:t>
      </w:r>
      <w:r>
        <w:rPr>
          <w:u w:val="none"/>
        </w:rPr>
        <w:t xml:space="preserve"> que le mode de fonctionnement du Comité privilégie le consensus pour la prise de décision, de manière à promouvoir l</w:t>
      </w:r>
      <w:r w:rsidR="00A17C04">
        <w:rPr>
          <w:rFonts w:eastAsiaTheme="minorEastAsia"/>
          <w:u w:val="none"/>
          <w:lang w:eastAsia="ko-KR"/>
        </w:rPr>
        <w:t>’</w:t>
      </w:r>
      <w:r w:rsidR="00290F41">
        <w:rPr>
          <w:u w:val="none"/>
        </w:rPr>
        <w:t>esprit de</w:t>
      </w:r>
      <w:r>
        <w:rPr>
          <w:u w:val="none"/>
        </w:rPr>
        <w:t xml:space="preserve"> coopération internationale et la compréhension mutuelle ;</w:t>
      </w:r>
    </w:p>
    <w:p w:rsidR="004B3687" w:rsidRPr="00A17C04" w:rsidRDefault="00533602" w:rsidP="00A17C04">
      <w:pPr>
        <w:pStyle w:val="COMParaDecision"/>
        <w:ind w:hanging="436"/>
        <w:rPr>
          <w:u w:val="none"/>
        </w:rPr>
      </w:pPr>
      <w:r>
        <w:t>Demande</w:t>
      </w:r>
      <w:r>
        <w:rPr>
          <w:u w:val="none"/>
        </w:rPr>
        <w:t xml:space="preserve"> aux Présidents des prochaines sessions du Comité d</w:t>
      </w:r>
      <w:r w:rsidR="00A17C04">
        <w:rPr>
          <w:rFonts w:eastAsiaTheme="minorEastAsia"/>
          <w:u w:val="none"/>
          <w:lang w:eastAsia="ko-KR"/>
        </w:rPr>
        <w:t>’</w:t>
      </w:r>
      <w:r>
        <w:rPr>
          <w:u w:val="none"/>
        </w:rPr>
        <w:t xml:space="preserve">expliquer clairement et de manière détaillée, en début de session (notamment, pour la présente session, </w:t>
      </w:r>
      <w:r w:rsidR="00F465B5">
        <w:rPr>
          <w:u w:val="none"/>
        </w:rPr>
        <w:t>au début du</w:t>
      </w:r>
      <w:r>
        <w:rPr>
          <w:u w:val="none"/>
        </w:rPr>
        <w:t xml:space="preserve"> point</w:t>
      </w:r>
      <w:r w:rsidR="0020412F">
        <w:rPr>
          <w:u w:val="none"/>
        </w:rPr>
        <w:t> </w:t>
      </w:r>
      <w:r>
        <w:rPr>
          <w:u w:val="none"/>
        </w:rPr>
        <w:t>10 de l</w:t>
      </w:r>
      <w:r w:rsidR="00A17C04">
        <w:rPr>
          <w:rFonts w:eastAsiaTheme="minorEastAsia"/>
          <w:u w:val="none"/>
          <w:lang w:eastAsia="ko-KR"/>
        </w:rPr>
        <w:t>’</w:t>
      </w:r>
      <w:r>
        <w:rPr>
          <w:u w:val="none"/>
        </w:rPr>
        <w:t xml:space="preserve">ordre du jour provisoire), </w:t>
      </w:r>
      <w:r w:rsidR="00290F41">
        <w:rPr>
          <w:u w:val="none"/>
        </w:rPr>
        <w:t xml:space="preserve">quelle pratique </w:t>
      </w:r>
      <w:r>
        <w:rPr>
          <w:u w:val="none"/>
        </w:rPr>
        <w:t xml:space="preserve">ils comptent suivre </w:t>
      </w:r>
      <w:r>
        <w:rPr>
          <w:u w:val="none"/>
        </w:rPr>
        <w:lastRenderedPageBreak/>
        <w:t>pour conduire les débats concernant l</w:t>
      </w:r>
      <w:r w:rsidR="00A17C04">
        <w:rPr>
          <w:rFonts w:eastAsiaTheme="minorEastAsia"/>
          <w:u w:val="none"/>
          <w:lang w:eastAsia="ko-KR"/>
        </w:rPr>
        <w:t>’</w:t>
      </w:r>
      <w:r>
        <w:rPr>
          <w:u w:val="none"/>
        </w:rPr>
        <w:t>adoption des décisions, y compris les décisions recommandées par l</w:t>
      </w:r>
      <w:r w:rsidR="00A17C04">
        <w:rPr>
          <w:rFonts w:eastAsiaTheme="minorEastAsia"/>
          <w:u w:val="none"/>
          <w:lang w:eastAsia="ko-KR"/>
        </w:rPr>
        <w:t>’</w:t>
      </w:r>
      <w:r>
        <w:rPr>
          <w:u w:val="none"/>
        </w:rPr>
        <w:t>Organe d</w:t>
      </w:r>
      <w:r w:rsidR="00A17C04">
        <w:rPr>
          <w:rFonts w:eastAsiaTheme="minorEastAsia"/>
          <w:u w:val="none"/>
          <w:lang w:eastAsia="ko-KR"/>
        </w:rPr>
        <w:t>’</w:t>
      </w:r>
      <w:r>
        <w:rPr>
          <w:u w:val="none"/>
        </w:rPr>
        <w:t>évaluation.</w:t>
      </w:r>
    </w:p>
    <w:sectPr w:rsidR="004B3687" w:rsidRPr="00A17C04"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8F" w:rsidRDefault="0008198F" w:rsidP="00655736">
      <w:r>
        <w:separator/>
      </w:r>
    </w:p>
  </w:endnote>
  <w:endnote w:type="continuationSeparator" w:id="0">
    <w:p w:rsidR="0008198F" w:rsidRDefault="0008198F"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8F" w:rsidRDefault="0008198F" w:rsidP="00655736">
      <w:r>
        <w:separator/>
      </w:r>
    </w:p>
  </w:footnote>
  <w:footnote w:type="continuationSeparator" w:id="0">
    <w:p w:rsidR="0008198F" w:rsidRDefault="0008198F" w:rsidP="0065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C23A97" w:rsidRDefault="00CB0542">
    <w:pPr>
      <w:pStyle w:val="Header"/>
      <w:rPr>
        <w:rFonts w:ascii="Arial" w:hAnsi="Arial" w:cs="Arial"/>
      </w:rPr>
    </w:pPr>
    <w:r>
      <w:rPr>
        <w:rFonts w:ascii="Arial" w:hAnsi="Arial"/>
        <w:sz w:val="20"/>
      </w:rPr>
      <w:t xml:space="preserve">ITH/16/11.COM/8 – page </w:t>
    </w:r>
    <w:r w:rsidR="00EC41DE" w:rsidRPr="00C23A97">
      <w:rPr>
        <w:rStyle w:val="PageNumber"/>
        <w:rFonts w:ascii="Arial" w:hAnsi="Arial" w:cs="Arial"/>
        <w:sz w:val="20"/>
        <w:szCs w:val="20"/>
      </w:rPr>
      <w:fldChar w:fldCharType="begin"/>
    </w:r>
    <w:r w:rsidR="00D95C4C" w:rsidRPr="00C23A97">
      <w:rPr>
        <w:rStyle w:val="PageNumber"/>
        <w:rFonts w:ascii="Arial" w:hAnsi="Arial" w:cs="Arial"/>
        <w:sz w:val="20"/>
        <w:szCs w:val="20"/>
      </w:rPr>
      <w:instrText xml:space="preserve"> PAGE </w:instrText>
    </w:r>
    <w:r w:rsidR="00EC41DE" w:rsidRPr="00C23A97">
      <w:rPr>
        <w:rStyle w:val="PageNumber"/>
        <w:rFonts w:ascii="Arial" w:hAnsi="Arial" w:cs="Arial"/>
        <w:sz w:val="20"/>
        <w:szCs w:val="20"/>
      </w:rPr>
      <w:fldChar w:fldCharType="separate"/>
    </w:r>
    <w:r w:rsidR="008B6673">
      <w:rPr>
        <w:rStyle w:val="PageNumber"/>
        <w:rFonts w:ascii="Arial" w:hAnsi="Arial" w:cs="Arial"/>
        <w:noProof/>
        <w:sz w:val="20"/>
        <w:szCs w:val="20"/>
      </w:rPr>
      <w:t>4</w:t>
    </w:r>
    <w:r w:rsidR="00EC41DE"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63300C" w:rsidRDefault="00AE7621" w:rsidP="0063300C">
    <w:pPr>
      <w:pStyle w:val="Header"/>
      <w:jc w:val="right"/>
      <w:rPr>
        <w:rFonts w:ascii="Arial" w:hAnsi="Arial" w:cs="Arial"/>
      </w:rPr>
    </w:pPr>
    <w:r>
      <w:rPr>
        <w:rFonts w:ascii="Arial" w:hAnsi="Arial"/>
        <w:sz w:val="20"/>
      </w:rPr>
      <w:t xml:space="preserve">ITH/16/11.COM/8 – page </w:t>
    </w:r>
    <w:r w:rsidR="00EC41DE" w:rsidRPr="0063300C">
      <w:rPr>
        <w:rStyle w:val="PageNumber"/>
        <w:rFonts w:ascii="Arial" w:hAnsi="Arial" w:cs="Arial"/>
        <w:sz w:val="20"/>
        <w:szCs w:val="20"/>
      </w:rPr>
      <w:fldChar w:fldCharType="begin"/>
    </w:r>
    <w:r w:rsidR="004A34A0" w:rsidRPr="0063300C">
      <w:rPr>
        <w:rStyle w:val="PageNumber"/>
        <w:rFonts w:ascii="Arial" w:hAnsi="Arial" w:cs="Arial"/>
        <w:sz w:val="20"/>
        <w:szCs w:val="20"/>
      </w:rPr>
      <w:instrText xml:space="preserve"> PAGE </w:instrText>
    </w:r>
    <w:r w:rsidR="00EC41DE" w:rsidRPr="0063300C">
      <w:rPr>
        <w:rStyle w:val="PageNumber"/>
        <w:rFonts w:ascii="Arial" w:hAnsi="Arial" w:cs="Arial"/>
        <w:sz w:val="20"/>
        <w:szCs w:val="20"/>
      </w:rPr>
      <w:fldChar w:fldCharType="separate"/>
    </w:r>
    <w:r w:rsidR="008B6673">
      <w:rPr>
        <w:rStyle w:val="PageNumber"/>
        <w:rFonts w:ascii="Arial" w:hAnsi="Arial" w:cs="Arial"/>
        <w:noProof/>
        <w:sz w:val="20"/>
        <w:szCs w:val="20"/>
      </w:rPr>
      <w:t>3</w:t>
    </w:r>
    <w:r w:rsidR="00EC41DE"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4C" w:rsidRPr="00F32C23" w:rsidRDefault="00E069D7">
    <w:pPr>
      <w:pStyle w:val="Header"/>
    </w:pPr>
    <w:r>
      <w:rPr>
        <w:noProof/>
        <w:lang w:eastAsia="ko-KR" w:bidi="ar-SA"/>
      </w:rPr>
      <w:drawing>
        <wp:anchor distT="0" distB="0" distL="114300" distR="114300" simplePos="0" relativeHeight="251659264" behindDoc="0" locked="0" layoutInCell="1" allowOverlap="1" wp14:anchorId="752A4804" wp14:editId="7219CA32">
          <wp:simplePos x="0" y="0"/>
          <wp:positionH relativeFrom="column">
            <wp:posOffset>-377825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5C4C" w:rsidRPr="00ED51A9" w:rsidRDefault="00EC41DE" w:rsidP="00655736">
    <w:pPr>
      <w:pStyle w:val="Header"/>
      <w:spacing w:after="520"/>
      <w:jc w:val="right"/>
      <w:rPr>
        <w:rFonts w:ascii="Arial" w:hAnsi="Arial" w:cs="Arial"/>
        <w:b/>
        <w:sz w:val="44"/>
        <w:szCs w:val="44"/>
        <w:lang w:val="pt-BR"/>
      </w:rPr>
    </w:pPr>
    <w:r w:rsidRPr="00EC41DE">
      <w:rPr>
        <w:rFonts w:ascii="Arial" w:hAnsi="Arial"/>
        <w:b/>
        <w:sz w:val="44"/>
        <w:lang w:val="pt-BR"/>
      </w:rPr>
      <w:t>11 COM</w:t>
    </w:r>
  </w:p>
  <w:p w:rsidR="00D95C4C" w:rsidRPr="00ED51A9" w:rsidRDefault="00EC41DE" w:rsidP="00655736">
    <w:pPr>
      <w:jc w:val="right"/>
      <w:rPr>
        <w:rFonts w:ascii="Arial" w:hAnsi="Arial" w:cs="Arial"/>
        <w:b/>
        <w:sz w:val="22"/>
        <w:szCs w:val="22"/>
        <w:lang w:val="pt-BR"/>
      </w:rPr>
    </w:pPr>
    <w:r w:rsidRPr="00EC41DE">
      <w:rPr>
        <w:rFonts w:ascii="Arial" w:hAnsi="Arial"/>
        <w:b/>
        <w:sz w:val="22"/>
        <w:lang w:val="pt-BR"/>
      </w:rPr>
      <w:t>ITH/</w:t>
    </w:r>
    <w:proofErr w:type="gramStart"/>
    <w:r w:rsidRPr="00EC41DE">
      <w:rPr>
        <w:rFonts w:ascii="Arial" w:hAnsi="Arial"/>
        <w:b/>
        <w:sz w:val="22"/>
        <w:lang w:val="pt-BR"/>
      </w:rPr>
      <w:t>16/11.</w:t>
    </w:r>
    <w:proofErr w:type="gramEnd"/>
    <w:r w:rsidRPr="00EC41DE">
      <w:rPr>
        <w:rFonts w:ascii="Arial" w:hAnsi="Arial"/>
        <w:b/>
        <w:sz w:val="22"/>
        <w:lang w:val="pt-BR"/>
      </w:rPr>
      <w:t>COM/8</w:t>
    </w:r>
  </w:p>
  <w:p w:rsidR="00D95C4C" w:rsidRPr="00ED51A9" w:rsidRDefault="00EC41DE" w:rsidP="00655736">
    <w:pPr>
      <w:jc w:val="right"/>
      <w:rPr>
        <w:rFonts w:ascii="Arial" w:hAnsi="Arial" w:cs="Arial"/>
        <w:b/>
        <w:sz w:val="22"/>
        <w:szCs w:val="22"/>
        <w:lang w:val="pt-BR"/>
      </w:rPr>
    </w:pPr>
    <w:r w:rsidRPr="00EC41DE">
      <w:rPr>
        <w:rFonts w:ascii="Arial" w:hAnsi="Arial"/>
        <w:b/>
        <w:sz w:val="22"/>
        <w:lang w:val="pt-BR"/>
      </w:rPr>
      <w:t xml:space="preserve">Paris, </w:t>
    </w:r>
    <w:proofErr w:type="spellStart"/>
    <w:proofErr w:type="gramStart"/>
    <w:r w:rsidRPr="00EC41DE">
      <w:rPr>
        <w:rFonts w:ascii="Arial" w:hAnsi="Arial"/>
        <w:b/>
        <w:sz w:val="22"/>
        <w:lang w:val="pt-BR"/>
      </w:rPr>
      <w:t>le</w:t>
    </w:r>
    <w:proofErr w:type="spellEnd"/>
    <w:proofErr w:type="gramEnd"/>
    <w:r w:rsidRPr="00EC41DE">
      <w:rPr>
        <w:rFonts w:ascii="Arial" w:hAnsi="Arial"/>
        <w:b/>
        <w:sz w:val="22"/>
        <w:lang w:val="pt-BR"/>
      </w:rPr>
      <w:t xml:space="preserve"> </w:t>
    </w:r>
    <w:r w:rsidR="00A17C04">
      <w:rPr>
        <w:rFonts w:ascii="Arial" w:eastAsiaTheme="minorEastAsia" w:hAnsi="Arial" w:hint="eastAsia"/>
        <w:b/>
        <w:sz w:val="22"/>
        <w:lang w:val="pt-BR" w:eastAsia="ko-KR"/>
      </w:rPr>
      <w:t xml:space="preserve">31 </w:t>
    </w:r>
    <w:proofErr w:type="spellStart"/>
    <w:r w:rsidR="00A17C04">
      <w:rPr>
        <w:rFonts w:ascii="Arial" w:eastAsiaTheme="minorEastAsia" w:hAnsi="Arial" w:hint="eastAsia"/>
        <w:b/>
        <w:sz w:val="22"/>
        <w:lang w:val="pt-BR" w:eastAsia="ko-KR"/>
      </w:rPr>
      <w:t>octobre</w:t>
    </w:r>
    <w:proofErr w:type="spellEnd"/>
    <w:r w:rsidRPr="00EC41DE">
      <w:rPr>
        <w:rFonts w:ascii="Arial" w:hAnsi="Arial"/>
        <w:b/>
        <w:sz w:val="22"/>
        <w:lang w:val="pt-BR"/>
      </w:rPr>
      <w:t> 2016</w:t>
    </w:r>
  </w:p>
  <w:p w:rsidR="00D95C4C" w:rsidRPr="00A17C04" w:rsidRDefault="00D95C4C" w:rsidP="00A17C04">
    <w:pPr>
      <w:jc w:val="right"/>
      <w:rPr>
        <w:rFonts w:ascii="Arial" w:eastAsiaTheme="minorEastAsia" w:hAnsi="Arial" w:cs="Arial"/>
        <w:b/>
        <w:sz w:val="22"/>
        <w:szCs w:val="22"/>
        <w:lang w:eastAsia="ko-KR"/>
      </w:rPr>
    </w:pPr>
    <w:r>
      <w:rPr>
        <w:rFonts w:ascii="Arial" w:hAnsi="Arial"/>
        <w:b/>
        <w:sz w:val="22"/>
      </w:rPr>
      <w:t>Original : anglais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2361E2B"/>
    <w:multiLevelType w:val="hybridMultilevel"/>
    <w:tmpl w:val="E24AD55A"/>
    <w:lvl w:ilvl="0" w:tplc="76CAC304">
      <w:start w:val="1"/>
      <w:numFmt w:val="decimal"/>
      <w:lvlText w:val="%1."/>
      <w:lvlJc w:val="left"/>
      <w:pPr>
        <w:ind w:left="5606"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F07BFE"/>
    <w:multiLevelType w:val="hybridMultilevel"/>
    <w:tmpl w:val="E24AD55A"/>
    <w:lvl w:ilvl="0" w:tplc="76CAC304">
      <w:start w:val="1"/>
      <w:numFmt w:val="decimal"/>
      <w:lvlText w:val="%1."/>
      <w:lvlJc w:val="left"/>
      <w:pPr>
        <w:ind w:left="5606"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9">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1">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12"/>
  </w:num>
  <w:num w:numId="5">
    <w:abstractNumId w:val="11"/>
  </w:num>
  <w:num w:numId="6">
    <w:abstractNumId w:val="0"/>
  </w:num>
  <w:num w:numId="7">
    <w:abstractNumId w:val="2"/>
  </w:num>
  <w:num w:numId="8">
    <w:abstractNumId w:val="9"/>
  </w:num>
  <w:num w:numId="9">
    <w:abstractNumId w:val="4"/>
  </w:num>
  <w:num w:numId="10">
    <w:abstractNumId w:val="6"/>
  </w:num>
  <w:num w:numId="11">
    <w:abstractNumId w:val="8"/>
  </w:num>
  <w:num w:numId="12">
    <w:abstractNumId w:val="7"/>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6"/>
    <w:lvlOverride w:ilvl="0">
      <w:startOverride w:val="1"/>
    </w:lvlOverride>
  </w:num>
  <w:num w:numId="45">
    <w:abstractNumId w:val="6"/>
  </w:num>
  <w:num w:numId="46">
    <w:abstractNumId w:val="6"/>
    <w:lvlOverride w:ilvl="0">
      <w:startOverride w:val="1"/>
    </w:lvlOverride>
  </w:num>
  <w:num w:numId="47">
    <w:abstractNumId w:val="4"/>
  </w:num>
  <w:num w:numId="48">
    <w:abstractNumId w:val="4"/>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6"/>
  </w:num>
  <w:num w:numId="58">
    <w:abstractNumId w:val="6"/>
  </w:num>
  <w:num w:numId="59">
    <w:abstractNumId w:val="4"/>
  </w:num>
  <w:num w:numId="60">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42"/>
    <w:rsid w:val="000048ED"/>
    <w:rsid w:val="00041A66"/>
    <w:rsid w:val="0005176E"/>
    <w:rsid w:val="00070B76"/>
    <w:rsid w:val="000765F7"/>
    <w:rsid w:val="00077152"/>
    <w:rsid w:val="00077AB7"/>
    <w:rsid w:val="0008198F"/>
    <w:rsid w:val="00081CD8"/>
    <w:rsid w:val="00083883"/>
    <w:rsid w:val="000845C1"/>
    <w:rsid w:val="00084AEE"/>
    <w:rsid w:val="0009199A"/>
    <w:rsid w:val="0009209C"/>
    <w:rsid w:val="00096C16"/>
    <w:rsid w:val="000A7854"/>
    <w:rsid w:val="000A7F0E"/>
    <w:rsid w:val="000B1C8F"/>
    <w:rsid w:val="000C0BDC"/>
    <w:rsid w:val="000C0D61"/>
    <w:rsid w:val="000C1520"/>
    <w:rsid w:val="000D21F1"/>
    <w:rsid w:val="000D6076"/>
    <w:rsid w:val="000D6BBC"/>
    <w:rsid w:val="000D6F61"/>
    <w:rsid w:val="000F3A3F"/>
    <w:rsid w:val="000F7390"/>
    <w:rsid w:val="00100197"/>
    <w:rsid w:val="00102557"/>
    <w:rsid w:val="00113B7E"/>
    <w:rsid w:val="001170BA"/>
    <w:rsid w:val="00124C24"/>
    <w:rsid w:val="0012655B"/>
    <w:rsid w:val="00127799"/>
    <w:rsid w:val="00134166"/>
    <w:rsid w:val="001513ED"/>
    <w:rsid w:val="00152EFA"/>
    <w:rsid w:val="00162556"/>
    <w:rsid w:val="00164D56"/>
    <w:rsid w:val="001666E0"/>
    <w:rsid w:val="001677F9"/>
    <w:rsid w:val="00167B10"/>
    <w:rsid w:val="0017402F"/>
    <w:rsid w:val="0019273B"/>
    <w:rsid w:val="00194BDD"/>
    <w:rsid w:val="00196C1B"/>
    <w:rsid w:val="00197E7B"/>
    <w:rsid w:val="001A0106"/>
    <w:rsid w:val="001B0F73"/>
    <w:rsid w:val="001B10FA"/>
    <w:rsid w:val="001B14B3"/>
    <w:rsid w:val="001C2DB7"/>
    <w:rsid w:val="001D5C04"/>
    <w:rsid w:val="001D5DC6"/>
    <w:rsid w:val="001D7995"/>
    <w:rsid w:val="002010AA"/>
    <w:rsid w:val="0020412F"/>
    <w:rsid w:val="0020526E"/>
    <w:rsid w:val="00207010"/>
    <w:rsid w:val="00211975"/>
    <w:rsid w:val="0021748A"/>
    <w:rsid w:val="00222546"/>
    <w:rsid w:val="00222A2D"/>
    <w:rsid w:val="00223029"/>
    <w:rsid w:val="00224EDE"/>
    <w:rsid w:val="0023379F"/>
    <w:rsid w:val="00234745"/>
    <w:rsid w:val="00236E9A"/>
    <w:rsid w:val="002407AF"/>
    <w:rsid w:val="00244DA0"/>
    <w:rsid w:val="002572F8"/>
    <w:rsid w:val="0026298A"/>
    <w:rsid w:val="00262D16"/>
    <w:rsid w:val="002740DA"/>
    <w:rsid w:val="0027466B"/>
    <w:rsid w:val="002779FC"/>
    <w:rsid w:val="002838A5"/>
    <w:rsid w:val="00285BB4"/>
    <w:rsid w:val="00290F41"/>
    <w:rsid w:val="00292F00"/>
    <w:rsid w:val="002B4408"/>
    <w:rsid w:val="002C09E3"/>
    <w:rsid w:val="002C514D"/>
    <w:rsid w:val="002C58B5"/>
    <w:rsid w:val="002C7AFF"/>
    <w:rsid w:val="002D1DBF"/>
    <w:rsid w:val="002D577D"/>
    <w:rsid w:val="002D656A"/>
    <w:rsid w:val="002D78D6"/>
    <w:rsid w:val="002E6F26"/>
    <w:rsid w:val="003029BA"/>
    <w:rsid w:val="00305522"/>
    <w:rsid w:val="003107DC"/>
    <w:rsid w:val="003141C1"/>
    <w:rsid w:val="0032378B"/>
    <w:rsid w:val="00326005"/>
    <w:rsid w:val="00331CF1"/>
    <w:rsid w:val="00335136"/>
    <w:rsid w:val="00341099"/>
    <w:rsid w:val="00344B58"/>
    <w:rsid w:val="00345CB4"/>
    <w:rsid w:val="00345CD7"/>
    <w:rsid w:val="003466BF"/>
    <w:rsid w:val="00365DB2"/>
    <w:rsid w:val="00375D42"/>
    <w:rsid w:val="0038184E"/>
    <w:rsid w:val="00385EF1"/>
    <w:rsid w:val="003900FF"/>
    <w:rsid w:val="00392833"/>
    <w:rsid w:val="0039376B"/>
    <w:rsid w:val="00396515"/>
    <w:rsid w:val="003A58D0"/>
    <w:rsid w:val="003B772A"/>
    <w:rsid w:val="003C60AA"/>
    <w:rsid w:val="003D069C"/>
    <w:rsid w:val="003D3B52"/>
    <w:rsid w:val="003D5A19"/>
    <w:rsid w:val="003D6BC3"/>
    <w:rsid w:val="003D7646"/>
    <w:rsid w:val="003D768C"/>
    <w:rsid w:val="003E371F"/>
    <w:rsid w:val="003E7326"/>
    <w:rsid w:val="003F113A"/>
    <w:rsid w:val="003F3E63"/>
    <w:rsid w:val="003F7320"/>
    <w:rsid w:val="00400630"/>
    <w:rsid w:val="00407480"/>
    <w:rsid w:val="004079E4"/>
    <w:rsid w:val="00414643"/>
    <w:rsid w:val="004247E3"/>
    <w:rsid w:val="0043082F"/>
    <w:rsid w:val="004344A3"/>
    <w:rsid w:val="004421E5"/>
    <w:rsid w:val="00452284"/>
    <w:rsid w:val="00454B57"/>
    <w:rsid w:val="00457C8E"/>
    <w:rsid w:val="00464F88"/>
    <w:rsid w:val="00470622"/>
    <w:rsid w:val="004707C1"/>
    <w:rsid w:val="004830E3"/>
    <w:rsid w:val="004856CA"/>
    <w:rsid w:val="00485CB3"/>
    <w:rsid w:val="00487E67"/>
    <w:rsid w:val="0049705E"/>
    <w:rsid w:val="004A0D85"/>
    <w:rsid w:val="004A34A0"/>
    <w:rsid w:val="004B3687"/>
    <w:rsid w:val="004B71D9"/>
    <w:rsid w:val="004D3FAA"/>
    <w:rsid w:val="004D4E40"/>
    <w:rsid w:val="004D55C0"/>
    <w:rsid w:val="005008A8"/>
    <w:rsid w:val="00506A10"/>
    <w:rsid w:val="00517D25"/>
    <w:rsid w:val="0052673F"/>
    <w:rsid w:val="00526B7B"/>
    <w:rsid w:val="005308CE"/>
    <w:rsid w:val="00533602"/>
    <w:rsid w:val="005416D2"/>
    <w:rsid w:val="00541852"/>
    <w:rsid w:val="0054523E"/>
    <w:rsid w:val="00553B9C"/>
    <w:rsid w:val="005566E0"/>
    <w:rsid w:val="00560E14"/>
    <w:rsid w:val="00565F92"/>
    <w:rsid w:val="00570F43"/>
    <w:rsid w:val="0057439C"/>
    <w:rsid w:val="005803A3"/>
    <w:rsid w:val="005847F5"/>
    <w:rsid w:val="00586A63"/>
    <w:rsid w:val="00587507"/>
    <w:rsid w:val="00592C11"/>
    <w:rsid w:val="00596015"/>
    <w:rsid w:val="005A008E"/>
    <w:rsid w:val="005A0C3B"/>
    <w:rsid w:val="005A1612"/>
    <w:rsid w:val="005A4D97"/>
    <w:rsid w:val="005B0127"/>
    <w:rsid w:val="005B6770"/>
    <w:rsid w:val="005B7A35"/>
    <w:rsid w:val="005C4B73"/>
    <w:rsid w:val="005C73A5"/>
    <w:rsid w:val="005E1D2B"/>
    <w:rsid w:val="005E69EE"/>
    <w:rsid w:val="005E7074"/>
    <w:rsid w:val="005E7531"/>
    <w:rsid w:val="005F2BAF"/>
    <w:rsid w:val="005F48ED"/>
    <w:rsid w:val="005F5754"/>
    <w:rsid w:val="00600D93"/>
    <w:rsid w:val="006038D6"/>
    <w:rsid w:val="00603BDD"/>
    <w:rsid w:val="00612E68"/>
    <w:rsid w:val="00613602"/>
    <w:rsid w:val="00620390"/>
    <w:rsid w:val="00622C5C"/>
    <w:rsid w:val="0063300C"/>
    <w:rsid w:val="006332E5"/>
    <w:rsid w:val="00652C8E"/>
    <w:rsid w:val="0065547B"/>
    <w:rsid w:val="00655736"/>
    <w:rsid w:val="00663B8D"/>
    <w:rsid w:val="00663EA0"/>
    <w:rsid w:val="006654B7"/>
    <w:rsid w:val="006733C5"/>
    <w:rsid w:val="00691446"/>
    <w:rsid w:val="00696C8D"/>
    <w:rsid w:val="006A2AC2"/>
    <w:rsid w:val="006A2F7D"/>
    <w:rsid w:val="006A31F5"/>
    <w:rsid w:val="006A3617"/>
    <w:rsid w:val="006C2673"/>
    <w:rsid w:val="006D542E"/>
    <w:rsid w:val="006D6933"/>
    <w:rsid w:val="006D7E85"/>
    <w:rsid w:val="006E395E"/>
    <w:rsid w:val="006E46E4"/>
    <w:rsid w:val="006F0BA0"/>
    <w:rsid w:val="006F2381"/>
    <w:rsid w:val="00701B87"/>
    <w:rsid w:val="00717B17"/>
    <w:rsid w:val="00717DA5"/>
    <w:rsid w:val="007252F7"/>
    <w:rsid w:val="00730F8E"/>
    <w:rsid w:val="00740A7F"/>
    <w:rsid w:val="00744484"/>
    <w:rsid w:val="00746A9C"/>
    <w:rsid w:val="00747566"/>
    <w:rsid w:val="00750753"/>
    <w:rsid w:val="00762010"/>
    <w:rsid w:val="00773188"/>
    <w:rsid w:val="00774608"/>
    <w:rsid w:val="00777852"/>
    <w:rsid w:val="00783782"/>
    <w:rsid w:val="00784B8C"/>
    <w:rsid w:val="007879E1"/>
    <w:rsid w:val="007B49DF"/>
    <w:rsid w:val="007B6D5E"/>
    <w:rsid w:val="007D3B81"/>
    <w:rsid w:val="007E345C"/>
    <w:rsid w:val="007E512A"/>
    <w:rsid w:val="007E5BA3"/>
    <w:rsid w:val="007F2DC4"/>
    <w:rsid w:val="007F44D6"/>
    <w:rsid w:val="0080019E"/>
    <w:rsid w:val="00807132"/>
    <w:rsid w:val="00811680"/>
    <w:rsid w:val="008161DB"/>
    <w:rsid w:val="00823A11"/>
    <w:rsid w:val="0083411C"/>
    <w:rsid w:val="00835FE1"/>
    <w:rsid w:val="0085405E"/>
    <w:rsid w:val="0085414A"/>
    <w:rsid w:val="00854206"/>
    <w:rsid w:val="00857508"/>
    <w:rsid w:val="00860D92"/>
    <w:rsid w:val="0086269D"/>
    <w:rsid w:val="0086543A"/>
    <w:rsid w:val="008664D4"/>
    <w:rsid w:val="008724E5"/>
    <w:rsid w:val="00877E88"/>
    <w:rsid w:val="00883094"/>
    <w:rsid w:val="00884A9D"/>
    <w:rsid w:val="0088512B"/>
    <w:rsid w:val="008864FC"/>
    <w:rsid w:val="00886E6F"/>
    <w:rsid w:val="00891D76"/>
    <w:rsid w:val="008A2B2D"/>
    <w:rsid w:val="008A4D95"/>
    <w:rsid w:val="008A4E1E"/>
    <w:rsid w:val="008A59E5"/>
    <w:rsid w:val="008A61B4"/>
    <w:rsid w:val="008B41DF"/>
    <w:rsid w:val="008B6673"/>
    <w:rsid w:val="008C296C"/>
    <w:rsid w:val="008D4305"/>
    <w:rsid w:val="008E1A85"/>
    <w:rsid w:val="008E3E81"/>
    <w:rsid w:val="008E48DE"/>
    <w:rsid w:val="008E7F0A"/>
    <w:rsid w:val="008F6BBA"/>
    <w:rsid w:val="00904B37"/>
    <w:rsid w:val="00913629"/>
    <w:rsid w:val="00914814"/>
    <w:rsid w:val="009163A7"/>
    <w:rsid w:val="00920E1F"/>
    <w:rsid w:val="00931A48"/>
    <w:rsid w:val="00934C00"/>
    <w:rsid w:val="00937CCE"/>
    <w:rsid w:val="00942324"/>
    <w:rsid w:val="009432D3"/>
    <w:rsid w:val="00946D0B"/>
    <w:rsid w:val="00946D9A"/>
    <w:rsid w:val="00947726"/>
    <w:rsid w:val="00952613"/>
    <w:rsid w:val="00955877"/>
    <w:rsid w:val="009564E4"/>
    <w:rsid w:val="009722DA"/>
    <w:rsid w:val="00977814"/>
    <w:rsid w:val="009805E7"/>
    <w:rsid w:val="009845D2"/>
    <w:rsid w:val="00987181"/>
    <w:rsid w:val="00997309"/>
    <w:rsid w:val="00997DA9"/>
    <w:rsid w:val="009A18CD"/>
    <w:rsid w:val="009A2A83"/>
    <w:rsid w:val="009D2A36"/>
    <w:rsid w:val="009D37B8"/>
    <w:rsid w:val="009D5428"/>
    <w:rsid w:val="009D5A09"/>
    <w:rsid w:val="009E7A06"/>
    <w:rsid w:val="009F7909"/>
    <w:rsid w:val="00A05F24"/>
    <w:rsid w:val="00A12558"/>
    <w:rsid w:val="00A13903"/>
    <w:rsid w:val="00A14142"/>
    <w:rsid w:val="00A17C04"/>
    <w:rsid w:val="00A2700A"/>
    <w:rsid w:val="00A34846"/>
    <w:rsid w:val="00A34ED5"/>
    <w:rsid w:val="00A408B3"/>
    <w:rsid w:val="00A45DBF"/>
    <w:rsid w:val="00A45FDA"/>
    <w:rsid w:val="00A57CC5"/>
    <w:rsid w:val="00A65B1E"/>
    <w:rsid w:val="00A755A2"/>
    <w:rsid w:val="00A7796F"/>
    <w:rsid w:val="00A81D9C"/>
    <w:rsid w:val="00A85FBB"/>
    <w:rsid w:val="00A91E41"/>
    <w:rsid w:val="00AA6660"/>
    <w:rsid w:val="00AB2C36"/>
    <w:rsid w:val="00AB536B"/>
    <w:rsid w:val="00AB6DDE"/>
    <w:rsid w:val="00AB70B6"/>
    <w:rsid w:val="00AC4088"/>
    <w:rsid w:val="00AC6C49"/>
    <w:rsid w:val="00AD1A86"/>
    <w:rsid w:val="00AE103E"/>
    <w:rsid w:val="00AE7621"/>
    <w:rsid w:val="00AF0A07"/>
    <w:rsid w:val="00AF3804"/>
    <w:rsid w:val="00AF4AEC"/>
    <w:rsid w:val="00AF625E"/>
    <w:rsid w:val="00B34E63"/>
    <w:rsid w:val="00B41597"/>
    <w:rsid w:val="00B4560B"/>
    <w:rsid w:val="00B45788"/>
    <w:rsid w:val="00B50DA0"/>
    <w:rsid w:val="00B52DE9"/>
    <w:rsid w:val="00B62804"/>
    <w:rsid w:val="00B66368"/>
    <w:rsid w:val="00B66D1C"/>
    <w:rsid w:val="00B67DEB"/>
    <w:rsid w:val="00B708F0"/>
    <w:rsid w:val="00B75CE1"/>
    <w:rsid w:val="00BA54DF"/>
    <w:rsid w:val="00BB04AF"/>
    <w:rsid w:val="00BD358A"/>
    <w:rsid w:val="00BD52C9"/>
    <w:rsid w:val="00BE31E2"/>
    <w:rsid w:val="00BE3283"/>
    <w:rsid w:val="00BE6354"/>
    <w:rsid w:val="00BF0E2B"/>
    <w:rsid w:val="00C06C98"/>
    <w:rsid w:val="00C12465"/>
    <w:rsid w:val="00C138D1"/>
    <w:rsid w:val="00C21EE2"/>
    <w:rsid w:val="00C23A97"/>
    <w:rsid w:val="00C33F16"/>
    <w:rsid w:val="00C44842"/>
    <w:rsid w:val="00C47371"/>
    <w:rsid w:val="00C5792E"/>
    <w:rsid w:val="00C61E9B"/>
    <w:rsid w:val="00C64855"/>
    <w:rsid w:val="00C70EA7"/>
    <w:rsid w:val="00C7308B"/>
    <w:rsid w:val="00C7516E"/>
    <w:rsid w:val="00C75770"/>
    <w:rsid w:val="00C763B8"/>
    <w:rsid w:val="00C82AB6"/>
    <w:rsid w:val="00C84588"/>
    <w:rsid w:val="00CA56BB"/>
    <w:rsid w:val="00CB0542"/>
    <w:rsid w:val="00CB2E19"/>
    <w:rsid w:val="00CB5124"/>
    <w:rsid w:val="00CC1E1F"/>
    <w:rsid w:val="00CC5D7F"/>
    <w:rsid w:val="00CD0333"/>
    <w:rsid w:val="00CD58AB"/>
    <w:rsid w:val="00CE1472"/>
    <w:rsid w:val="00CF69CC"/>
    <w:rsid w:val="00D00B2B"/>
    <w:rsid w:val="00D11081"/>
    <w:rsid w:val="00D115B0"/>
    <w:rsid w:val="00D222BE"/>
    <w:rsid w:val="00D24877"/>
    <w:rsid w:val="00D30388"/>
    <w:rsid w:val="00D4286E"/>
    <w:rsid w:val="00D43715"/>
    <w:rsid w:val="00D55918"/>
    <w:rsid w:val="00D62EBF"/>
    <w:rsid w:val="00D80A60"/>
    <w:rsid w:val="00D8250F"/>
    <w:rsid w:val="00D91896"/>
    <w:rsid w:val="00D9325B"/>
    <w:rsid w:val="00D93885"/>
    <w:rsid w:val="00D95C4C"/>
    <w:rsid w:val="00DA36ED"/>
    <w:rsid w:val="00DA4D00"/>
    <w:rsid w:val="00DB0F23"/>
    <w:rsid w:val="00DB10FC"/>
    <w:rsid w:val="00DE16A9"/>
    <w:rsid w:val="00DE34F1"/>
    <w:rsid w:val="00DE3EB5"/>
    <w:rsid w:val="00DE6160"/>
    <w:rsid w:val="00DF3A9F"/>
    <w:rsid w:val="00DF4942"/>
    <w:rsid w:val="00DF4EA4"/>
    <w:rsid w:val="00E036AA"/>
    <w:rsid w:val="00E04FCD"/>
    <w:rsid w:val="00E069D7"/>
    <w:rsid w:val="00E06DBE"/>
    <w:rsid w:val="00E131D9"/>
    <w:rsid w:val="00E23CBF"/>
    <w:rsid w:val="00E244E1"/>
    <w:rsid w:val="00E40ED4"/>
    <w:rsid w:val="00E414F4"/>
    <w:rsid w:val="00E53FE9"/>
    <w:rsid w:val="00E627B1"/>
    <w:rsid w:val="00E63289"/>
    <w:rsid w:val="00E64AE6"/>
    <w:rsid w:val="00E65BC7"/>
    <w:rsid w:val="00E70169"/>
    <w:rsid w:val="00E75032"/>
    <w:rsid w:val="00E81963"/>
    <w:rsid w:val="00E91AD3"/>
    <w:rsid w:val="00E9376C"/>
    <w:rsid w:val="00E966C8"/>
    <w:rsid w:val="00EA335E"/>
    <w:rsid w:val="00EA528C"/>
    <w:rsid w:val="00EA580C"/>
    <w:rsid w:val="00EB1014"/>
    <w:rsid w:val="00EC41DE"/>
    <w:rsid w:val="00EC6F8D"/>
    <w:rsid w:val="00ED23C1"/>
    <w:rsid w:val="00ED35C7"/>
    <w:rsid w:val="00ED51A9"/>
    <w:rsid w:val="00EF115E"/>
    <w:rsid w:val="00EF34E2"/>
    <w:rsid w:val="00EF5DAE"/>
    <w:rsid w:val="00F04C61"/>
    <w:rsid w:val="00F10EC3"/>
    <w:rsid w:val="00F216EE"/>
    <w:rsid w:val="00F2220D"/>
    <w:rsid w:val="00F278DF"/>
    <w:rsid w:val="00F307DB"/>
    <w:rsid w:val="00F30DC6"/>
    <w:rsid w:val="00F32B74"/>
    <w:rsid w:val="00F32C23"/>
    <w:rsid w:val="00F42B0D"/>
    <w:rsid w:val="00F4352E"/>
    <w:rsid w:val="00F465B5"/>
    <w:rsid w:val="00F505DC"/>
    <w:rsid w:val="00F506EC"/>
    <w:rsid w:val="00F53DE9"/>
    <w:rsid w:val="00F576CB"/>
    <w:rsid w:val="00F669CE"/>
    <w:rsid w:val="00F67DDD"/>
    <w:rsid w:val="00F7035D"/>
    <w:rsid w:val="00F70C39"/>
    <w:rsid w:val="00F71A02"/>
    <w:rsid w:val="00F97574"/>
    <w:rsid w:val="00FA0D63"/>
    <w:rsid w:val="00FD1226"/>
    <w:rsid w:val="00FE5D18"/>
    <w:rsid w:val="00FF4830"/>
  </w:rsids>
  <m:mathPr>
    <m:mathFont m:val="Cambria Math"/>
    <m:brkBin m:val="before"/>
    <m:brkBinSub m:val="--"/>
    <m:smallFrac/>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character" w:styleId="CommentReference">
    <w:name w:val="annotation reference"/>
    <w:basedOn w:val="DefaultParagraphFont"/>
    <w:uiPriority w:val="99"/>
    <w:semiHidden/>
    <w:unhideWhenUsed/>
    <w:rsid w:val="006E395E"/>
    <w:rPr>
      <w:sz w:val="16"/>
      <w:szCs w:val="16"/>
    </w:rPr>
  </w:style>
  <w:style w:type="paragraph" w:styleId="CommentText">
    <w:name w:val="annotation text"/>
    <w:basedOn w:val="Normal"/>
    <w:link w:val="CommentTextChar"/>
    <w:uiPriority w:val="99"/>
    <w:semiHidden/>
    <w:unhideWhenUsed/>
    <w:rsid w:val="006E395E"/>
    <w:rPr>
      <w:sz w:val="20"/>
      <w:szCs w:val="20"/>
    </w:rPr>
  </w:style>
  <w:style w:type="character" w:customStyle="1" w:styleId="CommentTextChar">
    <w:name w:val="Comment Text Char"/>
    <w:basedOn w:val="DefaultParagraphFont"/>
    <w:link w:val="CommentText"/>
    <w:uiPriority w:val="99"/>
    <w:semiHidden/>
    <w:rsid w:val="006E39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E395E"/>
    <w:rPr>
      <w:b/>
      <w:bCs/>
    </w:rPr>
  </w:style>
  <w:style w:type="character" w:customStyle="1" w:styleId="CommentSubjectChar">
    <w:name w:val="Comment Subject Char"/>
    <w:basedOn w:val="CommentTextChar"/>
    <w:link w:val="CommentSubject"/>
    <w:uiPriority w:val="99"/>
    <w:semiHidden/>
    <w:rsid w:val="006E395E"/>
    <w:rPr>
      <w:rFonts w:ascii="Times New Roman" w:eastAsia="Times New Roman" w:hAnsi="Times New Roman"/>
      <w:b/>
      <w:bCs/>
    </w:rPr>
  </w:style>
  <w:style w:type="paragraph" w:styleId="Revision">
    <w:name w:val="Revision"/>
    <w:hidden/>
    <w:uiPriority w:val="99"/>
    <w:semiHidden/>
    <w:rsid w:val="00603BDD"/>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spacing w:after="120"/>
    </w:pPr>
    <w:rPr>
      <w:rFonts w:ascii="Arial" w:eastAsia="Times New Roman" w:hAnsi="Arial" w:cs="Arial"/>
      <w:snapToGrid w:val="0"/>
      <w:sz w:val="22"/>
      <w:szCs w:val="22"/>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jc w:val="both"/>
    </w:pPr>
    <w:rPr>
      <w:rFonts w:ascii="Arial" w:eastAsia="SimSun" w:hAnsi="Arial" w:cs="Arial"/>
      <w:sz w:val="22"/>
      <w:szCs w:val="22"/>
      <w:u w:val="single"/>
    </w:rPr>
  </w:style>
  <w:style w:type="character" w:styleId="CommentReference">
    <w:name w:val="annotation reference"/>
    <w:basedOn w:val="DefaultParagraphFont"/>
    <w:uiPriority w:val="99"/>
    <w:semiHidden/>
    <w:unhideWhenUsed/>
    <w:rsid w:val="006E395E"/>
    <w:rPr>
      <w:sz w:val="16"/>
      <w:szCs w:val="16"/>
    </w:rPr>
  </w:style>
  <w:style w:type="paragraph" w:styleId="CommentText">
    <w:name w:val="annotation text"/>
    <w:basedOn w:val="Normal"/>
    <w:link w:val="CommentTextChar"/>
    <w:uiPriority w:val="99"/>
    <w:semiHidden/>
    <w:unhideWhenUsed/>
    <w:rsid w:val="006E395E"/>
    <w:rPr>
      <w:sz w:val="20"/>
      <w:szCs w:val="20"/>
    </w:rPr>
  </w:style>
  <w:style w:type="character" w:customStyle="1" w:styleId="CommentTextChar">
    <w:name w:val="Comment Text Char"/>
    <w:basedOn w:val="DefaultParagraphFont"/>
    <w:link w:val="CommentText"/>
    <w:uiPriority w:val="99"/>
    <w:semiHidden/>
    <w:rsid w:val="006E395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E395E"/>
    <w:rPr>
      <w:b/>
      <w:bCs/>
    </w:rPr>
  </w:style>
  <w:style w:type="character" w:customStyle="1" w:styleId="CommentSubjectChar">
    <w:name w:val="Comment Subject Char"/>
    <w:basedOn w:val="CommentTextChar"/>
    <w:link w:val="CommentSubject"/>
    <w:uiPriority w:val="99"/>
    <w:semiHidden/>
    <w:rsid w:val="006E395E"/>
    <w:rPr>
      <w:rFonts w:ascii="Times New Roman" w:eastAsia="Times New Roman" w:hAnsi="Times New Roman"/>
      <w:b/>
      <w:bCs/>
    </w:rPr>
  </w:style>
  <w:style w:type="paragraph" w:styleId="Revision">
    <w:name w:val="Revision"/>
    <w:hidden/>
    <w:uiPriority w:val="99"/>
    <w:semiHidden/>
    <w:rsid w:val="00603B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9814">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8478258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020695420">
      <w:bodyDiv w:val="1"/>
      <w:marLeft w:val="0"/>
      <w:marRight w:val="0"/>
      <w:marTop w:val="0"/>
      <w:marBottom w:val="0"/>
      <w:divBdr>
        <w:top w:val="none" w:sz="0" w:space="0" w:color="auto"/>
        <w:left w:val="none" w:sz="0" w:space="0" w:color="auto"/>
        <w:bottom w:val="none" w:sz="0" w:space="0" w:color="auto"/>
        <w:right w:val="none" w:sz="0" w:space="0" w:color="auto"/>
      </w:divBdr>
      <w:divsChild>
        <w:div w:id="1867717387">
          <w:marLeft w:val="0"/>
          <w:marRight w:val="0"/>
          <w:marTop w:val="0"/>
          <w:marBottom w:val="30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FD9D-B77B-409D-8DED-61FBFE59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Template>
  <TotalTime>240</TotalTime>
  <Pages>4</Pages>
  <Words>1301</Words>
  <Characters>7426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Shin, Eunkyung</cp:lastModifiedBy>
  <cp:revision>101</cp:revision>
  <cp:lastPrinted>2016-09-19T09:11:00Z</cp:lastPrinted>
  <dcterms:created xsi:type="dcterms:W3CDTF">2016-10-26T09:42:00Z</dcterms:created>
  <dcterms:modified xsi:type="dcterms:W3CDTF">2016-11-17T09:16:00Z</dcterms:modified>
</cp:coreProperties>
</file>