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F8D" w:rsidRPr="007773D7" w:rsidRDefault="00EC6F8D" w:rsidP="00EC6F8D">
      <w:pPr>
        <w:spacing w:before="1440"/>
        <w:jc w:val="center"/>
        <w:rPr>
          <w:rFonts w:ascii="Arial" w:hAnsi="Arial" w:cs="Arial"/>
          <w:b/>
          <w:sz w:val="22"/>
          <w:szCs w:val="22"/>
          <w:lang w:val="en-GB"/>
        </w:rPr>
      </w:pPr>
      <w:r w:rsidRPr="007773D7">
        <w:rPr>
          <w:rFonts w:ascii="Arial" w:hAnsi="Arial" w:cs="Arial"/>
          <w:b/>
          <w:sz w:val="22"/>
          <w:szCs w:val="22"/>
          <w:lang w:val="en-GB"/>
        </w:rPr>
        <w:t>CONVENT</w:t>
      </w:r>
      <w:r w:rsidR="004E1D2C">
        <w:rPr>
          <w:rFonts w:ascii="Arial" w:hAnsi="Arial" w:cs="Arial"/>
          <w:b/>
          <w:sz w:val="22"/>
          <w:szCs w:val="22"/>
          <w:lang w:val="en-GB"/>
        </w:rPr>
        <w:t>ION FOR THE SAFEGUARDING OF THE</w:t>
      </w:r>
      <w:r w:rsidRPr="007773D7">
        <w:rPr>
          <w:rFonts w:ascii="Arial" w:hAnsi="Arial" w:cs="Arial"/>
          <w:b/>
          <w:sz w:val="22"/>
          <w:szCs w:val="22"/>
          <w:lang w:val="en-GB"/>
        </w:rPr>
        <w:br/>
        <w:t>INTANGIBLE CULTURAL HERITAGE</w:t>
      </w:r>
    </w:p>
    <w:p w:rsidR="00EC6F8D" w:rsidRPr="007773D7" w:rsidRDefault="00EC6F8D" w:rsidP="00EC6F8D">
      <w:pPr>
        <w:spacing w:before="1200"/>
        <w:jc w:val="center"/>
        <w:rPr>
          <w:rFonts w:ascii="Arial" w:hAnsi="Arial" w:cs="Arial"/>
          <w:b/>
          <w:sz w:val="22"/>
          <w:szCs w:val="22"/>
          <w:lang w:val="en-GB"/>
        </w:rPr>
      </w:pPr>
      <w:r w:rsidRPr="007773D7">
        <w:rPr>
          <w:rFonts w:ascii="Arial" w:hAnsi="Arial" w:cs="Arial"/>
          <w:b/>
          <w:sz w:val="22"/>
          <w:szCs w:val="22"/>
          <w:lang w:val="en-GB"/>
        </w:rPr>
        <w:t>INTERGOVERNMENTAL COMMITTEE FOR THE</w:t>
      </w:r>
      <w:r w:rsidRPr="007773D7">
        <w:rPr>
          <w:rFonts w:ascii="Arial" w:hAnsi="Arial" w:cs="Arial"/>
          <w:b/>
          <w:sz w:val="22"/>
          <w:szCs w:val="22"/>
          <w:lang w:val="en-GB"/>
        </w:rPr>
        <w:br/>
        <w:t>SAFEGUARDING OF THE INTANGIBLE CULTURAL HERITAGE</w:t>
      </w:r>
    </w:p>
    <w:p w:rsidR="00EC6F8D" w:rsidRPr="007773D7" w:rsidRDefault="00CB0542" w:rsidP="00EC6F8D">
      <w:pPr>
        <w:spacing w:before="840"/>
        <w:jc w:val="center"/>
        <w:rPr>
          <w:rFonts w:ascii="Arial" w:hAnsi="Arial" w:cs="Arial"/>
          <w:b/>
          <w:sz w:val="22"/>
          <w:szCs w:val="22"/>
          <w:lang w:val="en-GB"/>
        </w:rPr>
      </w:pPr>
      <w:r w:rsidRPr="007773D7">
        <w:rPr>
          <w:rFonts w:ascii="Arial" w:hAnsi="Arial" w:cs="Arial"/>
          <w:b/>
          <w:sz w:val="22"/>
          <w:szCs w:val="22"/>
          <w:lang w:val="en-GB"/>
        </w:rPr>
        <w:t>Eleventh</w:t>
      </w:r>
      <w:r w:rsidR="00EC6F8D" w:rsidRPr="007773D7">
        <w:rPr>
          <w:rFonts w:ascii="Arial" w:hAnsi="Arial" w:cs="Arial"/>
          <w:b/>
          <w:sz w:val="22"/>
          <w:szCs w:val="22"/>
          <w:lang w:val="en-GB"/>
        </w:rPr>
        <w:t xml:space="preserve"> session</w:t>
      </w:r>
    </w:p>
    <w:p w:rsidR="009D5428" w:rsidRPr="007773D7" w:rsidRDefault="004E1D2C" w:rsidP="005E7074">
      <w:pPr>
        <w:jc w:val="center"/>
        <w:rPr>
          <w:rFonts w:ascii="Arial" w:hAnsi="Arial" w:cs="Arial"/>
          <w:b/>
          <w:sz w:val="22"/>
          <w:szCs w:val="22"/>
          <w:lang w:val="en-GB"/>
        </w:rPr>
      </w:pPr>
      <w:r>
        <w:rPr>
          <w:rFonts w:ascii="Arial" w:hAnsi="Arial" w:cs="Arial"/>
          <w:b/>
          <w:sz w:val="22"/>
          <w:szCs w:val="22"/>
          <w:lang w:val="en-GB"/>
        </w:rPr>
        <w:t>Addis Ababa, Ethiopia</w:t>
      </w:r>
    </w:p>
    <w:p w:rsidR="00EC6F8D" w:rsidRPr="007773D7" w:rsidRDefault="00CB0542" w:rsidP="00EC6F8D">
      <w:pPr>
        <w:jc w:val="center"/>
        <w:rPr>
          <w:rFonts w:ascii="Arial" w:hAnsi="Arial" w:cs="Arial"/>
          <w:b/>
          <w:sz w:val="22"/>
          <w:szCs w:val="22"/>
          <w:lang w:val="en-GB"/>
        </w:rPr>
      </w:pPr>
      <w:r w:rsidRPr="007773D7">
        <w:rPr>
          <w:rFonts w:ascii="Arial" w:hAnsi="Arial" w:cs="Arial"/>
          <w:b/>
          <w:sz w:val="22"/>
          <w:szCs w:val="22"/>
          <w:lang w:val="en-GB"/>
        </w:rPr>
        <w:t>28</w:t>
      </w:r>
      <w:r w:rsidR="00D8250F" w:rsidRPr="007773D7">
        <w:rPr>
          <w:rFonts w:ascii="Arial" w:hAnsi="Arial" w:cs="Arial"/>
          <w:b/>
          <w:sz w:val="22"/>
          <w:szCs w:val="22"/>
          <w:lang w:val="en-GB"/>
        </w:rPr>
        <w:t xml:space="preserve"> November</w:t>
      </w:r>
      <w:r w:rsidR="00EC6F8D" w:rsidRPr="007773D7">
        <w:rPr>
          <w:rFonts w:ascii="Arial" w:hAnsi="Arial" w:cs="Arial"/>
          <w:b/>
          <w:sz w:val="22"/>
          <w:szCs w:val="22"/>
          <w:lang w:val="en-GB"/>
        </w:rPr>
        <w:t xml:space="preserve"> to </w:t>
      </w:r>
      <w:r w:rsidRPr="007773D7">
        <w:rPr>
          <w:rFonts w:ascii="Arial" w:hAnsi="Arial" w:cs="Arial"/>
          <w:b/>
          <w:sz w:val="22"/>
          <w:szCs w:val="22"/>
          <w:lang w:val="en-GB"/>
        </w:rPr>
        <w:t>2 December 2016</w:t>
      </w:r>
    </w:p>
    <w:p w:rsidR="00EC6F8D" w:rsidRPr="007773D7" w:rsidRDefault="00EC6F8D" w:rsidP="00EC6F8D">
      <w:pPr>
        <w:pStyle w:val="Sansinterligne2"/>
        <w:spacing w:before="1200"/>
        <w:jc w:val="center"/>
        <w:rPr>
          <w:rFonts w:ascii="Arial" w:hAnsi="Arial" w:cs="Arial"/>
          <w:b/>
          <w:sz w:val="22"/>
          <w:szCs w:val="22"/>
          <w:lang w:val="en-GB"/>
        </w:rPr>
      </w:pPr>
      <w:r w:rsidRPr="007773D7">
        <w:rPr>
          <w:rFonts w:ascii="Arial" w:hAnsi="Arial" w:cs="Arial"/>
          <w:b/>
          <w:sz w:val="22"/>
          <w:szCs w:val="22"/>
          <w:u w:val="single"/>
          <w:lang w:val="en-GB"/>
        </w:rPr>
        <w:t xml:space="preserve">Item </w:t>
      </w:r>
      <w:r w:rsidR="003454B4" w:rsidRPr="007773D7">
        <w:rPr>
          <w:rFonts w:ascii="Arial" w:hAnsi="Arial" w:cs="Arial"/>
          <w:b/>
          <w:sz w:val="22"/>
          <w:szCs w:val="22"/>
          <w:u w:val="single"/>
          <w:lang w:val="en-GB"/>
        </w:rPr>
        <w:t>14</w:t>
      </w:r>
      <w:r w:rsidRPr="007773D7">
        <w:rPr>
          <w:rFonts w:ascii="Arial" w:hAnsi="Arial" w:cs="Arial"/>
          <w:b/>
          <w:sz w:val="22"/>
          <w:szCs w:val="22"/>
          <w:u w:val="single"/>
          <w:lang w:val="en-GB"/>
        </w:rPr>
        <w:t xml:space="preserve"> of the Provisional Agenda</w:t>
      </w:r>
      <w:r w:rsidRPr="007773D7">
        <w:rPr>
          <w:rFonts w:ascii="Arial" w:hAnsi="Arial" w:cs="Arial"/>
          <w:b/>
          <w:sz w:val="22"/>
          <w:szCs w:val="22"/>
          <w:lang w:val="en-GB"/>
        </w:rPr>
        <w:t>:</w:t>
      </w:r>
    </w:p>
    <w:p w:rsidR="00EC6F8D" w:rsidRPr="007773D7" w:rsidRDefault="003454B4" w:rsidP="00EC6F8D">
      <w:pPr>
        <w:pStyle w:val="Sansinterligne2"/>
        <w:spacing w:after="1200"/>
        <w:jc w:val="center"/>
        <w:rPr>
          <w:rFonts w:ascii="Arial" w:hAnsi="Arial" w:cs="Arial"/>
          <w:b/>
          <w:sz w:val="22"/>
          <w:szCs w:val="22"/>
          <w:lang w:val="en-GB"/>
        </w:rPr>
      </w:pPr>
      <w:r w:rsidRPr="007773D7">
        <w:rPr>
          <w:rFonts w:ascii="Arial" w:hAnsi="Arial" w:cs="Arial"/>
          <w:b/>
          <w:sz w:val="22"/>
          <w:szCs w:val="22"/>
          <w:lang w:val="en-GB"/>
        </w:rPr>
        <w:t xml:space="preserve">Preliminary expert meeting on developing an </w:t>
      </w:r>
      <w:r w:rsidR="00737DC6">
        <w:rPr>
          <w:rFonts w:ascii="Arial" w:hAnsi="Arial" w:cs="Arial"/>
          <w:b/>
          <w:sz w:val="22"/>
          <w:szCs w:val="22"/>
          <w:lang w:val="en-GB"/>
        </w:rPr>
        <w:br/>
      </w:r>
      <w:r w:rsidRPr="007773D7">
        <w:rPr>
          <w:rFonts w:ascii="Arial" w:hAnsi="Arial" w:cs="Arial"/>
          <w:b/>
          <w:sz w:val="22"/>
          <w:szCs w:val="22"/>
          <w:lang w:val="en-GB"/>
        </w:rPr>
        <w:t>overall results framework for the Convention</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7773D7" w:rsidTr="00EC6F8D">
        <w:trPr>
          <w:jc w:val="center"/>
        </w:trPr>
        <w:tc>
          <w:tcPr>
            <w:tcW w:w="5670" w:type="dxa"/>
            <w:vAlign w:val="center"/>
          </w:tcPr>
          <w:p w:rsidR="00EC6F8D" w:rsidRPr="007773D7" w:rsidRDefault="00EC6F8D" w:rsidP="00CA56BB">
            <w:pPr>
              <w:pStyle w:val="Sansinterligne1"/>
              <w:spacing w:before="200" w:after="200"/>
              <w:jc w:val="center"/>
              <w:rPr>
                <w:rFonts w:ascii="Arial" w:hAnsi="Arial" w:cs="Arial"/>
                <w:b/>
                <w:sz w:val="22"/>
                <w:szCs w:val="22"/>
                <w:lang w:val="en-GB"/>
              </w:rPr>
            </w:pPr>
            <w:r w:rsidRPr="007773D7">
              <w:rPr>
                <w:rFonts w:ascii="Arial" w:hAnsi="Arial" w:cs="Arial"/>
                <w:b/>
                <w:sz w:val="22"/>
                <w:szCs w:val="22"/>
                <w:lang w:val="en-GB"/>
              </w:rPr>
              <w:t>Summary</w:t>
            </w:r>
          </w:p>
          <w:p w:rsidR="00EC6F8D" w:rsidRPr="007773D7" w:rsidRDefault="00435296" w:rsidP="00CA56BB">
            <w:pPr>
              <w:pStyle w:val="Sansinterligne1"/>
              <w:jc w:val="both"/>
              <w:rPr>
                <w:rFonts w:ascii="Arial" w:hAnsi="Arial" w:cs="Arial"/>
                <w:bCs/>
                <w:sz w:val="22"/>
                <w:szCs w:val="22"/>
                <w:lang w:val="en-GB"/>
              </w:rPr>
            </w:pPr>
            <w:r w:rsidRPr="007773D7">
              <w:rPr>
                <w:rFonts w:ascii="Arial" w:hAnsi="Arial" w:cs="Arial"/>
                <w:sz w:val="22"/>
                <w:szCs w:val="22"/>
                <w:lang w:val="en-GB"/>
              </w:rPr>
              <w:t>At its eight session, the Committee decided to develop an overall results framework for the Convention (Decision</w:t>
            </w:r>
            <w:r w:rsidR="00E30A73" w:rsidRPr="007773D7">
              <w:rPr>
                <w:rFonts w:ascii="Arial" w:hAnsi="Arial" w:cs="Arial"/>
                <w:sz w:val="22"/>
                <w:szCs w:val="22"/>
                <w:lang w:val="en-GB"/>
              </w:rPr>
              <w:t> </w:t>
            </w:r>
            <w:hyperlink r:id="rId8" w:history="1">
              <w:r w:rsidRPr="00737DC6">
                <w:rPr>
                  <w:rStyle w:val="Hyperlink"/>
                  <w:rFonts w:ascii="Arial" w:hAnsi="Arial" w:cs="Arial"/>
                  <w:sz w:val="22"/>
                  <w:szCs w:val="22"/>
                  <w:lang w:val="en-GB"/>
                </w:rPr>
                <w:t>8.COM</w:t>
              </w:r>
              <w:r w:rsidR="00E30A73" w:rsidRPr="00737DC6">
                <w:rPr>
                  <w:rStyle w:val="Hyperlink"/>
                  <w:rFonts w:ascii="Arial" w:hAnsi="Arial" w:cs="Arial"/>
                  <w:sz w:val="22"/>
                  <w:szCs w:val="22"/>
                  <w:lang w:val="en-GB"/>
                </w:rPr>
                <w:t> </w:t>
              </w:r>
              <w:r w:rsidRPr="00737DC6">
                <w:rPr>
                  <w:rStyle w:val="Hyperlink"/>
                  <w:rFonts w:ascii="Arial" w:hAnsi="Arial" w:cs="Arial"/>
                  <w:sz w:val="22"/>
                  <w:szCs w:val="22"/>
                  <w:lang w:val="en-GB"/>
                </w:rPr>
                <w:t>5.c.1</w:t>
              </w:r>
            </w:hyperlink>
            <w:r w:rsidRPr="007773D7">
              <w:rPr>
                <w:rFonts w:ascii="Arial" w:hAnsi="Arial" w:cs="Arial"/>
                <w:sz w:val="22"/>
                <w:szCs w:val="22"/>
                <w:lang w:val="en-GB"/>
              </w:rPr>
              <w:t xml:space="preserve">). At its tenth session, it accepted the generous contribution of the National Commission of the People’s Republic of China to organize a preliminary expert meeting </w:t>
            </w:r>
            <w:r w:rsidR="00E30A73" w:rsidRPr="007773D7">
              <w:rPr>
                <w:rFonts w:ascii="Arial" w:hAnsi="Arial" w:cs="Arial"/>
                <w:sz w:val="22"/>
                <w:szCs w:val="22"/>
                <w:lang w:val="en-GB"/>
              </w:rPr>
              <w:t>to initiate the reflection (Decision </w:t>
            </w:r>
            <w:hyperlink r:id="rId9" w:history="1">
              <w:r w:rsidR="00E30A73" w:rsidRPr="00737DC6">
                <w:rPr>
                  <w:rStyle w:val="Hyperlink"/>
                  <w:rFonts w:ascii="Arial" w:hAnsi="Arial" w:cs="Arial"/>
                  <w:sz w:val="22"/>
                  <w:szCs w:val="22"/>
                  <w:lang w:val="en-GB"/>
                </w:rPr>
                <w:t>10.COM 9</w:t>
              </w:r>
            </w:hyperlink>
            <w:r w:rsidR="00E30A73" w:rsidRPr="007773D7">
              <w:rPr>
                <w:rFonts w:ascii="Arial" w:hAnsi="Arial" w:cs="Arial"/>
                <w:sz w:val="22"/>
                <w:szCs w:val="22"/>
                <w:lang w:val="en-GB"/>
              </w:rPr>
              <w:t>). The present document presents the results of that meeting, held in Beijing, China, from 7 to 9 September 2016.</w:t>
            </w:r>
          </w:p>
          <w:p w:rsidR="00EC6F8D" w:rsidRPr="007773D7" w:rsidRDefault="00EC6F8D" w:rsidP="007773D7">
            <w:pPr>
              <w:pStyle w:val="Sansinterligne2"/>
              <w:spacing w:before="200" w:after="200"/>
              <w:jc w:val="both"/>
              <w:rPr>
                <w:rFonts w:ascii="Arial" w:hAnsi="Arial" w:cs="Arial"/>
                <w:b/>
                <w:sz w:val="22"/>
                <w:szCs w:val="22"/>
                <w:lang w:val="en-GB"/>
              </w:rPr>
            </w:pPr>
            <w:r w:rsidRPr="007773D7">
              <w:rPr>
                <w:rFonts w:ascii="Arial" w:hAnsi="Arial" w:cs="Arial"/>
                <w:b/>
                <w:sz w:val="22"/>
                <w:szCs w:val="22"/>
                <w:lang w:val="en-GB"/>
              </w:rPr>
              <w:t xml:space="preserve">Decision required: </w:t>
            </w:r>
            <w:r w:rsidRPr="007773D7">
              <w:rPr>
                <w:rFonts w:ascii="Arial" w:hAnsi="Arial" w:cs="Arial"/>
                <w:bCs/>
                <w:sz w:val="22"/>
                <w:szCs w:val="22"/>
                <w:lang w:val="en-GB"/>
              </w:rPr>
              <w:t>paragraph</w:t>
            </w:r>
            <w:r w:rsidR="00E30A73" w:rsidRPr="007773D7">
              <w:rPr>
                <w:rFonts w:ascii="Arial" w:hAnsi="Arial" w:cs="Arial"/>
                <w:bCs/>
                <w:sz w:val="22"/>
                <w:szCs w:val="22"/>
                <w:lang w:val="en-GB"/>
              </w:rPr>
              <w:t> </w:t>
            </w:r>
            <w:r w:rsidR="00714F60" w:rsidRPr="003E3A6A">
              <w:rPr>
                <w:rFonts w:ascii="Arial" w:hAnsi="Arial" w:cs="Arial"/>
                <w:bCs/>
                <w:sz w:val="22"/>
                <w:szCs w:val="22"/>
                <w:lang w:val="en-GB"/>
              </w:rPr>
              <w:t>3</w:t>
            </w:r>
            <w:r w:rsidR="007773D7" w:rsidRPr="003E3A6A">
              <w:rPr>
                <w:rFonts w:ascii="Arial" w:hAnsi="Arial" w:cs="Arial"/>
                <w:bCs/>
                <w:sz w:val="22"/>
                <w:szCs w:val="22"/>
                <w:lang w:val="en-GB"/>
              </w:rPr>
              <w:t>4</w:t>
            </w:r>
          </w:p>
        </w:tc>
      </w:tr>
    </w:tbl>
    <w:p w:rsidR="00300507" w:rsidRPr="007773D7" w:rsidRDefault="00655736" w:rsidP="0097679D">
      <w:pPr>
        <w:pStyle w:val="Heading4"/>
      </w:pPr>
      <w:r w:rsidRPr="007773D7">
        <w:br w:type="page"/>
      </w:r>
      <w:r w:rsidR="00300507" w:rsidRPr="007773D7">
        <w:lastRenderedPageBreak/>
        <w:t>Background</w:t>
      </w:r>
      <w:r w:rsidR="00585A1E" w:rsidRPr="007773D7">
        <w:t xml:space="preserve"> of the meeting</w:t>
      </w:r>
    </w:p>
    <w:p w:rsidR="00C07493" w:rsidRPr="007773D7" w:rsidRDefault="00300507" w:rsidP="00663B58">
      <w:pPr>
        <w:pStyle w:val="COMParaDecision"/>
        <w:ind w:left="567" w:hanging="567"/>
      </w:pPr>
      <w:r w:rsidRPr="007773D7">
        <w:t>After reviewing the evaluation of the standard-setting work of UNESCO’s Culture Sector</w:t>
      </w:r>
      <w:r w:rsidRPr="007773D7">
        <w:rPr>
          <w:rStyle w:val="FootnoteReference"/>
        </w:rPr>
        <w:footnoteReference w:id="1"/>
      </w:r>
      <w:r w:rsidR="00DA1D7D">
        <w:t xml:space="preserve"> </w:t>
      </w:r>
      <w:r w:rsidRPr="007773D7">
        <w:t>undertaken by the UNESCO’s Internal Oversight Service (IOS) in 2013, the Committee decided to ‘develop an overall results framework for the Convention including clear objectives, time-frames, indicators and benchmarks’ (</w:t>
      </w:r>
      <w:hyperlink r:id="rId10" w:history="1">
        <w:r w:rsidRPr="007773D7">
          <w:rPr>
            <w:rStyle w:val="Hyperlink"/>
          </w:rPr>
          <w:t>Decision 8.COM 5.c.1</w:t>
        </w:r>
      </w:hyperlink>
      <w:r w:rsidRPr="007773D7">
        <w:t xml:space="preserve">). </w:t>
      </w:r>
      <w:r w:rsidR="00C07493" w:rsidRPr="007773D7">
        <w:t xml:space="preserve">When </w:t>
      </w:r>
      <w:r w:rsidR="00721717" w:rsidRPr="007773D7">
        <w:t>discussing</w:t>
      </w:r>
      <w:r w:rsidR="00C07493" w:rsidRPr="007773D7">
        <w:t xml:space="preserve"> the </w:t>
      </w:r>
      <w:r w:rsidR="00A03C9E" w:rsidRPr="007773D7">
        <w:t>monitoring of the implementation of the Convention – one of the Committee’s functions as laid down in Article 7 of the Convention –</w:t>
      </w:r>
      <w:r w:rsidR="007B07E1" w:rsidRPr="007773D7">
        <w:t>,</w:t>
      </w:r>
      <w:r w:rsidR="00A03C9E" w:rsidRPr="007773D7">
        <w:t xml:space="preserve"> the IOS evaluation acknowledged that, to date, the ‘major international mechanism’ for this purpose were the periodic reports submitted by States Parties in accordance with Article 29 of the Convention. Yet, the IOS evaluation also found that the ‘reports alone do not provide all the information that is required’ for the purpose of monitoring the implementation of the Convention </w:t>
      </w:r>
      <w:r w:rsidR="00A03C9E" w:rsidRPr="007773D7">
        <w:rPr>
          <w:i/>
        </w:rPr>
        <w:t>globally</w:t>
      </w:r>
      <w:r w:rsidR="00A03C9E" w:rsidRPr="007773D7">
        <w:t xml:space="preserve">. Among the several explanatory factors identified by IOS, emerged the difficulty of ‘capturing and reporting on results (outputs and outcomes)’ without the results that are to be achieved being clear. </w:t>
      </w:r>
      <w:r w:rsidR="007B07E1" w:rsidRPr="007773D7">
        <w:t>The evaluation therefore concluded that an overall results framework at the level of the Convention was needed to draw ‘conclusions about the progress made with regard to the imp</w:t>
      </w:r>
      <w:r w:rsidR="00DA1D7D">
        <w:t>lementation of the Convention’.</w:t>
      </w:r>
    </w:p>
    <w:p w:rsidR="00300507" w:rsidRPr="003E3A6A" w:rsidRDefault="007B07E1" w:rsidP="00663B58">
      <w:pPr>
        <w:pStyle w:val="COMParaDecision"/>
        <w:ind w:left="567" w:hanging="567"/>
      </w:pPr>
      <w:r w:rsidRPr="00757651">
        <w:t>When the Committee debated this issue at its eighth session in 2013, States Members fully shared that view while stressing in their discussion that the process of developing an overall results framework should be led by States Parties and is one in which they should be fully involved.</w:t>
      </w:r>
      <w:r w:rsidR="00A00A59" w:rsidRPr="008A7E50">
        <w:t xml:space="preserve"> Responding to those requests, the Secretariat invited the ninth session of the Committee to discuss a process and timetable by which a results framework for the Convention could be developed. It suggested that an open ended intergovernmental working group of the Committee could be convened in 2016, su</w:t>
      </w:r>
      <w:r w:rsidR="00A00A59" w:rsidRPr="003E3A6A">
        <w:t>bject to the availability of extra-budgetary resources. That plan was welcomed by the Committee, which recognized ‘the necessity for an inclusive process of consultation and discussion in the development of such a framework’ (</w:t>
      </w:r>
      <w:hyperlink r:id="rId11" w:history="1">
        <w:r w:rsidR="00A00A59" w:rsidRPr="003E3A6A">
          <w:rPr>
            <w:rStyle w:val="Hyperlink"/>
          </w:rPr>
          <w:t>Decision 9.COM 13.e</w:t>
        </w:r>
      </w:hyperlink>
      <w:r w:rsidR="00A00A59" w:rsidRPr="003E3A6A">
        <w:t>) and decided to convene such an intergovernmental working group in 2016 to examine preliminary recommendations of possible Operational Directives, on th</w:t>
      </w:r>
      <w:r w:rsidR="00C27476">
        <w:t>e condition that adequate extra</w:t>
      </w:r>
      <w:r w:rsidR="00A00A59" w:rsidRPr="003E3A6A">
        <w:t>budgetary resources were mobilized.</w:t>
      </w:r>
    </w:p>
    <w:p w:rsidR="00605989" w:rsidRPr="007773D7" w:rsidRDefault="00605989" w:rsidP="00663B58">
      <w:pPr>
        <w:pStyle w:val="COMParaDecision"/>
        <w:ind w:left="567" w:hanging="567"/>
      </w:pPr>
      <w:r w:rsidRPr="007773D7">
        <w:t xml:space="preserve">Although no donors came forward in sufficient time to permit such a meeting to be organized in 2016, the </w:t>
      </w:r>
      <w:r w:rsidRPr="007773D7">
        <w:rPr>
          <w:rStyle w:val="hps"/>
        </w:rPr>
        <w:t>National Commission of the People’s Republic of China for UNESCO offered to support a smaller meeting of experts that could elaborate a preliminary framework for submission to a subsequent intergovernmental working group. In this way, when the working group convenes</w:t>
      </w:r>
      <w:r w:rsidR="007E0423" w:rsidRPr="007773D7">
        <w:rPr>
          <w:rStyle w:val="hps"/>
        </w:rPr>
        <w:t>,</w:t>
      </w:r>
      <w:r w:rsidRPr="007773D7">
        <w:rPr>
          <w:rStyle w:val="hps"/>
        </w:rPr>
        <w:t xml:space="preserve"> it can benefit from the perspectives and experience of a diverse and geographically representative group of experts, ensuring that from the beginning the framework reflects the desired ‘inclusive process of consultation and discussion.’ In its </w:t>
      </w:r>
      <w:hyperlink r:id="rId12" w:history="1">
        <w:r w:rsidRPr="007773D7">
          <w:rPr>
            <w:rStyle w:val="Hyperlink"/>
          </w:rPr>
          <w:t>Decision</w:t>
        </w:r>
        <w:r w:rsidR="004474A1">
          <w:rPr>
            <w:rStyle w:val="Hyperlink"/>
            <w:lang w:val="en-US"/>
          </w:rPr>
          <w:t> </w:t>
        </w:r>
        <w:r w:rsidRPr="007773D7">
          <w:rPr>
            <w:rStyle w:val="Hyperlink"/>
          </w:rPr>
          <w:t>10.COM 9</w:t>
        </w:r>
      </w:hyperlink>
      <w:r w:rsidRPr="007773D7">
        <w:rPr>
          <w:rStyle w:val="hps"/>
        </w:rPr>
        <w:t>, the Committee therefore ‘</w:t>
      </w:r>
      <w:r w:rsidRPr="007773D7">
        <w:t xml:space="preserve">Accept[ed] with gratitude the generous contribution of the </w:t>
      </w:r>
      <w:r w:rsidRPr="007773D7">
        <w:rPr>
          <w:rStyle w:val="hps"/>
        </w:rPr>
        <w:t>National Commission of the People’s Republic of China</w:t>
      </w:r>
      <w:r w:rsidRPr="007773D7">
        <w:t>, approve[d] its specific purpose and request[ed] the Secretariat to ensure the proper organization of the expert meeting.’</w:t>
      </w:r>
    </w:p>
    <w:p w:rsidR="00300507" w:rsidRPr="007773D7" w:rsidRDefault="00A402F8" w:rsidP="00BD6BB0">
      <w:pPr>
        <w:pStyle w:val="COMParaDecision"/>
        <w:ind w:left="567" w:hanging="567"/>
      </w:pPr>
      <w:r w:rsidRPr="007773D7">
        <w:t>M</w:t>
      </w:r>
      <w:r w:rsidR="00605989" w:rsidRPr="007773D7">
        <w:t xml:space="preserve">ade possible through the support of China, </w:t>
      </w:r>
      <w:r w:rsidRPr="007773D7">
        <w:t xml:space="preserve">the meeting </w:t>
      </w:r>
      <w:r w:rsidR="00605989" w:rsidRPr="007773D7">
        <w:t>was held from 7 to 9 September</w:t>
      </w:r>
      <w:r w:rsidRPr="007773D7">
        <w:t xml:space="preserve"> 2016</w:t>
      </w:r>
      <w:r w:rsidR="00605989" w:rsidRPr="007773D7">
        <w:t xml:space="preserve"> in Beijing, China, as a category VI meeting, which in UNESCO terminology means a meeting of a non-representative character of </w:t>
      </w:r>
      <w:r w:rsidR="00477E67" w:rsidRPr="007773D7">
        <w:t>expert</w:t>
      </w:r>
      <w:r w:rsidRPr="007773D7">
        <w:t>s</w:t>
      </w:r>
      <w:r w:rsidR="00477E67" w:rsidRPr="007773D7">
        <w:t xml:space="preserve"> appointed by the Director-General who shall serve in </w:t>
      </w:r>
      <w:r w:rsidRPr="007773D7">
        <w:t>their</w:t>
      </w:r>
      <w:r w:rsidR="00477E67" w:rsidRPr="007773D7">
        <w:t xml:space="preserve"> private capacity. </w:t>
      </w:r>
      <w:r w:rsidRPr="007773D7">
        <w:t>It</w:t>
      </w:r>
      <w:r w:rsidR="00300507" w:rsidRPr="007773D7">
        <w:t xml:space="preserve"> brought together 2</w:t>
      </w:r>
      <w:r w:rsidRPr="007773D7">
        <w:t>1 </w:t>
      </w:r>
      <w:r w:rsidR="00300507" w:rsidRPr="007773D7">
        <w:t>experts from different UNESCO Member States and Associate Members</w:t>
      </w:r>
      <w:r w:rsidR="00477E67" w:rsidRPr="007773D7">
        <w:rPr>
          <w:rStyle w:val="FootnoteReference"/>
        </w:rPr>
        <w:footnoteReference w:id="2"/>
      </w:r>
      <w:r w:rsidR="00300507" w:rsidRPr="007773D7">
        <w:t xml:space="preserve">, working in governmental and non-governmental institutions, in communities or practitioner groups, as well as five members of </w:t>
      </w:r>
      <w:r w:rsidR="00477E67" w:rsidRPr="007773D7">
        <w:t>the</w:t>
      </w:r>
      <w:r w:rsidR="00300507" w:rsidRPr="007773D7">
        <w:t xml:space="preserve"> </w:t>
      </w:r>
      <w:r w:rsidR="00477E67" w:rsidRPr="007773D7">
        <w:t>Intangible Cultural Heritage Section</w:t>
      </w:r>
      <w:r w:rsidR="00300507" w:rsidRPr="007773D7">
        <w:t xml:space="preserve"> and three staff members from the UNESCO Office in Beijing. A number of Chinese experts were present as observers.</w:t>
      </w:r>
      <w:r w:rsidRPr="007773D7">
        <w:t xml:space="preserve"> In selecting experts, the Secretariat </w:t>
      </w:r>
      <w:r w:rsidRPr="007773D7">
        <w:lastRenderedPageBreak/>
        <w:t xml:space="preserve">sought to ensure not only geographical and gender balance but also </w:t>
      </w:r>
      <w:r w:rsidR="00654469">
        <w:t xml:space="preserve">balance </w:t>
      </w:r>
      <w:r w:rsidRPr="007773D7">
        <w:t xml:space="preserve">as to </w:t>
      </w:r>
      <w:r w:rsidR="00654469">
        <w:t xml:space="preserve">the </w:t>
      </w:r>
      <w:r w:rsidRPr="007773D7">
        <w:t>different backgrounds and degrees of proximity to the Secretariat’s work</w:t>
      </w:r>
      <w:r w:rsidR="00BD6BB0" w:rsidRPr="007773D7">
        <w:t xml:space="preserve"> and that of the Convention’s governing and evaluation bodies</w:t>
      </w:r>
      <w:r w:rsidRPr="007773D7">
        <w:t xml:space="preserve">. </w:t>
      </w:r>
      <w:r w:rsidR="00663B58" w:rsidRPr="007773D7">
        <w:t xml:space="preserve">Indeed, </w:t>
      </w:r>
      <w:r w:rsidR="00663B58" w:rsidRPr="007773D7">
        <w:rPr>
          <w:rStyle w:val="IntenseEmphasis"/>
        </w:rPr>
        <w:t xml:space="preserve">the Secretariat made a particular effort in the selection of participants to broaden the circle of professionals beyond the pool of experts who regularly participate in meetings and events organized by UNESCO. </w:t>
      </w:r>
      <w:r w:rsidR="00821554" w:rsidRPr="007773D7">
        <w:t xml:space="preserve">Recognizing that the Secretariat is one </w:t>
      </w:r>
      <w:r w:rsidR="00B538D8" w:rsidRPr="007773D7">
        <w:t xml:space="preserve">among many </w:t>
      </w:r>
      <w:r w:rsidR="00821554" w:rsidRPr="007773D7">
        <w:t>of the Convention’s stakeholder</w:t>
      </w:r>
      <w:r w:rsidR="00BD6BB0" w:rsidRPr="007773D7">
        <w:t>s</w:t>
      </w:r>
      <w:r w:rsidR="00821554" w:rsidRPr="007773D7">
        <w:t xml:space="preserve">, it considered </w:t>
      </w:r>
      <w:r w:rsidR="00B538D8" w:rsidRPr="007773D7">
        <w:t xml:space="preserve">it </w:t>
      </w:r>
      <w:r w:rsidR="00821554" w:rsidRPr="007773D7">
        <w:t xml:space="preserve">important to be part of the discussions </w:t>
      </w:r>
      <w:r w:rsidR="00B538D8" w:rsidRPr="007773D7">
        <w:t>to complement</w:t>
      </w:r>
      <w:r w:rsidR="00821554" w:rsidRPr="007773D7">
        <w:t xml:space="preserve"> other participant</w:t>
      </w:r>
      <w:r w:rsidR="00B538D8" w:rsidRPr="007773D7">
        <w:t>s</w:t>
      </w:r>
      <w:r w:rsidR="00821554" w:rsidRPr="007773D7">
        <w:t xml:space="preserve">. The meeting </w:t>
      </w:r>
      <w:r w:rsidR="00630575" w:rsidRPr="007773D7">
        <w:t xml:space="preserve">was therefore </w:t>
      </w:r>
      <w:r w:rsidR="00D82531">
        <w:t>mainly</w:t>
      </w:r>
      <w:r w:rsidR="00D82531" w:rsidRPr="007773D7">
        <w:t xml:space="preserve"> </w:t>
      </w:r>
      <w:r w:rsidR="00630575" w:rsidRPr="007773D7">
        <w:t>facilitated</w:t>
      </w:r>
      <w:r w:rsidR="00821554" w:rsidRPr="007773D7">
        <w:t xml:space="preserve"> by </w:t>
      </w:r>
      <w:r w:rsidR="00BD6BB0" w:rsidRPr="007773D7">
        <w:t>an expert experienced in designing results framework, Mr Alan Knight, and an expert familiar with the Convention and its implementation, Ms Harriet Deacon</w:t>
      </w:r>
      <w:r w:rsidR="00BD6BB0" w:rsidRPr="007773D7">
        <w:rPr>
          <w:rStyle w:val="FootnoteReference"/>
        </w:rPr>
        <w:footnoteReference w:id="3"/>
      </w:r>
      <w:r w:rsidR="00821554" w:rsidRPr="007773D7">
        <w:t>.</w:t>
      </w:r>
      <w:r w:rsidR="00663B58" w:rsidRPr="007773D7">
        <w:rPr>
          <w:rFonts w:eastAsia="Arial"/>
        </w:rPr>
        <w:t xml:space="preserve"> The working papers for the meeting are available on a dedicated </w:t>
      </w:r>
      <w:hyperlink r:id="rId13" w:history="1">
        <w:r w:rsidR="00663B58" w:rsidRPr="007773D7">
          <w:rPr>
            <w:rStyle w:val="Hyperlink"/>
          </w:rPr>
          <w:t>web page</w:t>
        </w:r>
      </w:hyperlink>
      <w:r w:rsidR="00663B58" w:rsidRPr="007773D7">
        <w:rPr>
          <w:rStyle w:val="FootnoteReference"/>
          <w:color w:val="0000FF"/>
          <w:u w:val="single"/>
        </w:rPr>
        <w:footnoteReference w:id="4"/>
      </w:r>
      <w:r w:rsidR="00663B58" w:rsidRPr="007773D7">
        <w:rPr>
          <w:rStyle w:val="Hyperlink"/>
          <w:u w:val="none"/>
        </w:rPr>
        <w:t>.</w:t>
      </w:r>
    </w:p>
    <w:p w:rsidR="00CC1A29" w:rsidRPr="007773D7" w:rsidRDefault="00663B58" w:rsidP="0059614F">
      <w:pPr>
        <w:pStyle w:val="COMParaDecision"/>
        <w:ind w:left="567" w:hanging="567"/>
      </w:pPr>
      <w:r w:rsidRPr="007773D7">
        <w:rPr>
          <w:rStyle w:val="IntenseEmphasis"/>
        </w:rPr>
        <w:t>The expert meeting in Beijing constituted the first important step</w:t>
      </w:r>
      <w:r w:rsidRPr="007773D7">
        <w:t xml:space="preserve"> of </w:t>
      </w:r>
      <w:r w:rsidRPr="007773D7">
        <w:rPr>
          <w:rStyle w:val="IntenseEmphasis"/>
        </w:rPr>
        <w:t>a longer process lead</w:t>
      </w:r>
      <w:r w:rsidR="00EA5715" w:rsidRPr="007773D7">
        <w:rPr>
          <w:rStyle w:val="IntenseEmphasis"/>
        </w:rPr>
        <w:t>ing</w:t>
      </w:r>
      <w:r w:rsidRPr="007773D7">
        <w:rPr>
          <w:rStyle w:val="IntenseEmphasis"/>
        </w:rPr>
        <w:t xml:space="preserve"> to an overall results framework for the Convention </w:t>
      </w:r>
      <w:r w:rsidR="00EA5715" w:rsidRPr="007773D7">
        <w:rPr>
          <w:rStyle w:val="IntenseEmphasis"/>
        </w:rPr>
        <w:t xml:space="preserve">that could enjoy </w:t>
      </w:r>
      <w:r w:rsidRPr="007773D7">
        <w:rPr>
          <w:rStyle w:val="IntenseEmphasis"/>
        </w:rPr>
        <w:t xml:space="preserve">the broadest </w:t>
      </w:r>
      <w:r w:rsidRPr="007773D7">
        <w:t>possible</w:t>
      </w:r>
      <w:r w:rsidRPr="007773D7">
        <w:rPr>
          <w:rStyle w:val="IntenseEmphasis"/>
        </w:rPr>
        <w:t xml:space="preserve"> consensus </w:t>
      </w:r>
      <w:r w:rsidR="007E0423" w:rsidRPr="007773D7">
        <w:rPr>
          <w:rStyle w:val="IntenseEmphasis"/>
        </w:rPr>
        <w:t>among</w:t>
      </w:r>
      <w:r w:rsidRPr="007773D7">
        <w:rPr>
          <w:rStyle w:val="IntenseEmphasis"/>
        </w:rPr>
        <w:t xml:space="preserve"> </w:t>
      </w:r>
      <w:r w:rsidR="00242A73" w:rsidRPr="007773D7">
        <w:rPr>
          <w:rStyle w:val="IntenseEmphasis"/>
        </w:rPr>
        <w:t>its</w:t>
      </w:r>
      <w:r w:rsidRPr="007773D7">
        <w:rPr>
          <w:rStyle w:val="IntenseEmphasis"/>
        </w:rPr>
        <w:t xml:space="preserve"> different </w:t>
      </w:r>
      <w:r w:rsidRPr="007773D7">
        <w:t>stakeholders</w:t>
      </w:r>
      <w:r w:rsidRPr="007773D7">
        <w:rPr>
          <w:rStyle w:val="IntenseEmphasis"/>
        </w:rPr>
        <w:t>.</w:t>
      </w:r>
      <w:r w:rsidR="007277D0" w:rsidRPr="007773D7">
        <w:rPr>
          <w:rStyle w:val="IntenseEmphasis"/>
        </w:rPr>
        <w:t xml:space="preserve"> The Committee expected an </w:t>
      </w:r>
      <w:r w:rsidR="007277D0" w:rsidRPr="007773D7">
        <w:t xml:space="preserve">open-ended intergovernmental working group to be organized to allow all States Parties so wishing to debate on a preliminary overall results </w:t>
      </w:r>
      <w:r w:rsidR="007277D0" w:rsidRPr="007C1A8B">
        <w:t xml:space="preserve">framework. </w:t>
      </w:r>
      <w:r w:rsidR="00F22A78" w:rsidRPr="007C1A8B">
        <w:t xml:space="preserve">Although to date, </w:t>
      </w:r>
      <w:r w:rsidR="00513969" w:rsidRPr="007C1A8B">
        <w:rPr>
          <w:rStyle w:val="IntenseEmphasis"/>
        </w:rPr>
        <w:t xml:space="preserve">the required contribution </w:t>
      </w:r>
      <w:r w:rsidR="00F22A78" w:rsidRPr="007C1A8B">
        <w:rPr>
          <w:rStyle w:val="IntenseEmphasis"/>
        </w:rPr>
        <w:t xml:space="preserve">into the Intangible Cultural Heritage Fund has not been </w:t>
      </w:r>
      <w:r w:rsidR="00513969" w:rsidRPr="007C1A8B">
        <w:rPr>
          <w:rStyle w:val="IntenseEmphasis"/>
        </w:rPr>
        <w:t>received</w:t>
      </w:r>
      <w:r w:rsidR="00F22A78" w:rsidRPr="007C1A8B">
        <w:rPr>
          <w:rStyle w:val="IntenseEmphasis"/>
        </w:rPr>
        <w:t>, one country in particular has expressed its interest to do so.</w:t>
      </w:r>
      <w:r w:rsidR="00513969" w:rsidRPr="007C1A8B">
        <w:rPr>
          <w:rStyle w:val="IntenseEmphasis"/>
        </w:rPr>
        <w:t xml:space="preserve"> </w:t>
      </w:r>
      <w:r w:rsidR="00F22A78" w:rsidRPr="007C1A8B">
        <w:rPr>
          <w:rStyle w:val="IntenseEmphasis"/>
        </w:rPr>
        <w:t xml:space="preserve">Should this support materialize </w:t>
      </w:r>
      <w:r w:rsidR="00513969" w:rsidRPr="007C1A8B">
        <w:rPr>
          <w:rStyle w:val="IntenseEmphasis"/>
        </w:rPr>
        <w:t xml:space="preserve">by January 2017, the </w:t>
      </w:r>
      <w:r w:rsidR="00513969" w:rsidRPr="007C1A8B">
        <w:t>open-ended intergovernmental working group</w:t>
      </w:r>
      <w:r w:rsidR="00513969" w:rsidRPr="007C1A8B">
        <w:rPr>
          <w:rStyle w:val="IntenseEmphasis"/>
        </w:rPr>
        <w:t xml:space="preserve"> could meet before the </w:t>
      </w:r>
      <w:r w:rsidR="00513969" w:rsidRPr="007C1A8B">
        <w:t>twelfth session of the Committee</w:t>
      </w:r>
      <w:r w:rsidR="00F22A78" w:rsidRPr="007C1A8B">
        <w:t>, which could thus examine the outcomes of the meeting.</w:t>
      </w:r>
    </w:p>
    <w:p w:rsidR="000021F3" w:rsidRPr="007773D7" w:rsidRDefault="00E12781" w:rsidP="00CC1A29">
      <w:pPr>
        <w:pStyle w:val="COMParaDecision"/>
        <w:ind w:left="567" w:hanging="567"/>
      </w:pPr>
      <w:r w:rsidRPr="007773D7">
        <w:t xml:space="preserve">Specific challenges arise from developing an overall results framework for an international normative instrument such as the 2003 Convention for </w:t>
      </w:r>
      <w:r w:rsidR="00513969" w:rsidRPr="007773D7">
        <w:t xml:space="preserve">the </w:t>
      </w:r>
      <w:r w:rsidRPr="007773D7">
        <w:t xml:space="preserve">Safeguarding of the Intangible Cultural Heritage, which is atypical of the kind of organizations and programmes on which monitoring and evaluation work typically focuses. </w:t>
      </w:r>
      <w:r w:rsidR="00513969" w:rsidRPr="007773D7">
        <w:t xml:space="preserve">Like </w:t>
      </w:r>
      <w:r w:rsidR="00E3728B" w:rsidRPr="007773D7">
        <w:t>much of the United Nations’ normative work, the Convention ‘involves numerous actors, many potential causes and just as many possible effects’</w:t>
      </w:r>
      <w:r w:rsidR="00E3728B" w:rsidRPr="007773D7">
        <w:rPr>
          <w:vertAlign w:val="superscript"/>
        </w:rPr>
        <w:footnoteReference w:id="5"/>
      </w:r>
      <w:r w:rsidR="00E3728B" w:rsidRPr="007773D7">
        <w:rPr>
          <w:vertAlign w:val="superscript"/>
        </w:rPr>
        <w:t xml:space="preserve"> </w:t>
      </w:r>
      <w:r w:rsidR="00E3728B" w:rsidRPr="007773D7">
        <w:t xml:space="preserve">and ‘success’ may not look the same </w:t>
      </w:r>
      <w:r w:rsidR="00513969" w:rsidRPr="007773D7">
        <w:t xml:space="preserve">to </w:t>
      </w:r>
      <w:r w:rsidR="00E3728B" w:rsidRPr="007773D7">
        <w:t xml:space="preserve">each actor. </w:t>
      </w:r>
      <w:r w:rsidR="00CC1A29" w:rsidRPr="007773D7">
        <w:t>Determining ‘success’ in initiatives designed to implement the Convention is therefore particularly challenging.</w:t>
      </w:r>
    </w:p>
    <w:p w:rsidR="00621E69" w:rsidRPr="007773D7" w:rsidRDefault="00024768" w:rsidP="007A537D">
      <w:pPr>
        <w:pStyle w:val="COMParaDecision"/>
        <w:spacing w:before="120"/>
        <w:ind w:left="567" w:hanging="567"/>
      </w:pPr>
      <w:r w:rsidRPr="007773D7">
        <w:t>The process</w:t>
      </w:r>
      <w:r w:rsidR="00CC1A29" w:rsidRPr="007773D7">
        <w:t xml:space="preserve"> of developing an overall results framework </w:t>
      </w:r>
      <w:r w:rsidR="00E12781" w:rsidRPr="007773D7">
        <w:t>may take some ti</w:t>
      </w:r>
      <w:r w:rsidRPr="007773D7">
        <w:t xml:space="preserve">me, as these processes often do, but it is considered to be </w:t>
      </w:r>
      <w:r w:rsidR="00E12781" w:rsidRPr="007773D7">
        <w:t xml:space="preserve">as important as the product; it allows for detailed and focused reflection on what constitutes success, and on what is being done by whom, </w:t>
      </w:r>
      <w:r w:rsidR="00654469">
        <w:t xml:space="preserve">in order to </w:t>
      </w:r>
      <w:r w:rsidR="00E12781" w:rsidRPr="007773D7">
        <w:t>contribute to achieving it.</w:t>
      </w:r>
      <w:r w:rsidR="007A537D" w:rsidRPr="007773D7">
        <w:t xml:space="preserve"> A consultative process can therefore help diverse stakeholders to highlight successes and identify challenges in its implementation, thereby raising the visibility and standard of the work being carried out, and helping to develop a clear, credible and evidence-based vision for the future implementation of the Convention. The subsequent overall results framework may also be seen as a legitimate tool for accountability at all levels of implementation: international, national and local.</w:t>
      </w:r>
    </w:p>
    <w:p w:rsidR="00CC1A29" w:rsidRPr="007773D7" w:rsidRDefault="00CC1A29" w:rsidP="00570D65">
      <w:pPr>
        <w:pStyle w:val="COMParaDecision"/>
        <w:spacing w:before="120"/>
        <w:ind w:left="567" w:hanging="567"/>
      </w:pPr>
      <w:r w:rsidRPr="007773D7">
        <w:t xml:space="preserve">The objective of the preliminary expert meeting was therefore to collect as </w:t>
      </w:r>
      <w:r w:rsidR="00B94F9D" w:rsidRPr="007773D7">
        <w:t xml:space="preserve">fully </w:t>
      </w:r>
      <w:r w:rsidRPr="007773D7">
        <w:t xml:space="preserve">as possible a variety of experiences of the Convention at different levels (governmental institutions, non-governmental organizations, academic and research centres) in order to find the common denominator of the different </w:t>
      </w:r>
      <w:r w:rsidR="00B94F9D" w:rsidRPr="007773D7">
        <w:t xml:space="preserve">expectations </w:t>
      </w:r>
      <w:r w:rsidRPr="007773D7">
        <w:t>placed on the Convention and begin to outline a ‘shared’ vision of the Convention. The meeting first focus</w:t>
      </w:r>
      <w:r w:rsidR="00B94F9D" w:rsidRPr="007773D7">
        <w:t>ed</w:t>
      </w:r>
      <w:r w:rsidRPr="007773D7">
        <w:t xml:space="preserve"> on developing a draft vision for success in implementing the Convention (Session 2) which was incorporated into a possible </w:t>
      </w:r>
      <w:r w:rsidRPr="00966FDE">
        <w:t>Results Map template. The participants also discussed issues relating to the development of indicators (Session 5)</w:t>
      </w:r>
      <w:r w:rsidRPr="007773D7">
        <w:t xml:space="preserve"> and how a results framework could be implemented (Session 7). </w:t>
      </w:r>
      <w:r w:rsidR="00B94F9D" w:rsidRPr="007773D7">
        <w:t xml:space="preserve">To promote </w:t>
      </w:r>
      <w:r w:rsidR="00570D65" w:rsidRPr="007773D7">
        <w:t>greater participation, the meeting combined plenary wi</w:t>
      </w:r>
      <w:r w:rsidR="00DA1D7D">
        <w:t>th break-out group discussions.</w:t>
      </w:r>
    </w:p>
    <w:p w:rsidR="00463F01" w:rsidRPr="007773D7" w:rsidRDefault="004A2576" w:rsidP="007C1A8B">
      <w:pPr>
        <w:pStyle w:val="COMParaDecision"/>
        <w:spacing w:before="120" w:after="600"/>
        <w:ind w:left="567" w:hanging="567"/>
      </w:pPr>
      <w:r w:rsidRPr="007773D7">
        <w:lastRenderedPageBreak/>
        <w:t>The Committee’s request to develop an overall results framework is</w:t>
      </w:r>
      <w:r w:rsidR="00B94F9D" w:rsidRPr="007773D7">
        <w:t xml:space="preserve"> in</w:t>
      </w:r>
      <w:r w:rsidRPr="007773D7">
        <w:t xml:space="preserve"> line with the Results-Based Management (RBM) approach adopted by the United Nations and understood as a cyclical ‘management strategy by which all actors, contributing directly or indirectly to achieving a set of results, ensure that their processes, products and services contribute to the achievement of desired results </w:t>
      </w:r>
      <w:r w:rsidRPr="005611EC">
        <w:t xml:space="preserve">(outputs, outcomes and </w:t>
      </w:r>
      <w:r w:rsidR="005611EC" w:rsidRPr="003E3A6A">
        <w:t>longer-term</w:t>
      </w:r>
      <w:r w:rsidRPr="005611EC">
        <w:t xml:space="preserve"> goals or impact)</w:t>
      </w:r>
      <w:r w:rsidRPr="007773D7">
        <w:t>. The actors in turn use information and evidence on actual results to inform decision making on the design, resourcing and delivery of programmes and activities as well as for accountability and reporting.’</w:t>
      </w:r>
      <w:r w:rsidRPr="007773D7">
        <w:rPr>
          <w:vertAlign w:val="superscript"/>
        </w:rPr>
        <w:footnoteReference w:id="6"/>
      </w:r>
      <w:r w:rsidR="00463F01" w:rsidRPr="007773D7">
        <w:t xml:space="preserve"> This framework is a continuous improvement life cycle</w:t>
      </w:r>
      <w:r w:rsidR="00B94F9D" w:rsidRPr="007773D7">
        <w:t xml:space="preserve"> that</w:t>
      </w:r>
      <w:r w:rsidR="00463F01" w:rsidRPr="007773D7">
        <w:t xml:space="preserve"> </w:t>
      </w:r>
      <w:r w:rsidR="00B94F9D" w:rsidRPr="007773D7">
        <w:t xml:space="preserve">comprises </w:t>
      </w:r>
      <w:r w:rsidR="00463F01" w:rsidRPr="007773D7">
        <w:t xml:space="preserve">planning, monitoring and evaluation phases where the results of evaluation feed into decision making for the next planning cycle, see Figure 1 below. After setting the vision for success, the results map sets out the logical sequence of the main steps in achieving that vision (inputs, activities, outputs, outcomes and impacts). The results map is then used to </w:t>
      </w:r>
      <w:r w:rsidR="004D3F80" w:rsidRPr="007773D7">
        <w:t xml:space="preserve">identify </w:t>
      </w:r>
      <w:r w:rsidR="00463F01" w:rsidRPr="007773D7">
        <w:t>suitable qualitative or quantitative indicators for measuring that success; after data has been collected and evaluated, it is used to inform any revision of the vision and results map, and the cycle starts again.</w:t>
      </w:r>
      <w:r w:rsidR="000A154D" w:rsidRPr="007773D7">
        <w:rPr>
          <w:vertAlign w:val="superscript"/>
        </w:rPr>
        <w:t xml:space="preserve"> </w:t>
      </w:r>
      <w:r w:rsidR="000A154D" w:rsidRPr="007773D7">
        <w:rPr>
          <w:vertAlign w:val="superscript"/>
        </w:rPr>
        <w:footnoteReference w:id="7"/>
      </w:r>
    </w:p>
    <w:p w:rsidR="00463F01" w:rsidRPr="007773D7" w:rsidRDefault="008422C6" w:rsidP="00463F01">
      <w:pPr>
        <w:jc w:val="center"/>
        <w:rPr>
          <w:lang w:val="en-GB"/>
        </w:rPr>
      </w:pPr>
      <w:r w:rsidRPr="000844BD">
        <w:rPr>
          <w:noProof/>
        </w:rPr>
        <w:drawing>
          <wp:inline distT="0" distB="0" distL="0" distR="0">
            <wp:extent cx="4724400" cy="3265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4400" cy="3265805"/>
                    </a:xfrm>
                    <a:prstGeom prst="rect">
                      <a:avLst/>
                    </a:prstGeom>
                    <a:noFill/>
                    <a:ln>
                      <a:noFill/>
                    </a:ln>
                  </pic:spPr>
                </pic:pic>
              </a:graphicData>
            </a:graphic>
          </wp:inline>
        </w:drawing>
      </w:r>
    </w:p>
    <w:p w:rsidR="00F97448" w:rsidRPr="007773D7" w:rsidRDefault="007C56E5" w:rsidP="00585A1E">
      <w:pPr>
        <w:pStyle w:val="Heading4"/>
      </w:pPr>
      <w:r w:rsidRPr="007773D7">
        <w:lastRenderedPageBreak/>
        <w:t>Setting the vision</w:t>
      </w:r>
    </w:p>
    <w:p w:rsidR="009631BB" w:rsidRPr="007773D7" w:rsidRDefault="004C558C" w:rsidP="009631BB">
      <w:pPr>
        <w:pStyle w:val="COMParaDecision"/>
        <w:keepNext/>
        <w:keepLines/>
        <w:spacing w:before="120"/>
        <w:ind w:left="567" w:hanging="567"/>
      </w:pPr>
      <w:r w:rsidRPr="007773D7">
        <w:t xml:space="preserve">Developing a common vision of success, and drafting a possible results map for the Convention on which the preliminary expert meeting focused is thus simply the first part of a planning life-cycle in a RBM framework. </w:t>
      </w:r>
      <w:r w:rsidR="009631BB" w:rsidRPr="007773D7">
        <w:t>Elaborating a possible results map for the Convention is the second step in the process of developing a results framework. A results map (see Figure 2) places inputs and outcomes in logical sequence:</w:t>
      </w:r>
    </w:p>
    <w:p w:rsidR="009631BB" w:rsidRPr="007773D7" w:rsidRDefault="008422C6" w:rsidP="007C1A8B">
      <w:pPr>
        <w:pStyle w:val="COMParaDecision"/>
        <w:keepNext/>
        <w:keepLines/>
        <w:numPr>
          <w:ilvl w:val="0"/>
          <w:numId w:val="0"/>
        </w:numPr>
        <w:spacing w:before="120"/>
        <w:ind w:left="567"/>
        <w:jc w:val="center"/>
      </w:pPr>
      <w:r w:rsidRPr="00CF3EAB">
        <w:rPr>
          <w:b/>
          <w:noProof/>
          <w:lang w:val="fr-FR"/>
        </w:rPr>
        <w:drawing>
          <wp:inline distT="0" distB="0" distL="0" distR="0">
            <wp:extent cx="4469130" cy="1944370"/>
            <wp:effectExtent l="57150" t="19050" r="64770" b="74930"/>
            <wp:docPr id="2"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9631BB" w:rsidRPr="007773D7" w:rsidRDefault="009631BB" w:rsidP="007C1A8B">
      <w:pPr>
        <w:pStyle w:val="Caption"/>
        <w:ind w:left="1701"/>
        <w:rPr>
          <w:rFonts w:ascii="Arial" w:hAnsi="Arial" w:cs="Arial"/>
          <w:i w:val="0"/>
          <w:color w:val="auto"/>
          <w:lang w:val="en-GB"/>
        </w:rPr>
      </w:pPr>
      <w:r w:rsidRPr="007773D7">
        <w:rPr>
          <w:rFonts w:ascii="Arial" w:hAnsi="Arial" w:cs="Arial"/>
          <w:b/>
          <w:i w:val="0"/>
          <w:color w:val="auto"/>
          <w:lang w:val="en-GB"/>
        </w:rPr>
        <w:t>Figure 2</w:t>
      </w:r>
      <w:r w:rsidRPr="007773D7">
        <w:rPr>
          <w:rFonts w:ascii="Arial" w:hAnsi="Arial" w:cs="Arial"/>
          <w:i w:val="0"/>
          <w:color w:val="auto"/>
          <w:lang w:val="en-GB"/>
        </w:rPr>
        <w:t>: The logical sequence of a results map</w:t>
      </w:r>
    </w:p>
    <w:p w:rsidR="007A537D" w:rsidRPr="007773D7" w:rsidRDefault="004C558C" w:rsidP="009631BB">
      <w:pPr>
        <w:pStyle w:val="COMParaDecision"/>
        <w:numPr>
          <w:ilvl w:val="0"/>
          <w:numId w:val="0"/>
        </w:numPr>
        <w:spacing w:before="120"/>
        <w:ind w:left="567"/>
      </w:pPr>
      <w:r w:rsidRPr="007773D7">
        <w:t xml:space="preserve">At the meeting, participants did not discuss the third, fourth and fifth steps of the RBM framework in any detail, other than to </w:t>
      </w:r>
      <w:r w:rsidR="003147E4" w:rsidRPr="007773D7">
        <w:t xml:space="preserve">emphasize </w:t>
      </w:r>
      <w:r w:rsidRPr="007773D7">
        <w:t>that the results map is onl</w:t>
      </w:r>
      <w:r w:rsidR="00DA1D7D">
        <w:t>y one step in a larger process.</w:t>
      </w:r>
    </w:p>
    <w:p w:rsidR="00FA2337" w:rsidRPr="007773D7" w:rsidRDefault="007A537D" w:rsidP="00570D65">
      <w:pPr>
        <w:pStyle w:val="COMParaDecision"/>
        <w:spacing w:before="120"/>
        <w:ind w:left="567" w:hanging="567"/>
      </w:pPr>
      <w:r w:rsidRPr="007773D7">
        <w:t xml:space="preserve">The discussions on what constitutes success under the Convention informed the development of ‘impact’ boxes in the result map. </w:t>
      </w:r>
      <w:r w:rsidR="00FA2337" w:rsidRPr="007773D7">
        <w:t xml:space="preserve">States Parties, communities, groups and, in some cases, individuals and other stakeholders, including UNESCO, may have different reasons for implementing the Convention and slightly different visions of success. Key issues in the debate on what constitutes success in implementing the Convention included how to define success in safeguarding intangible cultural heritage and how broadly to define success. Success might be defined in negative terms (avoiding ‘misappropriation’ of intangible cultural heritage, for example), or </w:t>
      </w:r>
      <w:r w:rsidR="003147E4" w:rsidRPr="007773D7">
        <w:t xml:space="preserve">simply </w:t>
      </w:r>
      <w:r w:rsidR="00FA2337" w:rsidRPr="007773D7">
        <w:t>be conflated with the implementation of safeguarding measures (such as those listed under Articles 12 to 15) without further exploring whether those measures were effective or not. Yet, in developing a results framework for the Convention, the idea is to find a common vision of success that is expressed in positive terms.</w:t>
      </w:r>
    </w:p>
    <w:p w:rsidR="00FA2D33" w:rsidRPr="007773D7" w:rsidRDefault="00570D65" w:rsidP="00DF240A">
      <w:pPr>
        <w:pStyle w:val="COMParaDecision"/>
        <w:spacing w:before="120"/>
        <w:ind w:left="567" w:hanging="567"/>
      </w:pPr>
      <w:r w:rsidRPr="007773D7">
        <w:t>Such</w:t>
      </w:r>
      <w:r w:rsidR="00FA2337" w:rsidRPr="007773D7">
        <w:t xml:space="preserve"> </w:t>
      </w:r>
      <w:r w:rsidR="003147E4" w:rsidRPr="007773D7">
        <w:t xml:space="preserve">a </w:t>
      </w:r>
      <w:r w:rsidR="00FA2337" w:rsidRPr="007773D7">
        <w:t xml:space="preserve">common vision </w:t>
      </w:r>
      <w:r w:rsidRPr="007773D7">
        <w:t>should be rooted in the Convention and its subsidiary documents (e.g., the Ethical Principles for Safeguarding Intangible Cultural Heritage</w:t>
      </w:r>
      <w:r w:rsidRPr="007773D7">
        <w:rPr>
          <w:rStyle w:val="FootnoteReference"/>
        </w:rPr>
        <w:footnoteReference w:id="8"/>
      </w:r>
      <w:r w:rsidR="0053695B" w:rsidRPr="007773D7">
        <w:t xml:space="preserve"> </w:t>
      </w:r>
      <w:r w:rsidRPr="007773D7">
        <w:t>and the Operational Directives for its implementation</w:t>
      </w:r>
      <w:r w:rsidR="0053695B" w:rsidRPr="007773D7">
        <w:rPr>
          <w:rStyle w:val="FootnoteReference"/>
        </w:rPr>
        <w:footnoteReference w:id="9"/>
      </w:r>
      <w:r w:rsidRPr="007773D7">
        <w:t>)</w:t>
      </w:r>
      <w:r w:rsidR="0053695B" w:rsidRPr="007773D7">
        <w:t xml:space="preserve">. </w:t>
      </w:r>
      <w:r w:rsidR="00FA2D33" w:rsidRPr="007773D7">
        <w:t xml:space="preserve">The Convention’s Preamble describes the context for the Convention and some of the assumptions shared by its States Parties. </w:t>
      </w:r>
      <w:r w:rsidR="0083621B" w:rsidRPr="007773D7">
        <w:t>Article 1 lists four main purposes of the Convention:</w:t>
      </w:r>
      <w:r w:rsidR="00FA2D33" w:rsidRPr="007773D7">
        <w:t xml:space="preserve"> (a) </w:t>
      </w:r>
      <w:r w:rsidR="0083621B" w:rsidRPr="007773D7">
        <w:t>to safeguard the intangible cultural heritage;</w:t>
      </w:r>
      <w:r w:rsidR="00FA2D33" w:rsidRPr="007773D7">
        <w:rPr>
          <w:rFonts w:eastAsia="Times New Roman"/>
          <w:snapToGrid w:val="0"/>
          <w:lang w:eastAsia="en-US"/>
        </w:rPr>
        <w:t xml:space="preserve"> (b)</w:t>
      </w:r>
      <w:r w:rsidR="0083621B" w:rsidRPr="007773D7">
        <w:t xml:space="preserve"> </w:t>
      </w:r>
      <w:r w:rsidR="003147E4" w:rsidRPr="007773D7">
        <w:t xml:space="preserve">to </w:t>
      </w:r>
      <w:r w:rsidR="0083621B" w:rsidRPr="007773D7">
        <w:t xml:space="preserve">ensure respect for the intangible cultural heritage of the communities, groups and individuals concerned; </w:t>
      </w:r>
      <w:r w:rsidR="00DF240A" w:rsidRPr="007773D7">
        <w:t xml:space="preserve">(c) </w:t>
      </w:r>
      <w:r w:rsidR="0083621B" w:rsidRPr="007773D7">
        <w:t>to raise awareness at the local, national and international levels of the importance of the intangible cultural heritage, and of ensuring mutual appreciation thereof; and</w:t>
      </w:r>
      <w:r w:rsidR="00DF240A" w:rsidRPr="007773D7">
        <w:t xml:space="preserve"> (d) </w:t>
      </w:r>
      <w:r w:rsidR="0083621B" w:rsidRPr="007773D7">
        <w:t>to provide for international cooperation and assistance.</w:t>
      </w:r>
    </w:p>
    <w:p w:rsidR="0083621B" w:rsidRPr="003E3A6A" w:rsidRDefault="00FA2D33" w:rsidP="00DF240A">
      <w:pPr>
        <w:pStyle w:val="COMParaDecision"/>
        <w:spacing w:before="120"/>
        <w:ind w:left="567" w:hanging="567"/>
      </w:pPr>
      <w:r w:rsidRPr="007773D7">
        <w:t xml:space="preserve">The </w:t>
      </w:r>
      <w:r w:rsidR="00DF240A" w:rsidRPr="007773D7">
        <w:t>Convention’s Preamble</w:t>
      </w:r>
      <w:r w:rsidRPr="007773D7">
        <w:t xml:space="preserve"> recognizes intangible cultural heritage as </w:t>
      </w:r>
      <w:r w:rsidR="00DF240A" w:rsidRPr="007773D7">
        <w:t>‘</w:t>
      </w:r>
      <w:r w:rsidRPr="007773D7">
        <w:t xml:space="preserve">a mainspring of cultural diversity and a guarantee of sustainable development’ </w:t>
      </w:r>
      <w:r w:rsidR="00DF240A" w:rsidRPr="007773D7">
        <w:t xml:space="preserve">and as </w:t>
      </w:r>
      <w:r w:rsidRPr="007773D7">
        <w:t xml:space="preserve">a ‘factor in bringing </w:t>
      </w:r>
      <w:r w:rsidRPr="007773D7">
        <w:lastRenderedPageBreak/>
        <w:t xml:space="preserve">human beings closer together and ensuring exchange and understanding among them’. It insists upon the central role of ‘communities, particularly indigenous communities, groups and, in some cases, individuals’ in safeguarding intangible cultural heritage, </w:t>
      </w:r>
      <w:r w:rsidR="00DF240A" w:rsidRPr="007773D7">
        <w:t>through which they enrich</w:t>
      </w:r>
      <w:r w:rsidRPr="007773D7">
        <w:t xml:space="preserve"> </w:t>
      </w:r>
      <w:r w:rsidR="00DF240A" w:rsidRPr="007773D7">
        <w:t>‘</w:t>
      </w:r>
      <w:r w:rsidRPr="007773D7">
        <w:t>cultural diversity and human creativity</w:t>
      </w:r>
      <w:r w:rsidR="00DF240A" w:rsidRPr="007773D7">
        <w:t>’</w:t>
      </w:r>
      <w:r w:rsidRPr="007773D7">
        <w:t xml:space="preserve">. </w:t>
      </w:r>
      <w:r w:rsidR="00DF240A" w:rsidRPr="007773D7">
        <w:t>Both</w:t>
      </w:r>
      <w:r w:rsidRPr="007773D7">
        <w:t xml:space="preserve"> </w:t>
      </w:r>
      <w:r w:rsidR="003147E4" w:rsidRPr="007773D7">
        <w:t xml:space="preserve">the </w:t>
      </w:r>
      <w:r w:rsidRPr="007773D7">
        <w:t xml:space="preserve">purposes of the Convention </w:t>
      </w:r>
      <w:r w:rsidR="003147E4" w:rsidRPr="007773D7">
        <w:t xml:space="preserve">as defined </w:t>
      </w:r>
      <w:r w:rsidRPr="007773D7">
        <w:t xml:space="preserve">in Article 1 </w:t>
      </w:r>
      <w:r w:rsidR="00DF240A" w:rsidRPr="007773D7">
        <w:t xml:space="preserve">and the </w:t>
      </w:r>
      <w:r w:rsidR="003147E4" w:rsidRPr="007773D7">
        <w:t xml:space="preserve">larger goals expressed in the </w:t>
      </w:r>
      <w:r w:rsidR="00DF240A" w:rsidRPr="007773D7">
        <w:t xml:space="preserve">Convention’s Preamble are ambitious and wide-ranging and </w:t>
      </w:r>
      <w:r w:rsidR="007E0423" w:rsidRPr="007773D7">
        <w:t xml:space="preserve">must </w:t>
      </w:r>
      <w:r w:rsidR="00DF240A" w:rsidRPr="007773D7">
        <w:t xml:space="preserve">therefore find themselves at the highest level of an overall results framework for the Convention. In determining the scope of that framework, one of the critical questions is whether to </w:t>
      </w:r>
      <w:r w:rsidR="003147E4" w:rsidRPr="007773D7">
        <w:t xml:space="preserve">consider </w:t>
      </w:r>
      <w:r w:rsidR="00DF240A" w:rsidRPr="007773D7">
        <w:t xml:space="preserve">the purposes of the Convention </w:t>
      </w:r>
      <w:r w:rsidR="0083621B" w:rsidRPr="007773D7">
        <w:t>as ‘</w:t>
      </w:r>
      <w:r w:rsidR="0083621B" w:rsidRPr="005611EC">
        <w:t xml:space="preserve">impact’, </w:t>
      </w:r>
      <w:r w:rsidR="00DF240A" w:rsidRPr="005611EC">
        <w:t>understanding that</w:t>
      </w:r>
      <w:r w:rsidR="0083621B" w:rsidRPr="005611EC">
        <w:t xml:space="preserve"> these are the changes in people’s lives that</w:t>
      </w:r>
      <w:r w:rsidR="003147E4" w:rsidRPr="005611EC">
        <w:t xml:space="preserve"> the Convention might</w:t>
      </w:r>
      <w:r w:rsidR="0083621B" w:rsidRPr="005611EC">
        <w:t>, ultimately, produce, or as ‘</w:t>
      </w:r>
      <w:r w:rsidR="005611EC" w:rsidRPr="003E3A6A">
        <w:t>long-term</w:t>
      </w:r>
      <w:r w:rsidR="0083621B" w:rsidRPr="005611EC">
        <w:t xml:space="preserve"> outcomes’ if considered as ‘changes in the institutional and behavioural capacities’ </w:t>
      </w:r>
      <w:r w:rsidR="0077578F" w:rsidRPr="00757651">
        <w:t xml:space="preserve">likely to have </w:t>
      </w:r>
      <w:r w:rsidR="003147E4" w:rsidRPr="00757651">
        <w:t xml:space="preserve">larger </w:t>
      </w:r>
      <w:r w:rsidR="0077578F" w:rsidRPr="00757651">
        <w:t xml:space="preserve">potential impacts </w:t>
      </w:r>
      <w:r w:rsidR="009F6EF4" w:rsidRPr="00757651">
        <w:t xml:space="preserve">in </w:t>
      </w:r>
      <w:r w:rsidR="0077578F" w:rsidRPr="008A7E50">
        <w:t xml:space="preserve">improving the lives and well-being of the world’s people. </w:t>
      </w:r>
      <w:r w:rsidR="009F6EF4" w:rsidRPr="008A7E50">
        <w:t xml:space="preserve">In other words, </w:t>
      </w:r>
      <w:r w:rsidR="003147E4" w:rsidRPr="003E3A6A">
        <w:t xml:space="preserve">does </w:t>
      </w:r>
      <w:r w:rsidR="009F6EF4" w:rsidRPr="003E3A6A">
        <w:rPr>
          <w:bCs/>
        </w:rPr>
        <w:t xml:space="preserve">success in implementing the Convention </w:t>
      </w:r>
      <w:r w:rsidR="003147E4" w:rsidRPr="003E3A6A">
        <w:rPr>
          <w:bCs/>
        </w:rPr>
        <w:t>end with</w:t>
      </w:r>
      <w:r w:rsidR="009F6EF4" w:rsidRPr="003E3A6A">
        <w:rPr>
          <w:bCs/>
        </w:rPr>
        <w:t xml:space="preserve"> safeguarding</w:t>
      </w:r>
      <w:r w:rsidR="003147E4" w:rsidRPr="003E3A6A">
        <w:rPr>
          <w:bCs/>
        </w:rPr>
        <w:t>, or are there broader effects also to be considered</w:t>
      </w:r>
      <w:r w:rsidR="009F6EF4" w:rsidRPr="003E3A6A">
        <w:rPr>
          <w:bCs/>
        </w:rPr>
        <w:t>?</w:t>
      </w:r>
    </w:p>
    <w:p w:rsidR="00D37333" w:rsidRPr="007773D7" w:rsidRDefault="009F6EF4" w:rsidP="0091370F">
      <w:pPr>
        <w:pStyle w:val="COMParaDecision"/>
        <w:spacing w:before="120"/>
        <w:ind w:left="567" w:hanging="567"/>
      </w:pPr>
      <w:r w:rsidRPr="007773D7">
        <w:t>Many participants felt that communities, groups and, in some cases, individuals benefit from safeguarding, alongside broader social, environmental and economic benefit</w:t>
      </w:r>
      <w:r w:rsidR="0017513A">
        <w:t>s</w:t>
      </w:r>
      <w:r w:rsidRPr="007773D7">
        <w:t xml:space="preserve"> which therefore constitute an important part of a vision of success in implementing the Convention.</w:t>
      </w:r>
      <w:r w:rsidR="0091370F" w:rsidRPr="007773D7">
        <w:t xml:space="preserve"> </w:t>
      </w:r>
      <w:r w:rsidR="0082474D" w:rsidRPr="007773D7">
        <w:t>The question is whether</w:t>
      </w:r>
      <w:r w:rsidR="0048603B" w:rsidRPr="007773D7">
        <w:t>,</w:t>
      </w:r>
      <w:r w:rsidR="0082474D" w:rsidRPr="007773D7">
        <w:t xml:space="preserve"> when monitoring the Convention, it is appropriate to be interested in its potential impact beyond its explicit purposes</w:t>
      </w:r>
      <w:r w:rsidR="003147E4" w:rsidRPr="007773D7">
        <w:t xml:space="preserve"> (leaving aside any question of whether the communities, groups or individuals engaged in safeguarding their intangible cultural heritage deliberately intend such safeguarding as a means to achieve those larger benefits)</w:t>
      </w:r>
      <w:r w:rsidR="00DA1D7D">
        <w:t>.</w:t>
      </w:r>
    </w:p>
    <w:p w:rsidR="00EB6577" w:rsidRPr="007773D7" w:rsidRDefault="0048603B" w:rsidP="00294E1A">
      <w:pPr>
        <w:pStyle w:val="COMParaDecision"/>
        <w:spacing w:before="120"/>
        <w:ind w:left="567" w:hanging="567"/>
      </w:pPr>
      <w:r w:rsidRPr="007773D7">
        <w:t>A related question is w</w:t>
      </w:r>
      <w:r w:rsidR="0091370F" w:rsidRPr="007773D7">
        <w:t>ho should define what these benefits might be</w:t>
      </w:r>
      <w:r w:rsidRPr="007773D7">
        <w:t xml:space="preserve">. </w:t>
      </w:r>
      <w:r w:rsidR="0091370F" w:rsidRPr="007773D7">
        <w:t xml:space="preserve">Not all </w:t>
      </w:r>
      <w:r w:rsidRPr="007773D7">
        <w:t>intangible cultural heritage</w:t>
      </w:r>
      <w:r w:rsidR="0091370F" w:rsidRPr="007773D7">
        <w:t xml:space="preserve"> is practised for the same reasons, nor does it all produce the same level or kind of benefit to </w:t>
      </w:r>
      <w:r w:rsidR="00D57961" w:rsidRPr="007773D7">
        <w:t>its bearers</w:t>
      </w:r>
      <w:r w:rsidR="0091370F" w:rsidRPr="007773D7">
        <w:t xml:space="preserve">, or to broader society. </w:t>
      </w:r>
      <w:r w:rsidR="00EB6577" w:rsidRPr="007773D7">
        <w:t xml:space="preserve">Several kinds of general benefits were identified as part of a common vision of success under the Convention. These included </w:t>
      </w:r>
      <w:r w:rsidR="00EB6577" w:rsidRPr="00CF3EAB">
        <w:rPr>
          <w:color w:val="000000"/>
        </w:rPr>
        <w:t xml:space="preserve">cultural diversity, human dignity, mutual respect, </w:t>
      </w:r>
      <w:r w:rsidR="00EB6577" w:rsidRPr="007773D7">
        <w:t>quality of life, self-esteem, intercultural dialogue, social cohesion and inclusiveness,</w:t>
      </w:r>
      <w:r w:rsidR="00EB6577" w:rsidRPr="00CF3EAB">
        <w:rPr>
          <w:color w:val="000000"/>
        </w:rPr>
        <w:t xml:space="preserve"> sustainable development and peace. The benefits enjoyed by </w:t>
      </w:r>
      <w:r w:rsidR="00EB6577" w:rsidRPr="007773D7">
        <w:t xml:space="preserve">communities, groups and, in some cases, individuals </w:t>
      </w:r>
      <w:r w:rsidR="00EB6577" w:rsidRPr="00CF3EAB">
        <w:rPr>
          <w:color w:val="000000"/>
        </w:rPr>
        <w:t xml:space="preserve">and society as a whole </w:t>
      </w:r>
      <w:r w:rsidR="0000768B" w:rsidRPr="00CF3EAB">
        <w:rPr>
          <w:color w:val="000000"/>
        </w:rPr>
        <w:t xml:space="preserve">can therefore be considered </w:t>
      </w:r>
      <w:r w:rsidR="00EB6577" w:rsidRPr="00CF3EAB">
        <w:rPr>
          <w:color w:val="000000"/>
        </w:rPr>
        <w:t xml:space="preserve">both </w:t>
      </w:r>
      <w:r w:rsidR="0000768B" w:rsidRPr="00CF3EAB">
        <w:rPr>
          <w:color w:val="000000"/>
        </w:rPr>
        <w:t xml:space="preserve">as </w:t>
      </w:r>
      <w:r w:rsidR="00EB6577" w:rsidRPr="00CF3EAB">
        <w:rPr>
          <w:color w:val="000000"/>
        </w:rPr>
        <w:t xml:space="preserve">possible results of intangible cultural heritage safeguarding as well as </w:t>
      </w:r>
      <w:r w:rsidR="0000768B" w:rsidRPr="00CF3EAB">
        <w:rPr>
          <w:color w:val="000000"/>
        </w:rPr>
        <w:t xml:space="preserve">incentives </w:t>
      </w:r>
      <w:r w:rsidR="00EB6577" w:rsidRPr="00CF3EAB">
        <w:rPr>
          <w:color w:val="000000"/>
        </w:rPr>
        <w:t>for further safeguarding</w:t>
      </w:r>
      <w:r w:rsidR="0000768B" w:rsidRPr="00CF3EAB">
        <w:rPr>
          <w:color w:val="000000"/>
        </w:rPr>
        <w:t>, as people see their safeguarding efforts contribute to an improved life for themselves and their communities</w:t>
      </w:r>
      <w:r w:rsidR="00EB6577" w:rsidRPr="00CF3EAB">
        <w:rPr>
          <w:color w:val="000000"/>
        </w:rPr>
        <w:t>.</w:t>
      </w:r>
    </w:p>
    <w:p w:rsidR="00F22A78" w:rsidRPr="00031D2D" w:rsidRDefault="00BD1C92" w:rsidP="00AF21DD">
      <w:pPr>
        <w:pStyle w:val="COMParaDecision"/>
        <w:spacing w:before="120"/>
        <w:ind w:left="567" w:hanging="567"/>
      </w:pPr>
      <w:r w:rsidRPr="007773D7">
        <w:t xml:space="preserve">Dialogue about safeguarding intangible cultural heritage may also contribute to, and benefit from, conflict management through intercultural dialogue. A number of measures are recommended in the Convention and its subordinate texts (e.g. </w:t>
      </w:r>
      <w:r w:rsidR="001E2ECD" w:rsidRPr="007773D7">
        <w:t xml:space="preserve">Operational </w:t>
      </w:r>
      <w:r w:rsidRPr="007773D7">
        <w:t>D</w:t>
      </w:r>
      <w:r w:rsidR="001E2ECD" w:rsidRPr="007773D7">
        <w:t>irectives</w:t>
      </w:r>
      <w:r w:rsidRPr="007773D7">
        <w:t xml:space="preserve"> 79-89) to help establish effective working relationships between communities, groups and individuals and stakeholders (including State agencies) for safeguarding. International cooperation and assistance is encouraged for safeguarding cross-border intangible cultural heritage. Thus, participants, identified good, participatory governance and strengthening of active citizenship at local, national and international levels as important </w:t>
      </w:r>
      <w:r w:rsidR="007E0423" w:rsidRPr="007773D7">
        <w:t xml:space="preserve">long-term </w:t>
      </w:r>
      <w:r w:rsidRPr="007773D7">
        <w:t>outcomes that promoted intercultural dialogue</w:t>
      </w:r>
      <w:r w:rsidR="00DA1D7D">
        <w:t>.</w:t>
      </w:r>
    </w:p>
    <w:p w:rsidR="00BD1C92" w:rsidRPr="007773D7" w:rsidRDefault="00CA4BFD" w:rsidP="002D7EB2">
      <w:pPr>
        <w:pStyle w:val="COMParaDecision"/>
        <w:spacing w:before="120"/>
        <w:ind w:left="567" w:hanging="567"/>
      </w:pPr>
      <w:r w:rsidRPr="007773D7">
        <w:t>In the spirit of the Convention, communities, groups and, in some cases, individuals are those deciding on the meaning and value of their intangible cultural heritage and their reasons for safeguarding it.</w:t>
      </w:r>
      <w:r w:rsidR="00BD1C92" w:rsidRPr="007773D7">
        <w:t xml:space="preserve"> Thus, even where there is agreement at the international or national levels about benefits, it may be necessary to explore sensitively with communities </w:t>
      </w:r>
      <w:r w:rsidR="001E2ECD" w:rsidRPr="007773D7">
        <w:t xml:space="preserve">what they themselves </w:t>
      </w:r>
      <w:r w:rsidR="00BD1C92" w:rsidRPr="007773D7">
        <w:t xml:space="preserve">consider to be benefits from </w:t>
      </w:r>
      <w:r w:rsidR="001C4685" w:rsidRPr="007773D7">
        <w:t>intangible cultural heritage</w:t>
      </w:r>
      <w:r w:rsidR="00BD1C92" w:rsidRPr="007773D7">
        <w:t xml:space="preserve"> safeguarding when the results framework is used at the local level. This </w:t>
      </w:r>
      <w:r w:rsidR="00654469">
        <w:t>could</w:t>
      </w:r>
      <w:r w:rsidR="00654469" w:rsidRPr="007773D7">
        <w:t xml:space="preserve"> </w:t>
      </w:r>
      <w:r w:rsidR="00BD1C92" w:rsidRPr="007773D7">
        <w:t>be done by adjusting the results framew</w:t>
      </w:r>
      <w:r w:rsidR="00DA1D7D">
        <w:t>ork template to local contexts.</w:t>
      </w:r>
    </w:p>
    <w:p w:rsidR="00EB6577" w:rsidRPr="007773D7" w:rsidRDefault="007C56E5" w:rsidP="004D375A">
      <w:pPr>
        <w:pStyle w:val="Heading4"/>
      </w:pPr>
      <w:r w:rsidRPr="007773D7">
        <w:lastRenderedPageBreak/>
        <w:t>Designing a r</w:t>
      </w:r>
      <w:r w:rsidR="00F97448" w:rsidRPr="007773D7">
        <w:t>esults map</w:t>
      </w:r>
    </w:p>
    <w:p w:rsidR="0038139F" w:rsidRPr="007773D7" w:rsidRDefault="0038139F" w:rsidP="007C1A8B">
      <w:pPr>
        <w:pStyle w:val="COMParaDecision"/>
        <w:keepLines/>
        <w:spacing w:before="120"/>
        <w:ind w:left="567" w:hanging="567"/>
      </w:pPr>
      <w:r w:rsidRPr="007773D7">
        <w:t xml:space="preserve">The possible results map in the Annex </w:t>
      </w:r>
      <w:r w:rsidR="00084576" w:rsidRPr="007773D7">
        <w:t>reflects</w:t>
      </w:r>
      <w:r w:rsidRPr="007773D7">
        <w:t xml:space="preserve"> the comments of the participants in the preliminary expert meeting</w:t>
      </w:r>
      <w:r w:rsidR="00084576" w:rsidRPr="007773D7">
        <w:t>, based upon th</w:t>
      </w:r>
      <w:r w:rsidR="00AC1816" w:rsidRPr="007773D7">
        <w:t xml:space="preserve">at meeting’s working documents. Certain </w:t>
      </w:r>
      <w:r w:rsidR="00AC1816" w:rsidRPr="005611EC">
        <w:t xml:space="preserve">participants deemed that achieving the purposes of the Convention set out in Article 1 should be considered as the Convention’s ultimate impact, while other participants saw the achievement of these Article 1 purposes as </w:t>
      </w:r>
      <w:r w:rsidR="005611EC" w:rsidRPr="003E3A6A">
        <w:t>long-term</w:t>
      </w:r>
      <w:r w:rsidR="00AC1816" w:rsidRPr="005611EC">
        <w:t xml:space="preserve"> outcomes contributing in their turn to larger impacts as set out in the Preamble; the annex below </w:t>
      </w:r>
      <w:r w:rsidR="00654469" w:rsidRPr="00757651">
        <w:t>accommodates both perspectives</w:t>
      </w:r>
      <w:r w:rsidR="00AC1816" w:rsidRPr="008A7E50">
        <w:t>.</w:t>
      </w:r>
    </w:p>
    <w:p w:rsidR="000E573B" w:rsidRPr="003E3A6A" w:rsidRDefault="0038139F" w:rsidP="000E573B">
      <w:pPr>
        <w:pStyle w:val="COMParaDecision"/>
        <w:spacing w:before="120"/>
        <w:ind w:left="567" w:hanging="567"/>
      </w:pPr>
      <w:r w:rsidRPr="005611EC">
        <w:t xml:space="preserve">One of the challenges in developing a results map is that it has to perform a number of different functions. On the one hand, it is a ‘thinking tool’ to start talking about sequencing inputs and outcomes, and to begin questioning </w:t>
      </w:r>
      <w:r w:rsidRPr="00757651">
        <w:t>assumptions and identifying risks. On the other hand, it may be used by various stakeholders as an advocacy tool, or to develop their own results framework. It is therefore also conceivably to be used as a planning and communic</w:t>
      </w:r>
      <w:r w:rsidRPr="008A7E50">
        <w:t>ation tool at very different international, national and local levels. These functions may exist in tension with each other.</w:t>
      </w:r>
      <w:r w:rsidRPr="005611EC">
        <w:rPr>
          <w:vertAlign w:val="superscript"/>
        </w:rPr>
        <w:footnoteReference w:id="10"/>
      </w:r>
      <w:r w:rsidR="000E573B" w:rsidRPr="005611EC">
        <w:rPr>
          <w:vertAlign w:val="superscript"/>
        </w:rPr>
        <w:t xml:space="preserve"> </w:t>
      </w:r>
      <w:r w:rsidR="00D46017" w:rsidRPr="005611EC">
        <w:t xml:space="preserve">Discussion on the results map focused on how to define </w:t>
      </w:r>
      <w:r w:rsidR="005611EC" w:rsidRPr="003E3A6A">
        <w:t>long</w:t>
      </w:r>
      <w:r w:rsidR="00D46017" w:rsidRPr="005611EC">
        <w:t>-</w:t>
      </w:r>
      <w:r w:rsidR="005611EC" w:rsidRPr="003E3A6A">
        <w:t>term</w:t>
      </w:r>
      <w:r w:rsidR="005611EC" w:rsidRPr="005611EC">
        <w:t xml:space="preserve"> </w:t>
      </w:r>
      <w:r w:rsidR="00D46017" w:rsidRPr="005611EC">
        <w:t xml:space="preserve">outcomes and impact, especially the more general benefits associated with </w:t>
      </w:r>
      <w:r w:rsidR="001C45C1" w:rsidRPr="00757651">
        <w:t>intangible cultural heritage</w:t>
      </w:r>
      <w:r w:rsidR="00D46017" w:rsidRPr="00757651">
        <w:t xml:space="preserve"> safeguarding discussed above, and their relationship to </w:t>
      </w:r>
      <w:r w:rsidR="001C45C1" w:rsidRPr="00757651">
        <w:t>it</w:t>
      </w:r>
      <w:r w:rsidR="00D46017" w:rsidRPr="008A7E50">
        <w:t xml:space="preserve">. </w:t>
      </w:r>
      <w:r w:rsidR="000E573B" w:rsidRPr="008A7E50">
        <w:t>The current scarcity of data</w:t>
      </w:r>
      <w:r w:rsidR="00D46017" w:rsidRPr="003E3A6A">
        <w:t xml:space="preserve"> on the relationship between </w:t>
      </w:r>
      <w:r w:rsidR="001C45C1" w:rsidRPr="003E3A6A">
        <w:t>intangible cultural heritage</w:t>
      </w:r>
      <w:r w:rsidR="00D46017" w:rsidRPr="003E3A6A">
        <w:t xml:space="preserve"> safeguarding and these benefits </w:t>
      </w:r>
      <w:r w:rsidR="000E573B" w:rsidRPr="003E3A6A">
        <w:t xml:space="preserve">places the proposed results map </w:t>
      </w:r>
      <w:r w:rsidR="00084576" w:rsidRPr="003E3A6A">
        <w:t xml:space="preserve">midway </w:t>
      </w:r>
      <w:r w:rsidR="000E573B" w:rsidRPr="003E3A6A">
        <w:t xml:space="preserve">between </w:t>
      </w:r>
      <w:r w:rsidR="00084576" w:rsidRPr="003E3A6A">
        <w:t xml:space="preserve">an </w:t>
      </w:r>
      <w:r w:rsidR="000E573B" w:rsidRPr="003E3A6A">
        <w:t>advocacy tool and a thinking tool. Furthermore, more discussion will be needed about how the results map could be used as a planning tool, where the focus at national and local levels will perhaps be more on collecting data about inputs, activities and outcomes than determining the contribution of intangible cultural heritage safeguarding to broader benefits such as peace.</w:t>
      </w:r>
    </w:p>
    <w:p w:rsidR="0038139F" w:rsidRPr="003E3A6A" w:rsidRDefault="00CD0C0B" w:rsidP="00A31216">
      <w:pPr>
        <w:pStyle w:val="COMParaDecision"/>
        <w:spacing w:before="120"/>
        <w:ind w:left="567" w:hanging="567"/>
      </w:pPr>
      <w:r w:rsidRPr="003E3A6A">
        <w:t xml:space="preserve">Implementing the Convention is not a single programme carried out by one organization, but a number of actions undertaken under the umbrella of a normative instrument by different stakeholders at international, national and local levels. The results map in the annex </w:t>
      </w:r>
      <w:r w:rsidR="00084576" w:rsidRPr="003E3A6A">
        <w:t xml:space="preserve">thus </w:t>
      </w:r>
      <w:r w:rsidRPr="003E3A6A">
        <w:t>provides a basic structure that, if further developed in an overall results framework and endorsed by the governing bodies of the Convention, can be broken down into specific results frameworks used by different stakeholders for implementing the Convention at international, national and local levels.</w:t>
      </w:r>
      <w:r w:rsidR="00A31216" w:rsidRPr="003E3A6A">
        <w:t xml:space="preserve"> The overall results framework will therefore represent </w:t>
      </w:r>
      <w:r w:rsidR="005611EC" w:rsidRPr="003E3A6A">
        <w:t>long-term</w:t>
      </w:r>
      <w:r w:rsidR="00A31216" w:rsidRPr="005611EC">
        <w:t xml:space="preserve"> outcomes and impacts </w:t>
      </w:r>
      <w:r w:rsidR="00084576" w:rsidRPr="005611EC">
        <w:t xml:space="preserve">agreed to be </w:t>
      </w:r>
      <w:r w:rsidR="00A31216" w:rsidRPr="005611EC">
        <w:t xml:space="preserve">relevant </w:t>
      </w:r>
      <w:r w:rsidR="00084576" w:rsidRPr="005611EC">
        <w:t xml:space="preserve">by </w:t>
      </w:r>
      <w:r w:rsidR="00A31216" w:rsidRPr="005611EC">
        <w:t>all, or most, stakeholders.</w:t>
      </w:r>
      <w:r w:rsidR="007E0423" w:rsidRPr="00757651">
        <w:t xml:space="preserve"> Indeed the </w:t>
      </w:r>
      <w:r w:rsidR="00084576" w:rsidRPr="00757651">
        <w:t xml:space="preserve">objective </w:t>
      </w:r>
      <w:r w:rsidR="007E0423" w:rsidRPr="00757651">
        <w:t>of monitoring the implementation of the Convention is not simply to determine whether States Parties have complied with their obligations un</w:t>
      </w:r>
      <w:r w:rsidR="007E0423" w:rsidRPr="008A7E50">
        <w:t>der the Convention, but to see whether their actions have contributed to the common vision of success under the Convention.</w:t>
      </w:r>
    </w:p>
    <w:p w:rsidR="003C21D4" w:rsidRPr="007773D7" w:rsidRDefault="007E0423" w:rsidP="003C21D4">
      <w:pPr>
        <w:pStyle w:val="COMParaDecision"/>
        <w:spacing w:before="120"/>
        <w:ind w:left="567" w:hanging="567"/>
      </w:pPr>
      <w:r w:rsidRPr="007773D7">
        <w:t xml:space="preserve">The Convention recognizes that the actions of communities, groups and, in some cases, individuals are central in intangible cultural heritage safeguarding because </w:t>
      </w:r>
      <w:r w:rsidR="00084576" w:rsidRPr="007773D7">
        <w:t xml:space="preserve">it is they who are </w:t>
      </w:r>
      <w:r w:rsidRPr="007773D7">
        <w:t xml:space="preserve">responsible for </w:t>
      </w:r>
      <w:r w:rsidR="00630B2C" w:rsidRPr="007773D7">
        <w:t xml:space="preserve">the </w:t>
      </w:r>
      <w:r w:rsidRPr="007773D7">
        <w:t xml:space="preserve">ongoing practice and transmission of their </w:t>
      </w:r>
      <w:r w:rsidR="00630B2C" w:rsidRPr="007773D7">
        <w:t>intangible cultural heritage</w:t>
      </w:r>
      <w:r w:rsidRPr="007773D7">
        <w:t>.</w:t>
      </w:r>
      <w:r w:rsidR="00964A33" w:rsidRPr="007773D7">
        <w:t xml:space="preserve"> The overall results framework will therefore need to be flexible enough to be adapted by communities, groups and, in some cases, individuals to meet local needs.</w:t>
      </w:r>
      <w:r w:rsidR="003C21D4" w:rsidRPr="007773D7">
        <w:t xml:space="preserve"> Indeed, some communities, groups and, in some cases, individuals may nevertheless wish to use a results framework to help plan, monitor and evaluate safeguarding activities, especially when they are being assisted by other stakeholders such as UNESCO, States, researchers, civil society organizations and non-governmental organizations operating within the framework of the Convention.</w:t>
      </w:r>
      <w:r w:rsidR="00A42005" w:rsidRPr="007773D7">
        <w:t xml:space="preserve"> To apply the overall results framework, proponents at the local level will need to populate it with information describing how they propose to achieve intangible cultural heritage safeguarding in their own circumstances and context.</w:t>
      </w:r>
    </w:p>
    <w:p w:rsidR="003C21D4" w:rsidRPr="007773D7" w:rsidRDefault="003C21D4" w:rsidP="00585A1E">
      <w:pPr>
        <w:pStyle w:val="Heading4"/>
      </w:pPr>
      <w:r w:rsidRPr="007773D7">
        <w:lastRenderedPageBreak/>
        <w:t>Identifying indicators</w:t>
      </w:r>
    </w:p>
    <w:p w:rsidR="003C21D4" w:rsidRPr="007773D7" w:rsidRDefault="003C21D4" w:rsidP="003C21D4">
      <w:pPr>
        <w:pStyle w:val="COMParaDecision"/>
        <w:spacing w:before="120"/>
        <w:ind w:left="567" w:hanging="567"/>
      </w:pPr>
      <w:r w:rsidRPr="007773D7">
        <w:t xml:space="preserve">A results framework may offer a suite or ‘basket’ of indicators from which stakeholders may later select appropriate measurement tools for monitoring progress at international, national or local levels. The meeting did not address in detail the question of indicators in order not to </w:t>
      </w:r>
      <w:r w:rsidR="00CB663C" w:rsidRPr="007773D7">
        <w:t>narrow</w:t>
      </w:r>
      <w:r w:rsidRPr="007773D7">
        <w:t xml:space="preserve">, at this stage, the discussion about the </w:t>
      </w:r>
      <w:r w:rsidR="00CB663C" w:rsidRPr="007773D7">
        <w:t>expected</w:t>
      </w:r>
      <w:r w:rsidRPr="007773D7">
        <w:t xml:space="preserve"> results for the Convention </w:t>
      </w:r>
      <w:r w:rsidR="00CB663C" w:rsidRPr="007773D7">
        <w:t>down to</w:t>
      </w:r>
      <w:r w:rsidRPr="007773D7">
        <w:t xml:space="preserve"> the feasibility of measur</w:t>
      </w:r>
      <w:r w:rsidR="00CB663C" w:rsidRPr="007773D7">
        <w:t>ing</w:t>
      </w:r>
      <w:r w:rsidRPr="007773D7">
        <w:t>.</w:t>
      </w:r>
      <w:r w:rsidR="00CB663C" w:rsidRPr="007773D7">
        <w:t xml:space="preserve"> </w:t>
      </w:r>
      <w:r w:rsidRPr="007773D7">
        <w:t xml:space="preserve">Session 5 of the meeting </w:t>
      </w:r>
      <w:r w:rsidR="00084576" w:rsidRPr="007773D7">
        <w:t xml:space="preserve">nevertheless </w:t>
      </w:r>
      <w:r w:rsidRPr="007773D7">
        <w:t xml:space="preserve">provided some information about indicators, and a discussion of existing indicators that may </w:t>
      </w:r>
      <w:r w:rsidR="00084576" w:rsidRPr="007773D7">
        <w:t xml:space="preserve">be </w:t>
      </w:r>
      <w:r w:rsidRPr="007773D7">
        <w:t xml:space="preserve">relevant to the </w:t>
      </w:r>
      <w:r w:rsidR="00CB663C" w:rsidRPr="007773D7">
        <w:t>development of an overall results framework for the Convention</w:t>
      </w:r>
      <w:r w:rsidR="00DA1D7D">
        <w:t>.</w:t>
      </w:r>
    </w:p>
    <w:p w:rsidR="00CB663C" w:rsidRPr="007773D7" w:rsidRDefault="00CB663C" w:rsidP="00E26C7A">
      <w:pPr>
        <w:pStyle w:val="COMParaDecision"/>
        <w:keepNext/>
        <w:spacing w:before="120"/>
        <w:ind w:left="567" w:hanging="567"/>
      </w:pPr>
      <w:r w:rsidRPr="007773D7">
        <w:t>In order to identify appropriate indicators, a stakeholder should identify the measurable aspects of the results map element they wish to measure. There are three main types of indicator:</w:t>
      </w:r>
    </w:p>
    <w:p w:rsidR="00CB663C" w:rsidRPr="007773D7" w:rsidRDefault="00CB663C" w:rsidP="00DA1D7D">
      <w:pPr>
        <w:pStyle w:val="COMParaDecision"/>
        <w:numPr>
          <w:ilvl w:val="0"/>
          <w:numId w:val="7"/>
        </w:numPr>
        <w:ind w:left="993" w:hanging="426"/>
      </w:pPr>
      <w:r w:rsidRPr="007773D7">
        <w:t>Quantitative: anything that may be counted – most often used for inputs, activities and outputs</w:t>
      </w:r>
    </w:p>
    <w:p w:rsidR="00CB663C" w:rsidRPr="007773D7" w:rsidRDefault="00CB663C" w:rsidP="00DA1D7D">
      <w:pPr>
        <w:pStyle w:val="COMParaDecision"/>
        <w:numPr>
          <w:ilvl w:val="0"/>
          <w:numId w:val="7"/>
        </w:numPr>
        <w:ind w:left="993" w:hanging="426"/>
      </w:pPr>
      <w:r w:rsidRPr="007773D7">
        <w:t>Qualitative: anything that may be judged (often using numeric ratings) – most often used for outcomes and impacts</w:t>
      </w:r>
    </w:p>
    <w:p w:rsidR="00CB663C" w:rsidRPr="007773D7" w:rsidRDefault="00CB663C" w:rsidP="00DA1D7D">
      <w:pPr>
        <w:pStyle w:val="COMParaDecision"/>
        <w:numPr>
          <w:ilvl w:val="0"/>
          <w:numId w:val="7"/>
        </w:numPr>
        <w:ind w:left="993" w:hanging="426"/>
      </w:pPr>
      <w:r w:rsidRPr="007773D7">
        <w:t>Proxy: using something measurable to indicate results for something difficult to measure directly – e.g. failure rate for quality of delivery</w:t>
      </w:r>
    </w:p>
    <w:p w:rsidR="00CB663C" w:rsidRPr="007773D7" w:rsidRDefault="00CB663C" w:rsidP="000E2F4E">
      <w:pPr>
        <w:pStyle w:val="COMParaDecision"/>
        <w:keepNext/>
        <w:spacing w:before="120"/>
        <w:ind w:left="567" w:hanging="567"/>
      </w:pPr>
      <w:r w:rsidRPr="007773D7">
        <w:t xml:space="preserve">Where possible, stakeholders should choose an indicator that already exists. It will have been tested and will potentially enable comparability. It is important to create a new indicator </w:t>
      </w:r>
      <w:r w:rsidR="00084576" w:rsidRPr="007773D7">
        <w:t xml:space="preserve">only </w:t>
      </w:r>
      <w:r w:rsidRPr="007773D7">
        <w:t xml:space="preserve">when there is </w:t>
      </w:r>
      <w:r w:rsidR="00084576" w:rsidRPr="007773D7">
        <w:t xml:space="preserve">no </w:t>
      </w:r>
      <w:r w:rsidRPr="007773D7">
        <w:t xml:space="preserve">other one </w:t>
      </w:r>
      <w:r w:rsidR="00084576" w:rsidRPr="007773D7">
        <w:t xml:space="preserve">that </w:t>
      </w:r>
      <w:r w:rsidRPr="007773D7">
        <w:t>can serve their purpose. Appropriateness of an indicator can be tested against the following criteria:</w:t>
      </w:r>
    </w:p>
    <w:p w:rsidR="00CB663C" w:rsidRPr="007773D7" w:rsidRDefault="00CB663C" w:rsidP="00DA1D7D">
      <w:pPr>
        <w:pStyle w:val="COMParaDecision"/>
        <w:keepNext/>
        <w:numPr>
          <w:ilvl w:val="0"/>
          <w:numId w:val="8"/>
        </w:numPr>
        <w:ind w:left="993" w:hanging="426"/>
      </w:pPr>
      <w:r w:rsidRPr="007773D7">
        <w:t>Will it adequately describe the result or condition in clear terms?</w:t>
      </w:r>
    </w:p>
    <w:p w:rsidR="00CB663C" w:rsidRPr="007773D7" w:rsidRDefault="00CB663C" w:rsidP="00DA1D7D">
      <w:pPr>
        <w:pStyle w:val="COMParaDecision"/>
        <w:numPr>
          <w:ilvl w:val="0"/>
          <w:numId w:val="8"/>
        </w:numPr>
        <w:ind w:left="993" w:hanging="426"/>
      </w:pPr>
      <w:r w:rsidRPr="007773D7">
        <w:t xml:space="preserve">Will it </w:t>
      </w:r>
      <w:r w:rsidR="00DA1D7D">
        <w:t>provide sufficient information?</w:t>
      </w:r>
    </w:p>
    <w:p w:rsidR="00CB663C" w:rsidRPr="007773D7" w:rsidRDefault="002503B8" w:rsidP="00DA1D7D">
      <w:pPr>
        <w:pStyle w:val="COMParaDecision"/>
        <w:numPr>
          <w:ilvl w:val="0"/>
          <w:numId w:val="8"/>
        </w:numPr>
        <w:ind w:left="993" w:hanging="426"/>
      </w:pPr>
      <w:r>
        <w:t>Will data be available?</w:t>
      </w:r>
    </w:p>
    <w:p w:rsidR="00CB663C" w:rsidRPr="007773D7" w:rsidRDefault="00CB663C" w:rsidP="00DA1D7D">
      <w:pPr>
        <w:pStyle w:val="COMParaDecision"/>
        <w:numPr>
          <w:ilvl w:val="0"/>
          <w:numId w:val="8"/>
        </w:numPr>
        <w:ind w:left="993" w:hanging="426"/>
      </w:pPr>
      <w:r w:rsidRPr="007773D7">
        <w:t>Will data collection be feasible and reliable (consistently measurable over time, in the sa</w:t>
      </w:r>
      <w:r w:rsidR="00DA1D7D">
        <w:t>me way by different observers)?</w:t>
      </w:r>
    </w:p>
    <w:p w:rsidR="00CB663C" w:rsidRPr="007773D7" w:rsidRDefault="00CB663C" w:rsidP="00DA1D7D">
      <w:pPr>
        <w:pStyle w:val="COMParaDecision"/>
        <w:numPr>
          <w:ilvl w:val="0"/>
          <w:numId w:val="8"/>
        </w:numPr>
        <w:ind w:left="993" w:hanging="426"/>
      </w:pPr>
      <w:r w:rsidRPr="007773D7">
        <w:t>Will dat</w:t>
      </w:r>
      <w:r w:rsidR="00DA1D7D">
        <w:t>a collection be cost effective?</w:t>
      </w:r>
    </w:p>
    <w:p w:rsidR="00CB663C" w:rsidRPr="007773D7" w:rsidRDefault="00CB663C" w:rsidP="00DA1D7D">
      <w:pPr>
        <w:pStyle w:val="COMParaDecision"/>
        <w:numPr>
          <w:ilvl w:val="0"/>
          <w:numId w:val="8"/>
        </w:numPr>
        <w:ind w:left="993" w:hanging="426"/>
      </w:pPr>
      <w:r w:rsidRPr="007773D7">
        <w:t>Will data be comparable, both over time and in relation to others?</w:t>
      </w:r>
    </w:p>
    <w:p w:rsidR="00CB663C" w:rsidRPr="007773D7" w:rsidRDefault="00CB663C" w:rsidP="00DA1D7D">
      <w:pPr>
        <w:pStyle w:val="COMParaDecision"/>
        <w:numPr>
          <w:ilvl w:val="0"/>
          <w:numId w:val="8"/>
        </w:numPr>
        <w:ind w:left="993" w:hanging="426"/>
      </w:pPr>
      <w:r w:rsidRPr="007773D7">
        <w:t>Will it be gathered at time intervals that are relevant?</w:t>
      </w:r>
    </w:p>
    <w:p w:rsidR="0076394D" w:rsidRDefault="00CB663C" w:rsidP="0059614F">
      <w:pPr>
        <w:pStyle w:val="COMParaDecision"/>
        <w:spacing w:before="120"/>
        <w:ind w:left="567" w:hanging="567"/>
      </w:pPr>
      <w:r w:rsidRPr="007773D7">
        <w:t>While most indicators will be selected and used to support the management and reporting requirements of safeguarding activities</w:t>
      </w:r>
      <w:r w:rsidR="00781B0F" w:rsidRPr="007773D7">
        <w:t xml:space="preserve"> at the local and/or national level</w:t>
      </w:r>
      <w:r w:rsidRPr="007773D7">
        <w:t xml:space="preserve">, it is possible that a small number of </w:t>
      </w:r>
      <w:r w:rsidRPr="005611EC">
        <w:t xml:space="preserve">indicators (e.g. at the </w:t>
      </w:r>
      <w:r w:rsidR="005611EC" w:rsidRPr="003E3A6A">
        <w:t>long-term</w:t>
      </w:r>
      <w:r w:rsidRPr="005611EC">
        <w:t xml:space="preserve"> outcome and impact</w:t>
      </w:r>
      <w:r w:rsidRPr="007773D7">
        <w:t xml:space="preserve"> levels) will be developed at the international level for use by all signatories to the </w:t>
      </w:r>
      <w:r w:rsidR="00781B0F" w:rsidRPr="007773D7">
        <w:t>C</w:t>
      </w:r>
      <w:r w:rsidRPr="007773D7">
        <w:t xml:space="preserve">onvention. This would allow for aggregated reporting on the overall </w:t>
      </w:r>
      <w:r w:rsidR="00781B0F" w:rsidRPr="007773D7">
        <w:t>implementation of the C</w:t>
      </w:r>
      <w:r w:rsidRPr="007773D7">
        <w:t xml:space="preserve">onvention </w:t>
      </w:r>
      <w:r w:rsidR="005C4D87" w:rsidRPr="007773D7">
        <w:t xml:space="preserve">and even for </w:t>
      </w:r>
      <w:r w:rsidR="00084576" w:rsidRPr="007773D7">
        <w:t xml:space="preserve">assessing </w:t>
      </w:r>
      <w:r w:rsidR="005C4D87" w:rsidRPr="007773D7">
        <w:t>the overall contribution of the Convention to broader goals such as, for example, those set by the 2030 Agenda for Sustainable Development.</w:t>
      </w:r>
      <w:r w:rsidR="00D64AA6">
        <w:t xml:space="preserve"> </w:t>
      </w:r>
      <w:r w:rsidR="0076394D" w:rsidRPr="0076394D">
        <w:t>More generally,</w:t>
      </w:r>
      <w:r w:rsidR="0076394D">
        <w:t xml:space="preserve"> the Convention’s overall results framework should also be thought as a mechanism to support national efforts to monitor and measure the </w:t>
      </w:r>
      <w:r w:rsidR="007E36FE">
        <w:t xml:space="preserve">overall </w:t>
      </w:r>
      <w:r w:rsidR="0076394D">
        <w:t>role of culture for the effective implementation of the 2030 Agenda</w:t>
      </w:r>
      <w:r w:rsidR="005D5EF0">
        <w:t>.</w:t>
      </w:r>
    </w:p>
    <w:p w:rsidR="00E26C7A" w:rsidRPr="007773D7" w:rsidRDefault="00E26C7A" w:rsidP="007C1A8B">
      <w:pPr>
        <w:pStyle w:val="COMParaDecision"/>
        <w:keepLines/>
        <w:spacing w:before="120"/>
        <w:ind w:left="567" w:hanging="567"/>
      </w:pPr>
      <w:r w:rsidRPr="007773D7">
        <w:lastRenderedPageBreak/>
        <w:t>There have been a number of initiatives in recent years to build indicators of cultural sector contributions to broader goals such as sustainable development</w:t>
      </w:r>
      <w:r w:rsidRPr="007773D7">
        <w:rPr>
          <w:rStyle w:val="FootnoteReference"/>
        </w:rPr>
        <w:footnoteReference w:id="11"/>
      </w:r>
      <w:r w:rsidRPr="007773D7">
        <w:t>, wellbeing</w:t>
      </w:r>
      <w:r w:rsidRPr="007773D7">
        <w:rPr>
          <w:rStyle w:val="FootnoteReference"/>
        </w:rPr>
        <w:footnoteReference w:id="12"/>
      </w:r>
      <w:r w:rsidRPr="007773D7">
        <w:t xml:space="preserve"> and social cohesion.</w:t>
      </w:r>
      <w:r w:rsidRPr="007773D7">
        <w:rPr>
          <w:rStyle w:val="FootnoteReference"/>
        </w:rPr>
        <w:footnoteReference w:id="13"/>
      </w:r>
      <w:r w:rsidRPr="007773D7">
        <w:t xml:space="preserve"> However, many of these indicator sets have not been widely used to collect data. </w:t>
      </w:r>
      <w:r w:rsidR="00A11A53" w:rsidRPr="007773D7">
        <w:t xml:space="preserve">Careful examination of the </w:t>
      </w:r>
      <w:r w:rsidRPr="007773D7">
        <w:t xml:space="preserve">reasons for this </w:t>
      </w:r>
      <w:r w:rsidR="00A11A53" w:rsidRPr="007773D7">
        <w:t xml:space="preserve">gap </w:t>
      </w:r>
      <w:r w:rsidRPr="007773D7">
        <w:t>may inform an understanding of how to develop a results framework for the Convention that will be feasible to implement.</w:t>
      </w:r>
    </w:p>
    <w:p w:rsidR="00E26C7A" w:rsidRPr="007773D7" w:rsidRDefault="00E26C7A" w:rsidP="00E26C7A">
      <w:pPr>
        <w:pStyle w:val="COMParaDecision"/>
        <w:spacing w:before="120"/>
        <w:ind w:left="567" w:hanging="567"/>
      </w:pPr>
      <w:r w:rsidRPr="007773D7">
        <w:t xml:space="preserve">Another observation is that most cultural indicators group all kinds of cultural activities together, such as watching movies, </w:t>
      </w:r>
      <w:r w:rsidR="00A11A53" w:rsidRPr="007773D7">
        <w:t xml:space="preserve">practising </w:t>
      </w:r>
      <w:r w:rsidRPr="007773D7">
        <w:t xml:space="preserve">creative arts and library or museum attendance, whose identification </w:t>
      </w:r>
      <w:r w:rsidR="007E36FE">
        <w:t>as</w:t>
      </w:r>
      <w:r w:rsidRPr="007773D7">
        <w:t xml:space="preserve"> intangible cultural heritage might be </w:t>
      </w:r>
      <w:r w:rsidR="007E36FE" w:rsidRPr="007773D7">
        <w:t>questionable</w:t>
      </w:r>
      <w:r w:rsidRPr="007773D7">
        <w:t xml:space="preserve">. For example, very few indicators disaggregate cultural production and consumption of externally-produced media products such as TV imports from participatory activities such as local parades, measure share of local programming in media, </w:t>
      </w:r>
      <w:r w:rsidR="00A11A53" w:rsidRPr="007773D7">
        <w:t xml:space="preserve">emphasize </w:t>
      </w:r>
      <w:r w:rsidRPr="007773D7">
        <w:t>on local language promotion and so on.</w:t>
      </w:r>
      <w:r w:rsidRPr="007773D7">
        <w:rPr>
          <w:rStyle w:val="FootnoteReference"/>
        </w:rPr>
        <w:footnoteReference w:id="14"/>
      </w:r>
      <w:r w:rsidRPr="007773D7">
        <w:t xml:space="preserve"> A number of relevant indicators relate to the intangible cultural heritage of indigenous peoples. Maori cultural activities have, for example, been documented under a specific category within the Cultural Experiences Survey (CES) in New Zealand.</w:t>
      </w:r>
      <w:r w:rsidRPr="007773D7">
        <w:rPr>
          <w:rStyle w:val="FootnoteReference"/>
        </w:rPr>
        <w:footnoteReference w:id="15"/>
      </w:r>
      <w:r w:rsidRPr="007773D7">
        <w:t xml:space="preserve"> Draft Cultural Indicators for Food Security, Food Sovereignty and Sustainable Development have been developed at the 2nd Global Consultation on the Right to Food and Food Security for Indigenous Peoples.</w:t>
      </w:r>
      <w:r w:rsidRPr="007773D7">
        <w:rPr>
          <w:rStyle w:val="FootnoteReference"/>
        </w:rPr>
        <w:footnoteReference w:id="16"/>
      </w:r>
      <w:r w:rsidRPr="007773D7">
        <w:t xml:space="preserve"> An indicator suite has also been developed to track progress towards Target 18 of the Convention on Biological Diversity.’</w:t>
      </w:r>
      <w:r w:rsidRPr="007773D7">
        <w:rPr>
          <w:rStyle w:val="FootnoteReference"/>
        </w:rPr>
        <w:footnoteReference w:id="17"/>
      </w:r>
      <w:r w:rsidRPr="007773D7">
        <w:t xml:space="preserve"> Some of these existing indicators may be used, or modified where needed, to serve the needs of </w:t>
      </w:r>
      <w:r w:rsidR="006F1072" w:rsidRPr="007773D7">
        <w:t>an overall</w:t>
      </w:r>
      <w:r w:rsidRPr="007773D7">
        <w:t xml:space="preserve"> results framework for the Convention.</w:t>
      </w:r>
    </w:p>
    <w:p w:rsidR="007C56E5" w:rsidRPr="003E3A6A" w:rsidRDefault="006F1072" w:rsidP="007C56E5">
      <w:pPr>
        <w:pStyle w:val="COMParaDecision"/>
        <w:spacing w:before="120"/>
        <w:ind w:left="567" w:hanging="567"/>
      </w:pPr>
      <w:r w:rsidRPr="005611EC">
        <w:t xml:space="preserve">Part of the </w:t>
      </w:r>
      <w:r w:rsidR="00A11A53" w:rsidRPr="005611EC">
        <w:t xml:space="preserve">effectiveness </w:t>
      </w:r>
      <w:r w:rsidRPr="00757651">
        <w:t xml:space="preserve">of indicators will lie in a clear and agreed explanation of the terms used in the map. </w:t>
      </w:r>
      <w:r w:rsidR="00A11A53" w:rsidRPr="008A7E50">
        <w:t xml:space="preserve">For instance, participants </w:t>
      </w:r>
      <w:r w:rsidRPr="008A7E50">
        <w:t>brainstormed some possible indicators for determining ‘Recognition and awaren</w:t>
      </w:r>
      <w:r w:rsidRPr="003E3A6A">
        <w:t xml:space="preserve">ess of the importance of intangible cultural heritage and its safeguarding ensured’, which was identified as a </w:t>
      </w:r>
      <w:r w:rsidR="005611EC" w:rsidRPr="003E3A6A">
        <w:t>long-term</w:t>
      </w:r>
      <w:r w:rsidRPr="005611EC">
        <w:t xml:space="preserve"> outcome in the results map. Suggestions included a variety of thought-provoking qualitative, quantitative and proxy indicators. </w:t>
      </w:r>
      <w:r w:rsidR="007C56E5" w:rsidRPr="00757651">
        <w:t>Most of the suggested indicators, such as measures of ‘visibility of intangible cultural heritage in the media’, ‘participation in intangible cultural heritage-related events’ or ‘use of dedicated intangible cultural heritage spaces’ require identificat</w:t>
      </w:r>
      <w:r w:rsidR="007C56E5" w:rsidRPr="008A7E50">
        <w:t>ion of what constitutes intangible cultural heritage in that context. A number of suggested indicators referred to the incorporation of intangible cultural heritage into formal or non-formal education. In such cases it may be possible to establish the degr</w:t>
      </w:r>
      <w:r w:rsidR="007C56E5" w:rsidRPr="003E3A6A">
        <w:t>ee of local content permitted within a standard curriculum, but such a measure might overlook how that content is represented in the formal education system. This exercise suggested the need for more detailed consideration of indicators, and the selection of a very small number of indicators that are easily comparable and relatively si</w:t>
      </w:r>
      <w:r w:rsidR="00DA1D7D">
        <w:t>mple to measure.</w:t>
      </w:r>
    </w:p>
    <w:p w:rsidR="00585A1E" w:rsidRPr="007773D7" w:rsidRDefault="00585A1E" w:rsidP="00585A1E">
      <w:pPr>
        <w:pStyle w:val="Heading4"/>
      </w:pPr>
      <w:r w:rsidRPr="007773D7">
        <w:lastRenderedPageBreak/>
        <w:t>Implementing a results framework</w:t>
      </w:r>
    </w:p>
    <w:p w:rsidR="006F1072" w:rsidRPr="007773D7" w:rsidRDefault="00585A1E" w:rsidP="00910C22">
      <w:pPr>
        <w:pStyle w:val="COMParaDecision"/>
        <w:spacing w:before="120"/>
        <w:ind w:left="567" w:hanging="567"/>
      </w:pPr>
      <w:r w:rsidRPr="007773D7">
        <w:t xml:space="preserve">The actual implementation of an overall results framework </w:t>
      </w:r>
      <w:r w:rsidR="00910C22" w:rsidRPr="007773D7">
        <w:t xml:space="preserve">constitutes the three final steps of a Results-Based Management framework: 1) planning for implementation of monitoring and evaluation; 2) implementation of monitoring; and 3) implementation of evaluation. These were </w:t>
      </w:r>
      <w:r w:rsidR="00A11A53" w:rsidRPr="007773D7">
        <w:t xml:space="preserve">could </w:t>
      </w:r>
      <w:r w:rsidR="00910C22" w:rsidRPr="007773D7">
        <w:t xml:space="preserve">only </w:t>
      </w:r>
      <w:r w:rsidR="00A11A53" w:rsidRPr="007773D7">
        <w:t xml:space="preserve">be </w:t>
      </w:r>
      <w:r w:rsidR="00910C22" w:rsidRPr="007773D7">
        <w:t>discus</w:t>
      </w:r>
      <w:r w:rsidR="00DA1D7D">
        <w:t>sed briefly during the meeting.</w:t>
      </w:r>
    </w:p>
    <w:p w:rsidR="00910C22" w:rsidRPr="007773D7" w:rsidRDefault="00A42005" w:rsidP="00910C22">
      <w:pPr>
        <w:pStyle w:val="COMParaDecision"/>
        <w:spacing w:before="120"/>
        <w:ind w:left="567" w:hanging="567"/>
      </w:pPr>
      <w:r w:rsidRPr="007773D7">
        <w:t>Planning for implementation involves making sure that the systems, mechanisms and capabilities are in place to gather and record data. However, c</w:t>
      </w:r>
      <w:r w:rsidR="00910C22" w:rsidRPr="007773D7">
        <w:t xml:space="preserve">urrent data collection on implementation of the Convention is </w:t>
      </w:r>
      <w:r w:rsidR="00A11A53" w:rsidRPr="007773D7">
        <w:t>not systematic or well-</w:t>
      </w:r>
      <w:r w:rsidR="00910C22" w:rsidRPr="007773D7">
        <w:t xml:space="preserve">coordinated. More thematic and regional studies might be needed. Many researchers in communities, research organizations, civil society or non-governmental organizations conduct in-depth research into the implementation of the Convention at the local, national and international level. There is, however, no formal channel for the Committee or the Secretariat to collect and analyse </w:t>
      </w:r>
      <w:r w:rsidR="00A11A53" w:rsidRPr="007773D7">
        <w:t xml:space="preserve">the </w:t>
      </w:r>
      <w:r w:rsidR="00910C22" w:rsidRPr="007773D7">
        <w:t>data</w:t>
      </w:r>
      <w:r w:rsidR="00A11A53" w:rsidRPr="007773D7">
        <w:t xml:space="preserve"> they might produce</w:t>
      </w:r>
      <w:r w:rsidR="00DA1D7D">
        <w:t>.</w:t>
      </w:r>
    </w:p>
    <w:p w:rsidR="00910C22" w:rsidRPr="007773D7" w:rsidRDefault="00910C22" w:rsidP="004D375A">
      <w:pPr>
        <w:pStyle w:val="COMParaDecision"/>
        <w:spacing w:before="120"/>
        <w:ind w:left="567" w:hanging="567"/>
      </w:pPr>
      <w:r w:rsidRPr="007773D7">
        <w:t xml:space="preserve">The results framework for the Convention could be phased in, initially using aggregate data from existing reports or survey data. </w:t>
      </w:r>
      <w:r w:rsidR="00A34B81" w:rsidRPr="007773D7">
        <w:t>Existing reporting channels under the Convention include periodic reports from States Parties on their implementation of the Convention and reports on the status of elements inscribed on the Urgent Safeguarding List. The Committee has already encouraged States Parties to engage in multi-stakeholder consultations in the preparation of such reports and to include information provided by ‘relevant non-governmental organizations, research institutes and centres of expertise’ (</w:t>
      </w:r>
      <w:hyperlink r:id="rId20" w:history="1">
        <w:r w:rsidR="00A34B81" w:rsidRPr="007773D7">
          <w:rPr>
            <w:rStyle w:val="Hyperlink"/>
          </w:rPr>
          <w:t>Decision</w:t>
        </w:r>
        <w:r w:rsidR="005611EC">
          <w:rPr>
            <w:rStyle w:val="Hyperlink"/>
          </w:rPr>
          <w:t> </w:t>
        </w:r>
        <w:r w:rsidR="00A34B81" w:rsidRPr="007773D7">
          <w:rPr>
            <w:rStyle w:val="Hyperlink"/>
          </w:rPr>
          <w:t>10.COM</w:t>
        </w:r>
        <w:r w:rsidR="007D15A9" w:rsidRPr="007773D7">
          <w:rPr>
            <w:rStyle w:val="Hyperlink"/>
          </w:rPr>
          <w:t> </w:t>
        </w:r>
        <w:r w:rsidR="00A34B81" w:rsidRPr="007773D7">
          <w:rPr>
            <w:rStyle w:val="Hyperlink"/>
          </w:rPr>
          <w:t>6.a</w:t>
        </w:r>
      </w:hyperlink>
      <w:r w:rsidR="00A34B81" w:rsidRPr="007773D7">
        <w:t xml:space="preserve">). For States </w:t>
      </w:r>
      <w:r w:rsidR="00136753">
        <w:t>Parties that are recipients of International A</w:t>
      </w:r>
      <w:r w:rsidR="00A34B81" w:rsidRPr="007773D7">
        <w:t>ssistance, there is also an additional reporting requirement in Article 24.3 of the Convention. In requesting accreditation, non-governmental organizations also have to provide information on ‘activities in the field of safeguarding intangible cultural heritage’ and ‘experiences in cooperating with communities, groups and intangible cultural heritage practitioners’</w:t>
      </w:r>
      <w:r w:rsidR="00A34B81" w:rsidRPr="007773D7">
        <w:rPr>
          <w:rStyle w:val="FootnoteReference"/>
        </w:rPr>
        <w:footnoteReference w:id="18"/>
      </w:r>
      <w:r w:rsidR="00A34B81" w:rsidRPr="007773D7">
        <w:t xml:space="preserve">. Furthermore, every four years following accreditation of an </w:t>
      </w:r>
      <w:r w:rsidR="00A34B81" w:rsidRPr="007773D7">
        <w:rPr>
          <w:lang w:eastAsia="zh-CN"/>
        </w:rPr>
        <w:t>NGO</w:t>
      </w:r>
      <w:r w:rsidR="00A34B81" w:rsidRPr="007773D7">
        <w:t xml:space="preserve">, the Committee reviews the contribution and the commitment of the advisory organization and its relations with it, taking into account the perspective of the </w:t>
      </w:r>
      <w:r w:rsidR="00A34B81" w:rsidRPr="007773D7">
        <w:rPr>
          <w:lang w:eastAsia="zh-CN"/>
        </w:rPr>
        <w:t>NGO</w:t>
      </w:r>
      <w:r w:rsidR="00A34B81" w:rsidRPr="007773D7">
        <w:t xml:space="preserve"> concerned.</w:t>
      </w:r>
      <w:r w:rsidR="007D15A9" w:rsidRPr="007773D7">
        <w:rPr>
          <w:rStyle w:val="FootnoteReference"/>
        </w:rPr>
        <w:footnoteReference w:id="19"/>
      </w:r>
      <w:r w:rsidR="00A34B81" w:rsidRPr="007773D7">
        <w:t xml:space="preserve"> In accordance with Article 30.1, the Committee submits ‘a report to the General Assembly at each of its sessions’, on the basis of its activities and the reports submitted by States Parties. </w:t>
      </w:r>
      <w:r w:rsidR="007703EE" w:rsidRPr="007773D7">
        <w:t xml:space="preserve">Beneficiaries of capacity-building activities supported by UNESCO may also have additional reporting obligations. In fact, at the time that IOS identified the need for an overall results framework for the Convention as a whole, it also called for more robust results reporting for the global capacity-building programme that had been established in 2009. Should the development of an overall results framework for the Convention help align these multiple planning and reporting exercises by different actors, States Parties could be better informed </w:t>
      </w:r>
      <w:r w:rsidRPr="007773D7">
        <w:t>about the benefits of monitoring and evaluation, including advocacy for funding at a national level, better relationships with communities, regional relationship bu</w:t>
      </w:r>
      <w:r w:rsidR="00DA1D7D">
        <w:t>ilding and information sharing.</w:t>
      </w:r>
    </w:p>
    <w:p w:rsidR="00910C22" w:rsidRPr="007773D7" w:rsidRDefault="00910C22" w:rsidP="002C12F8">
      <w:pPr>
        <w:pStyle w:val="COMParaDecision"/>
        <w:keepNext/>
        <w:spacing w:before="120"/>
        <w:ind w:left="567" w:hanging="567"/>
      </w:pPr>
      <w:r w:rsidRPr="007773D7">
        <w:t>To assist in implementing the results framework, guidance will have to be developed on the following issues, among others:</w:t>
      </w:r>
    </w:p>
    <w:p w:rsidR="00910C22" w:rsidRPr="007773D7" w:rsidRDefault="00910C22" w:rsidP="00DA1D7D">
      <w:pPr>
        <w:pStyle w:val="COMParaDecision"/>
        <w:numPr>
          <w:ilvl w:val="0"/>
          <w:numId w:val="8"/>
        </w:numPr>
        <w:ind w:left="993" w:hanging="426"/>
      </w:pPr>
      <w:r w:rsidRPr="007773D7">
        <w:t>how to populate and tailor the results maps to different contexts (international, national, local)</w:t>
      </w:r>
      <w:r w:rsidR="007703EE" w:rsidRPr="007773D7">
        <w:t>,</w:t>
      </w:r>
    </w:p>
    <w:p w:rsidR="00910C22" w:rsidRPr="007773D7" w:rsidRDefault="00910C22" w:rsidP="00DA1D7D">
      <w:pPr>
        <w:pStyle w:val="COMParaDecision"/>
        <w:numPr>
          <w:ilvl w:val="0"/>
          <w:numId w:val="8"/>
        </w:numPr>
        <w:ind w:left="993" w:hanging="426"/>
      </w:pPr>
      <w:r w:rsidRPr="007773D7">
        <w:t>how to identify assumption</w:t>
      </w:r>
      <w:r w:rsidR="007703EE" w:rsidRPr="007773D7">
        <w:t>s and risks,</w:t>
      </w:r>
    </w:p>
    <w:p w:rsidR="00910C22" w:rsidRPr="007773D7" w:rsidRDefault="00910C22" w:rsidP="00DA1D7D">
      <w:pPr>
        <w:pStyle w:val="COMParaDecision"/>
        <w:numPr>
          <w:ilvl w:val="0"/>
          <w:numId w:val="8"/>
        </w:numPr>
        <w:ind w:left="993" w:hanging="426"/>
      </w:pPr>
      <w:r w:rsidRPr="007773D7">
        <w:t>how to develop strategies to manage and mitigate these risks</w:t>
      </w:r>
      <w:r w:rsidR="007703EE" w:rsidRPr="007773D7">
        <w:t>,</w:t>
      </w:r>
    </w:p>
    <w:p w:rsidR="00910C22" w:rsidRPr="007773D7" w:rsidRDefault="00910C22" w:rsidP="00DA1D7D">
      <w:pPr>
        <w:pStyle w:val="COMParaDecision"/>
        <w:numPr>
          <w:ilvl w:val="0"/>
          <w:numId w:val="8"/>
        </w:numPr>
        <w:ind w:left="993" w:hanging="426"/>
      </w:pPr>
      <w:r w:rsidRPr="007773D7">
        <w:t>how to find relevant indicators</w:t>
      </w:r>
      <w:r w:rsidR="007703EE" w:rsidRPr="007773D7">
        <w:t>,</w:t>
      </w:r>
    </w:p>
    <w:p w:rsidR="00910C22" w:rsidRPr="007773D7" w:rsidRDefault="00910C22" w:rsidP="00DA1D7D">
      <w:pPr>
        <w:pStyle w:val="COMParaDecision"/>
        <w:numPr>
          <w:ilvl w:val="0"/>
          <w:numId w:val="8"/>
        </w:numPr>
        <w:ind w:left="993" w:hanging="426"/>
      </w:pPr>
      <w:r w:rsidRPr="007773D7">
        <w:t>how to find relevant and existing data for existing indicators</w:t>
      </w:r>
      <w:r w:rsidR="007703EE" w:rsidRPr="007773D7">
        <w:t>,</w:t>
      </w:r>
    </w:p>
    <w:p w:rsidR="00910C22" w:rsidRPr="007773D7" w:rsidRDefault="00910C22" w:rsidP="00DA1D7D">
      <w:pPr>
        <w:pStyle w:val="COMParaDecision"/>
        <w:numPr>
          <w:ilvl w:val="0"/>
          <w:numId w:val="8"/>
        </w:numPr>
        <w:ind w:left="993" w:hanging="426"/>
      </w:pPr>
      <w:r w:rsidRPr="007773D7">
        <w:t>how to develop new indicators</w:t>
      </w:r>
      <w:r w:rsidR="007703EE" w:rsidRPr="007773D7">
        <w:t>,</w:t>
      </w:r>
    </w:p>
    <w:p w:rsidR="00910C22" w:rsidRPr="007773D7" w:rsidRDefault="00910C22" w:rsidP="00DA1D7D">
      <w:pPr>
        <w:pStyle w:val="COMParaDecision"/>
        <w:numPr>
          <w:ilvl w:val="0"/>
          <w:numId w:val="8"/>
        </w:numPr>
        <w:ind w:left="993" w:hanging="426"/>
      </w:pPr>
      <w:r w:rsidRPr="007773D7">
        <w:lastRenderedPageBreak/>
        <w:t>how to develop information gathering instruments</w:t>
      </w:r>
      <w:r w:rsidR="007703EE" w:rsidRPr="007773D7">
        <w:t>,</w:t>
      </w:r>
    </w:p>
    <w:p w:rsidR="00910C22" w:rsidRPr="007773D7" w:rsidRDefault="00910C22" w:rsidP="00DA1D7D">
      <w:pPr>
        <w:pStyle w:val="COMParaDecision"/>
        <w:numPr>
          <w:ilvl w:val="0"/>
          <w:numId w:val="8"/>
        </w:numPr>
        <w:ind w:left="993" w:hanging="426"/>
      </w:pPr>
      <w:r w:rsidRPr="007773D7">
        <w:t>how to use information management systems</w:t>
      </w:r>
      <w:r w:rsidR="007703EE" w:rsidRPr="007773D7">
        <w:t>,</w:t>
      </w:r>
    </w:p>
    <w:p w:rsidR="00910C22" w:rsidRPr="007773D7" w:rsidRDefault="00910C22" w:rsidP="00DA1D7D">
      <w:pPr>
        <w:pStyle w:val="COMParaDecision"/>
        <w:numPr>
          <w:ilvl w:val="0"/>
          <w:numId w:val="8"/>
        </w:numPr>
        <w:ind w:left="993" w:hanging="426"/>
      </w:pPr>
      <w:r w:rsidRPr="007773D7">
        <w:t>how to establish baselines and benchmarks, and set targets</w:t>
      </w:r>
      <w:r w:rsidR="007703EE" w:rsidRPr="007773D7">
        <w:t>,</w:t>
      </w:r>
    </w:p>
    <w:p w:rsidR="00910C22" w:rsidRPr="007773D7" w:rsidRDefault="00910C22" w:rsidP="00DA1D7D">
      <w:pPr>
        <w:pStyle w:val="COMParaDecision"/>
        <w:numPr>
          <w:ilvl w:val="0"/>
          <w:numId w:val="8"/>
        </w:numPr>
        <w:ind w:left="993" w:hanging="426"/>
      </w:pPr>
      <w:r w:rsidRPr="007773D7">
        <w:t xml:space="preserve">how to </w:t>
      </w:r>
      <w:r w:rsidR="007703EE" w:rsidRPr="007773D7">
        <w:t>analyse</w:t>
      </w:r>
      <w:r w:rsidRPr="007773D7">
        <w:t xml:space="preserve"> information, and use it for reporting and decision-making</w:t>
      </w:r>
      <w:r w:rsidR="007703EE" w:rsidRPr="007773D7">
        <w:t>.</w:t>
      </w:r>
    </w:p>
    <w:p w:rsidR="0074690E" w:rsidRPr="007773D7" w:rsidRDefault="00714F60">
      <w:pPr>
        <w:pStyle w:val="COMParaDecision"/>
        <w:spacing w:before="120"/>
        <w:ind w:left="567" w:hanging="567"/>
      </w:pPr>
      <w:r w:rsidRPr="007773D7">
        <w:t xml:space="preserve">As noted above, the </w:t>
      </w:r>
      <w:r w:rsidR="00910C22" w:rsidRPr="007773D7">
        <w:t xml:space="preserve">next step in the process of developing an overall results framework for the Convention </w:t>
      </w:r>
      <w:r w:rsidR="0017513A">
        <w:t>is</w:t>
      </w:r>
      <w:r w:rsidR="0017513A" w:rsidRPr="007773D7">
        <w:t xml:space="preserve"> </w:t>
      </w:r>
      <w:r w:rsidR="007703EE" w:rsidRPr="007773D7">
        <w:t xml:space="preserve">expected to be an open-ended intergovernmental working group. Ideally, the results map proposed in the annex to the present document could serve as a basis </w:t>
      </w:r>
      <w:r w:rsidR="00954056" w:rsidRPr="007773D7">
        <w:t>for</w:t>
      </w:r>
      <w:r w:rsidR="007703EE" w:rsidRPr="007773D7">
        <w:t xml:space="preserve"> develop</w:t>
      </w:r>
      <w:r w:rsidR="00954056" w:rsidRPr="007773D7">
        <w:t>ing</w:t>
      </w:r>
      <w:r w:rsidR="007703EE" w:rsidRPr="007773D7">
        <w:t xml:space="preserve"> </w:t>
      </w:r>
      <w:r w:rsidR="00623E45" w:rsidRPr="007773D7">
        <w:t>a draft</w:t>
      </w:r>
      <w:r w:rsidR="007703EE" w:rsidRPr="007773D7">
        <w:t xml:space="preserve"> overall results framework</w:t>
      </w:r>
      <w:r w:rsidR="00623E45" w:rsidRPr="007773D7">
        <w:t>, including some further guidance as detailed above, to be discussed by representatives of States Parties on that occasion. A mechanism should be defined to carry out this work well before the open-ended intergovernmental working group</w:t>
      </w:r>
      <w:r w:rsidR="0017513A">
        <w:t xml:space="preserve">, if the necessary funding to </w:t>
      </w:r>
      <w:r w:rsidR="00623E45" w:rsidRPr="007773D7">
        <w:rPr>
          <w:rStyle w:val="apple-converted-space"/>
          <w:shd w:val="clear" w:color="auto" w:fill="FFFFFF"/>
        </w:rPr>
        <w:t>cover the ‘</w:t>
      </w:r>
      <w:r w:rsidR="00623E45" w:rsidRPr="007773D7">
        <w:rPr>
          <w:shd w:val="clear" w:color="auto" w:fill="FFFFFF"/>
        </w:rPr>
        <w:t>costs of organizing the meeting and the costs of the participation of representatives of developing countries that are parties to the Convention, whether or not members of the Committee, but only for persons who are experts in intangible cultural heritage’ (</w:t>
      </w:r>
      <w:hyperlink r:id="rId21" w:history="1">
        <w:r w:rsidR="00623E45" w:rsidRPr="007773D7">
          <w:rPr>
            <w:rStyle w:val="Hyperlink"/>
            <w:shd w:val="clear" w:color="auto" w:fill="FFFFFF"/>
          </w:rPr>
          <w:t>Decision 9.COM 13.e</w:t>
        </w:r>
      </w:hyperlink>
      <w:r w:rsidR="00623E45" w:rsidRPr="007773D7">
        <w:rPr>
          <w:shd w:val="clear" w:color="auto" w:fill="FFFFFF"/>
        </w:rPr>
        <w:t>)</w:t>
      </w:r>
      <w:r w:rsidR="00DA1D7D">
        <w:rPr>
          <w:shd w:val="clear" w:color="auto" w:fill="FFFFFF"/>
        </w:rPr>
        <w:t xml:space="preserve"> is secured.</w:t>
      </w:r>
    </w:p>
    <w:p w:rsidR="00D95C4C" w:rsidRPr="007773D7" w:rsidRDefault="000B1C8F" w:rsidP="000E2F4E">
      <w:pPr>
        <w:pStyle w:val="COMParaDecision"/>
        <w:keepNext/>
        <w:spacing w:before="120"/>
        <w:ind w:left="567" w:hanging="567"/>
      </w:pPr>
      <w:r w:rsidRPr="007773D7">
        <w:t>The Committee may wish to adopt the following decision</w:t>
      </w:r>
      <w:r w:rsidR="00D95C4C" w:rsidRPr="007773D7">
        <w:t>:</w:t>
      </w:r>
    </w:p>
    <w:p w:rsidR="00D95C4C" w:rsidRPr="007773D7" w:rsidRDefault="004A34A0" w:rsidP="00041A66">
      <w:pPr>
        <w:pStyle w:val="COMTitleDecision"/>
        <w:rPr>
          <w:rFonts w:eastAsia="SimSun"/>
        </w:rPr>
      </w:pPr>
      <w:r w:rsidRPr="007773D7">
        <w:t xml:space="preserve">DRAFT </w:t>
      </w:r>
      <w:r w:rsidR="0074690E" w:rsidRPr="007773D7">
        <w:t>DECISION </w:t>
      </w:r>
      <w:r w:rsidR="00CB0542" w:rsidRPr="007773D7">
        <w:t>11</w:t>
      </w:r>
      <w:r w:rsidR="00EC6F8D" w:rsidRPr="007773D7">
        <w:t>.COM</w:t>
      </w:r>
      <w:r w:rsidR="0074690E" w:rsidRPr="007773D7">
        <w:t> 14</w:t>
      </w:r>
    </w:p>
    <w:p w:rsidR="00D95C4C" w:rsidRPr="007773D7" w:rsidRDefault="00285BB4" w:rsidP="00285BB4">
      <w:pPr>
        <w:pStyle w:val="COMPreambulaDecisions"/>
        <w:rPr>
          <w:rFonts w:eastAsia="SimSun"/>
        </w:rPr>
      </w:pPr>
      <w:r w:rsidRPr="007773D7">
        <w:t>The Committee,</w:t>
      </w:r>
    </w:p>
    <w:p w:rsidR="0057439C" w:rsidRPr="003E3A6A" w:rsidRDefault="00D95C4C" w:rsidP="00C9242A">
      <w:pPr>
        <w:pStyle w:val="COMParaDecision"/>
        <w:keepNext/>
        <w:numPr>
          <w:ilvl w:val="0"/>
          <w:numId w:val="9"/>
        </w:numPr>
        <w:ind w:left="1134" w:hanging="567"/>
      </w:pPr>
      <w:r w:rsidRPr="00757651">
        <w:rPr>
          <w:u w:val="single"/>
        </w:rPr>
        <w:t>Having examined</w:t>
      </w:r>
      <w:r w:rsidRPr="00757651">
        <w:t xml:space="preserve"> doc</w:t>
      </w:r>
      <w:r w:rsidR="00CB0542" w:rsidRPr="00757651">
        <w:t>ument ITH/16/11</w:t>
      </w:r>
      <w:r w:rsidR="00EC6F8D" w:rsidRPr="008A7E50">
        <w:t>.COM</w:t>
      </w:r>
      <w:r w:rsidR="004A34A0" w:rsidRPr="008A7E50">
        <w:t>/</w:t>
      </w:r>
      <w:r w:rsidR="00E30A73" w:rsidRPr="003E3A6A">
        <w:t>14 and its annex</w:t>
      </w:r>
      <w:r w:rsidRPr="003E3A6A">
        <w:t>,</w:t>
      </w:r>
    </w:p>
    <w:p w:rsidR="0057439C" w:rsidRPr="003E3A6A" w:rsidRDefault="0057439C" w:rsidP="00C9242A">
      <w:pPr>
        <w:pStyle w:val="COMParaDecision"/>
        <w:keepNext/>
        <w:numPr>
          <w:ilvl w:val="0"/>
          <w:numId w:val="9"/>
        </w:numPr>
        <w:ind w:left="1134" w:hanging="567"/>
      </w:pPr>
      <w:r w:rsidRPr="003E3A6A">
        <w:rPr>
          <w:u w:val="single"/>
        </w:rPr>
        <w:t>Recalling</w:t>
      </w:r>
      <w:r w:rsidR="005B7A35" w:rsidRPr="003E3A6A">
        <w:t xml:space="preserve"> </w:t>
      </w:r>
      <w:r w:rsidR="00E30A73" w:rsidRPr="003E3A6A">
        <w:t>Article 7 and Decisions </w:t>
      </w:r>
      <w:hyperlink r:id="rId22" w:history="1">
        <w:r w:rsidR="00E30A73" w:rsidRPr="00EE0E30">
          <w:rPr>
            <w:rStyle w:val="Hyperlink"/>
          </w:rPr>
          <w:t>8.COM 5.c.1</w:t>
        </w:r>
      </w:hyperlink>
      <w:r w:rsidRPr="003E3A6A">
        <w:t>,</w:t>
      </w:r>
      <w:r w:rsidR="00E30A73" w:rsidRPr="003E3A6A">
        <w:t xml:space="preserve"> </w:t>
      </w:r>
      <w:hyperlink r:id="rId23" w:history="1">
        <w:r w:rsidR="00E30A73" w:rsidRPr="00EE0E30">
          <w:rPr>
            <w:rStyle w:val="Hyperlink"/>
          </w:rPr>
          <w:t>9.COM 13.e</w:t>
        </w:r>
      </w:hyperlink>
      <w:r w:rsidR="00662576" w:rsidRPr="003E3A6A">
        <w:t xml:space="preserve">, </w:t>
      </w:r>
      <w:hyperlink r:id="rId24" w:history="1">
        <w:r w:rsidR="00E30A73" w:rsidRPr="00EE0E30">
          <w:rPr>
            <w:rStyle w:val="Hyperlink"/>
          </w:rPr>
          <w:t>10.COM 9</w:t>
        </w:r>
      </w:hyperlink>
      <w:r w:rsidR="00662576" w:rsidRPr="003E3A6A">
        <w:t xml:space="preserve"> and </w:t>
      </w:r>
      <w:hyperlink r:id="rId25" w:history="1">
        <w:r w:rsidR="00662576" w:rsidRPr="00EE0E30">
          <w:rPr>
            <w:rStyle w:val="Hyperlink"/>
          </w:rPr>
          <w:t>11.COM 2.BUR 1</w:t>
        </w:r>
      </w:hyperlink>
      <w:r w:rsidR="00E30A73" w:rsidRPr="003E3A6A">
        <w:t>,</w:t>
      </w:r>
    </w:p>
    <w:p w:rsidR="00E30A73" w:rsidRPr="003E3A6A" w:rsidRDefault="00E30A73" w:rsidP="00BD35B9">
      <w:pPr>
        <w:pStyle w:val="COMParaDecision"/>
        <w:keepLines/>
        <w:ind w:left="1134" w:hanging="567"/>
      </w:pPr>
      <w:r w:rsidRPr="003E3A6A">
        <w:rPr>
          <w:u w:val="single"/>
        </w:rPr>
        <w:t>Thanking</w:t>
      </w:r>
      <w:r w:rsidRPr="003E3A6A">
        <w:t xml:space="preserve"> the </w:t>
      </w:r>
      <w:r w:rsidRPr="003E3A6A">
        <w:rPr>
          <w:rStyle w:val="hps"/>
        </w:rPr>
        <w:t xml:space="preserve">National Commission of the People’s Republic of China for having </w:t>
      </w:r>
      <w:r w:rsidRPr="003E3A6A">
        <w:t xml:space="preserve">generously hosted and co-funded the </w:t>
      </w:r>
      <w:r w:rsidR="005611EC" w:rsidRPr="003E3A6A">
        <w:t xml:space="preserve">preliminary </w:t>
      </w:r>
      <w:r w:rsidRPr="003E3A6A">
        <w:t>expert meeting on developing an overall results framework for the Convention that was held in Beijing, China, from 7 to 9</w:t>
      </w:r>
      <w:r w:rsidR="004E7B29">
        <w:t> </w:t>
      </w:r>
      <w:bookmarkStart w:id="0" w:name="_GoBack"/>
      <w:bookmarkEnd w:id="0"/>
      <w:r w:rsidRPr="003E3A6A">
        <w:t>September 2016,</w:t>
      </w:r>
    </w:p>
    <w:p w:rsidR="00E30A73" w:rsidRPr="003E3A6A" w:rsidRDefault="00E30A73" w:rsidP="00E30A73">
      <w:pPr>
        <w:pStyle w:val="COMParaDecision"/>
        <w:ind w:left="1134" w:hanging="567"/>
      </w:pPr>
      <w:r w:rsidRPr="003E3A6A">
        <w:rPr>
          <w:u w:val="single"/>
        </w:rPr>
        <w:t>Acknowledging</w:t>
      </w:r>
      <w:r w:rsidRPr="003E3A6A">
        <w:t xml:space="preserve"> the importance of developing an overall results framework for adequately </w:t>
      </w:r>
      <w:r w:rsidR="00336423" w:rsidRPr="003E3A6A">
        <w:t>fulfilling</w:t>
      </w:r>
      <w:r w:rsidRPr="003E3A6A">
        <w:t xml:space="preserve"> its function of </w:t>
      </w:r>
      <w:r w:rsidR="00336423" w:rsidRPr="003E3A6A">
        <w:t xml:space="preserve">monitoring the implementation of the Convention and </w:t>
      </w:r>
      <w:r w:rsidR="00336423" w:rsidRPr="003E3A6A">
        <w:rPr>
          <w:u w:val="single"/>
        </w:rPr>
        <w:t>reaffirming</w:t>
      </w:r>
      <w:r w:rsidR="00336423" w:rsidRPr="003E3A6A">
        <w:t xml:space="preserve"> the necessity for an inclusive process of consultation and discussion in the development of such a framework,</w:t>
      </w:r>
    </w:p>
    <w:p w:rsidR="007A1B55" w:rsidRPr="003E3A6A" w:rsidRDefault="007A1B55" w:rsidP="007A1B55">
      <w:pPr>
        <w:pStyle w:val="COMParaDecision"/>
        <w:ind w:left="1134" w:hanging="567"/>
      </w:pPr>
      <w:r w:rsidRPr="003E3A6A">
        <w:rPr>
          <w:u w:val="single"/>
        </w:rPr>
        <w:t>Expresses its satisfaction</w:t>
      </w:r>
      <w:r w:rsidRPr="003E3A6A">
        <w:t xml:space="preserve"> with the outcome</w:t>
      </w:r>
      <w:r w:rsidR="00E93BD9" w:rsidRPr="003E3A6A">
        <w:t>s</w:t>
      </w:r>
      <w:r w:rsidRPr="003E3A6A">
        <w:t xml:space="preserve"> of the expert meeting and </w:t>
      </w:r>
      <w:r w:rsidRPr="003E3A6A">
        <w:rPr>
          <w:u w:val="single"/>
        </w:rPr>
        <w:t>thanks</w:t>
      </w:r>
      <w:r w:rsidRPr="003E3A6A">
        <w:t xml:space="preserve"> the experts for their efforts and contributions;</w:t>
      </w:r>
    </w:p>
    <w:p w:rsidR="007A1B55" w:rsidRPr="003E3A6A" w:rsidRDefault="007A1B55" w:rsidP="005850E1">
      <w:pPr>
        <w:pStyle w:val="COMParaDecision"/>
        <w:ind w:left="1134" w:hanging="567"/>
      </w:pPr>
      <w:r w:rsidRPr="003E3A6A">
        <w:rPr>
          <w:u w:val="single"/>
        </w:rPr>
        <w:t>Takes notes</w:t>
      </w:r>
      <w:r w:rsidRPr="003E3A6A">
        <w:t xml:space="preserve"> that the results map annexed to this decision reflects a vision of success for </w:t>
      </w:r>
      <w:r w:rsidR="00E93BD9" w:rsidRPr="003E3A6A">
        <w:t>the implementation of</w:t>
      </w:r>
      <w:r w:rsidRPr="003E3A6A">
        <w:t xml:space="preserve"> the Convention placing outcomes and impacts on a logical sequence </w:t>
      </w:r>
      <w:r w:rsidR="00E93BD9" w:rsidRPr="003E3A6A">
        <w:t xml:space="preserve">and </w:t>
      </w:r>
      <w:r w:rsidRPr="003E3A6A">
        <w:t xml:space="preserve">constitutes </w:t>
      </w:r>
      <w:r w:rsidR="005611EC" w:rsidRPr="003E3A6A">
        <w:t>a thinking tool</w:t>
      </w:r>
      <w:r w:rsidRPr="003E3A6A">
        <w:t xml:space="preserve"> </w:t>
      </w:r>
      <w:r w:rsidR="005611EC" w:rsidRPr="003E3A6A">
        <w:t xml:space="preserve">for </w:t>
      </w:r>
      <w:r w:rsidRPr="003E3A6A">
        <w:t>developing an overall results framework;</w:t>
      </w:r>
    </w:p>
    <w:p w:rsidR="005611EC" w:rsidRPr="003E3A6A" w:rsidRDefault="005611EC" w:rsidP="005611EC">
      <w:pPr>
        <w:pStyle w:val="COMParaDecision"/>
        <w:ind w:left="1134" w:hanging="567"/>
      </w:pPr>
      <w:r w:rsidRPr="003E3A6A">
        <w:rPr>
          <w:u w:val="single"/>
        </w:rPr>
        <w:t>Requests</w:t>
      </w:r>
      <w:r w:rsidRPr="003E3A6A">
        <w:t xml:space="preserve"> the Secretariat to continue developing an overall results framework building on the discussions of</w:t>
      </w:r>
      <w:r w:rsidR="00DA1D7D">
        <w:t xml:space="preserve"> the preliminary expert meeting</w:t>
      </w:r>
      <w:r w:rsidRPr="003E3A6A">
        <w:t>;</w:t>
      </w:r>
    </w:p>
    <w:p w:rsidR="0017513A" w:rsidRPr="003E3A6A" w:rsidRDefault="002D7EB2" w:rsidP="00CA336B">
      <w:pPr>
        <w:pStyle w:val="COMParaDecision"/>
        <w:ind w:left="1134" w:hanging="567"/>
      </w:pPr>
      <w:r w:rsidRPr="003E3A6A">
        <w:rPr>
          <w:u w:val="single"/>
        </w:rPr>
        <w:t>Further takes note</w:t>
      </w:r>
      <w:r w:rsidRPr="003E3A6A">
        <w:t xml:space="preserve"> that, to date, no voluntary supplementary contributions have been received into the Intangible Cultural Heritage Fund in order to cover all of the costs of organizing an open ended intergovernmental working group for this purpose, including the costs of the participation of representatives of developing countries that are parties to the Convention, whether or not members of the Committee, but only for persons who are experts in intangible cultural heritage;</w:t>
      </w:r>
    </w:p>
    <w:p w:rsidR="005850E1" w:rsidRPr="005850E1" w:rsidRDefault="005850E1" w:rsidP="003E5DEF">
      <w:pPr>
        <w:pStyle w:val="COMParaDecision"/>
        <w:ind w:left="1134" w:hanging="567"/>
      </w:pPr>
      <w:r w:rsidRPr="003E3A6A">
        <w:rPr>
          <w:u w:val="single"/>
        </w:rPr>
        <w:t>Decides</w:t>
      </w:r>
      <w:r w:rsidR="007D7CAE" w:rsidRPr="003E3A6A">
        <w:t xml:space="preserve"> </w:t>
      </w:r>
      <w:r w:rsidRPr="003E3A6A">
        <w:t xml:space="preserve">to include this topic on the agenda of its twelfth session, with a view to </w:t>
      </w:r>
      <w:r w:rsidR="003E5DEF" w:rsidRPr="003E3A6A">
        <w:t xml:space="preserve">examining </w:t>
      </w:r>
      <w:r w:rsidR="006C6360" w:rsidRPr="003E3A6A">
        <w:t>the conclusions</w:t>
      </w:r>
      <w:r w:rsidRPr="003E3A6A">
        <w:t xml:space="preserve"> of the open ended intergovernmental working group</w:t>
      </w:r>
      <w:r w:rsidR="00757651">
        <w:t>, should it occur</w:t>
      </w:r>
      <w:r w:rsidR="006C6360">
        <w:t>.</w:t>
      </w:r>
    </w:p>
    <w:p w:rsidR="00BD35B9" w:rsidRPr="007773D7" w:rsidRDefault="001C4685" w:rsidP="00A608A5">
      <w:pPr>
        <w:pStyle w:val="COMParaDecision"/>
        <w:numPr>
          <w:ilvl w:val="0"/>
          <w:numId w:val="0"/>
        </w:numPr>
        <w:jc w:val="center"/>
        <w:rPr>
          <w:b/>
        </w:rPr>
      </w:pPr>
      <w:r w:rsidRPr="007773D7">
        <w:br w:type="page"/>
      </w:r>
      <w:r w:rsidR="00BD35B9" w:rsidRPr="007773D7">
        <w:rPr>
          <w:b/>
        </w:rPr>
        <w:lastRenderedPageBreak/>
        <w:t>ANNEX</w:t>
      </w:r>
    </w:p>
    <w:p w:rsidR="00BD35B9" w:rsidRPr="007773D7" w:rsidRDefault="00BD35B9" w:rsidP="00BD35B9">
      <w:pPr>
        <w:spacing w:before="120" w:after="120"/>
        <w:jc w:val="center"/>
        <w:rPr>
          <w:rFonts w:ascii="Arial" w:hAnsi="Arial" w:cs="Arial"/>
          <w:b/>
          <w:sz w:val="22"/>
          <w:szCs w:val="22"/>
          <w:lang w:val="en-GB"/>
        </w:rPr>
      </w:pPr>
      <w:r w:rsidRPr="007773D7">
        <w:rPr>
          <w:rFonts w:ascii="Arial" w:hAnsi="Arial" w:cs="Arial"/>
          <w:b/>
          <w:sz w:val="22"/>
          <w:szCs w:val="22"/>
          <w:lang w:val="en-GB"/>
        </w:rPr>
        <w:t>Results map for developing an overall results framework for the Convention</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6"/>
        <w:gridCol w:w="1650"/>
        <w:gridCol w:w="236"/>
        <w:gridCol w:w="1963"/>
        <w:gridCol w:w="236"/>
        <w:gridCol w:w="2211"/>
        <w:gridCol w:w="236"/>
        <w:gridCol w:w="1858"/>
      </w:tblGrid>
      <w:tr w:rsidR="00B66007" w:rsidRPr="00737DC6" w:rsidTr="00A608A5">
        <w:tc>
          <w:tcPr>
            <w:tcW w:w="1384" w:type="dxa"/>
            <w:tcBorders>
              <w:bottom w:val="single" w:sz="4" w:space="0" w:color="auto"/>
            </w:tcBorders>
            <w:shd w:val="clear" w:color="auto" w:fill="auto"/>
          </w:tcPr>
          <w:p w:rsidR="00BD35B9" w:rsidRPr="00CF3EAB" w:rsidRDefault="00BD35B9" w:rsidP="00CF3EAB">
            <w:pPr>
              <w:pStyle w:val="COMParaDecision"/>
              <w:numPr>
                <w:ilvl w:val="0"/>
                <w:numId w:val="0"/>
              </w:numPr>
              <w:spacing w:before="120"/>
              <w:jc w:val="left"/>
              <w:rPr>
                <w:b/>
                <w:sz w:val="20"/>
                <w:szCs w:val="20"/>
              </w:rPr>
            </w:pPr>
            <w:r w:rsidRPr="00CF3EAB">
              <w:rPr>
                <w:b/>
                <w:sz w:val="20"/>
                <w:szCs w:val="20"/>
              </w:rPr>
              <w:t>Inputs</w:t>
            </w:r>
          </w:p>
        </w:tc>
        <w:tc>
          <w:tcPr>
            <w:tcW w:w="256" w:type="dxa"/>
            <w:tcBorders>
              <w:top w:val="nil"/>
              <w:bottom w:val="nil"/>
            </w:tcBorders>
            <w:shd w:val="clear" w:color="auto" w:fill="auto"/>
          </w:tcPr>
          <w:p w:rsidR="00BD35B9" w:rsidRPr="00CF3EAB" w:rsidRDefault="00BD35B9" w:rsidP="00CF3EAB">
            <w:pPr>
              <w:pStyle w:val="COMParaDecision"/>
              <w:numPr>
                <w:ilvl w:val="0"/>
                <w:numId w:val="0"/>
              </w:numPr>
              <w:spacing w:before="120"/>
              <w:jc w:val="left"/>
              <w:rPr>
                <w:sz w:val="20"/>
                <w:szCs w:val="20"/>
              </w:rPr>
            </w:pPr>
          </w:p>
        </w:tc>
        <w:tc>
          <w:tcPr>
            <w:tcW w:w="8390" w:type="dxa"/>
            <w:gridSpan w:val="7"/>
            <w:shd w:val="clear" w:color="auto" w:fill="auto"/>
          </w:tcPr>
          <w:p w:rsidR="00BD35B9" w:rsidRPr="00CF3EAB" w:rsidRDefault="00BD35B9" w:rsidP="00CF3EAB">
            <w:pPr>
              <w:pStyle w:val="COMParaDecision"/>
              <w:numPr>
                <w:ilvl w:val="0"/>
                <w:numId w:val="0"/>
              </w:numPr>
              <w:spacing w:before="120"/>
              <w:jc w:val="left"/>
              <w:rPr>
                <w:sz w:val="20"/>
                <w:szCs w:val="20"/>
              </w:rPr>
            </w:pPr>
            <w:r w:rsidRPr="00CF3EAB">
              <w:rPr>
                <w:sz w:val="20"/>
                <w:szCs w:val="20"/>
              </w:rPr>
              <w:t>Resources needed to safeguard intangible cultural heritage identified and agreed by relevant stakeholders</w:t>
            </w:r>
          </w:p>
        </w:tc>
      </w:tr>
      <w:tr w:rsidR="00B66007" w:rsidRPr="00737DC6" w:rsidTr="00A608A5">
        <w:trPr>
          <w:trHeight w:val="20"/>
        </w:trPr>
        <w:tc>
          <w:tcPr>
            <w:tcW w:w="1384" w:type="dxa"/>
            <w:tcBorders>
              <w:left w:val="nil"/>
              <w:right w:val="nil"/>
            </w:tcBorders>
            <w:shd w:val="clear" w:color="auto" w:fill="auto"/>
          </w:tcPr>
          <w:p w:rsidR="00BD35B9" w:rsidRPr="00CF3EAB" w:rsidRDefault="00BD35B9" w:rsidP="00CF3EAB">
            <w:pPr>
              <w:pStyle w:val="COMParaDecision"/>
              <w:numPr>
                <w:ilvl w:val="0"/>
                <w:numId w:val="0"/>
              </w:numPr>
              <w:spacing w:after="0" w:line="60" w:lineRule="exact"/>
              <w:jc w:val="left"/>
              <w:rPr>
                <w:b/>
                <w:sz w:val="20"/>
                <w:szCs w:val="20"/>
              </w:rPr>
            </w:pPr>
          </w:p>
        </w:tc>
        <w:tc>
          <w:tcPr>
            <w:tcW w:w="256" w:type="dxa"/>
            <w:tcBorders>
              <w:top w:val="nil"/>
              <w:left w:val="nil"/>
              <w:bottom w:val="nil"/>
              <w:right w:val="nil"/>
            </w:tcBorders>
            <w:shd w:val="clear" w:color="auto" w:fill="auto"/>
          </w:tcPr>
          <w:p w:rsidR="00BD35B9" w:rsidRPr="00CF3EAB" w:rsidRDefault="00BD35B9" w:rsidP="00CF3EAB">
            <w:pPr>
              <w:pStyle w:val="COMParaDecision"/>
              <w:numPr>
                <w:ilvl w:val="0"/>
                <w:numId w:val="0"/>
              </w:numPr>
              <w:spacing w:after="0" w:line="60" w:lineRule="exact"/>
              <w:jc w:val="left"/>
              <w:rPr>
                <w:sz w:val="20"/>
                <w:szCs w:val="20"/>
              </w:rPr>
            </w:pPr>
          </w:p>
        </w:tc>
        <w:tc>
          <w:tcPr>
            <w:tcW w:w="3849" w:type="dxa"/>
            <w:gridSpan w:val="3"/>
            <w:tcBorders>
              <w:left w:val="nil"/>
              <w:right w:val="nil"/>
            </w:tcBorders>
            <w:shd w:val="clear" w:color="auto" w:fill="auto"/>
          </w:tcPr>
          <w:p w:rsidR="00BD35B9" w:rsidRPr="00CF3EAB" w:rsidRDefault="00BD35B9" w:rsidP="00CF3EAB">
            <w:pPr>
              <w:pStyle w:val="COMParaDecision"/>
              <w:numPr>
                <w:ilvl w:val="0"/>
                <w:numId w:val="0"/>
              </w:numPr>
              <w:spacing w:after="0" w:line="60" w:lineRule="exact"/>
              <w:jc w:val="left"/>
              <w:rPr>
                <w:sz w:val="20"/>
                <w:szCs w:val="20"/>
              </w:rPr>
            </w:pPr>
          </w:p>
        </w:tc>
        <w:tc>
          <w:tcPr>
            <w:tcW w:w="4541" w:type="dxa"/>
            <w:gridSpan w:val="4"/>
            <w:tcBorders>
              <w:left w:val="nil"/>
              <w:right w:val="nil"/>
            </w:tcBorders>
            <w:shd w:val="clear" w:color="auto" w:fill="auto"/>
          </w:tcPr>
          <w:p w:rsidR="00BD35B9" w:rsidRPr="00CF3EAB" w:rsidRDefault="00BD35B9" w:rsidP="00CF3EAB">
            <w:pPr>
              <w:pStyle w:val="COMParaDecision"/>
              <w:numPr>
                <w:ilvl w:val="0"/>
                <w:numId w:val="0"/>
              </w:numPr>
              <w:spacing w:after="0" w:line="60" w:lineRule="exact"/>
              <w:jc w:val="left"/>
              <w:rPr>
                <w:sz w:val="20"/>
                <w:szCs w:val="20"/>
              </w:rPr>
            </w:pPr>
          </w:p>
        </w:tc>
      </w:tr>
      <w:tr w:rsidR="00B66007" w:rsidRPr="007773D7" w:rsidTr="00A608A5">
        <w:tc>
          <w:tcPr>
            <w:tcW w:w="1384" w:type="dxa"/>
            <w:tcBorders>
              <w:bottom w:val="single" w:sz="4" w:space="0" w:color="auto"/>
            </w:tcBorders>
            <w:shd w:val="clear" w:color="auto" w:fill="auto"/>
          </w:tcPr>
          <w:p w:rsidR="00BD35B9" w:rsidRPr="00CF3EAB" w:rsidRDefault="00BD35B9" w:rsidP="00CF3EAB">
            <w:pPr>
              <w:pStyle w:val="COMParaDecision"/>
              <w:numPr>
                <w:ilvl w:val="0"/>
                <w:numId w:val="0"/>
              </w:numPr>
              <w:spacing w:before="120"/>
              <w:jc w:val="left"/>
              <w:rPr>
                <w:b/>
                <w:sz w:val="20"/>
                <w:szCs w:val="20"/>
              </w:rPr>
            </w:pPr>
            <w:r w:rsidRPr="00CF3EAB">
              <w:rPr>
                <w:b/>
                <w:sz w:val="20"/>
                <w:szCs w:val="20"/>
              </w:rPr>
              <w:t>Activities</w:t>
            </w:r>
            <w:r w:rsidRPr="00CF3EAB">
              <w:rPr>
                <w:b/>
                <w:sz w:val="20"/>
                <w:szCs w:val="20"/>
              </w:rPr>
              <w:br/>
            </w:r>
            <w:r w:rsidRPr="00CF3EAB">
              <w:rPr>
                <w:sz w:val="20"/>
                <w:szCs w:val="20"/>
              </w:rPr>
              <w:t>(</w:t>
            </w:r>
            <w:r w:rsidR="007773D7" w:rsidRPr="00CF3EAB">
              <w:rPr>
                <w:sz w:val="20"/>
                <w:szCs w:val="20"/>
              </w:rPr>
              <w:t xml:space="preserve">cf. </w:t>
            </w:r>
            <w:r w:rsidRPr="00CF3EAB">
              <w:rPr>
                <w:sz w:val="20"/>
                <w:szCs w:val="20"/>
              </w:rPr>
              <w:t>Article 2.3)</w:t>
            </w:r>
          </w:p>
        </w:tc>
        <w:tc>
          <w:tcPr>
            <w:tcW w:w="256" w:type="dxa"/>
            <w:tcBorders>
              <w:top w:val="nil"/>
              <w:bottom w:val="nil"/>
            </w:tcBorders>
            <w:shd w:val="clear" w:color="auto" w:fill="auto"/>
          </w:tcPr>
          <w:p w:rsidR="00BD35B9" w:rsidRPr="00CF3EAB" w:rsidRDefault="00BD35B9" w:rsidP="00CF3EAB">
            <w:pPr>
              <w:pStyle w:val="COMParaDecision"/>
              <w:numPr>
                <w:ilvl w:val="0"/>
                <w:numId w:val="0"/>
              </w:numPr>
              <w:spacing w:before="120"/>
              <w:jc w:val="left"/>
              <w:rPr>
                <w:sz w:val="20"/>
                <w:szCs w:val="20"/>
              </w:rPr>
            </w:pPr>
          </w:p>
        </w:tc>
        <w:tc>
          <w:tcPr>
            <w:tcW w:w="8390" w:type="dxa"/>
            <w:gridSpan w:val="7"/>
            <w:shd w:val="clear" w:color="auto" w:fill="auto"/>
          </w:tcPr>
          <w:p w:rsidR="00BD35B9" w:rsidRPr="00CF3EAB" w:rsidRDefault="00BD35B9" w:rsidP="00CF3EAB">
            <w:pPr>
              <w:pStyle w:val="COMParaDecision"/>
              <w:numPr>
                <w:ilvl w:val="0"/>
                <w:numId w:val="0"/>
              </w:numPr>
              <w:spacing w:before="120"/>
              <w:jc w:val="left"/>
              <w:rPr>
                <w:sz w:val="20"/>
                <w:szCs w:val="20"/>
              </w:rPr>
            </w:pPr>
            <w:r w:rsidRPr="00CF3EAB">
              <w:rPr>
                <w:sz w:val="20"/>
                <w:szCs w:val="20"/>
              </w:rPr>
              <w:t>Actions to safeguard intangible cultural heritage identified and agreed by relevant stakeholders</w:t>
            </w:r>
            <w:r w:rsidR="0059614F">
              <w:rPr>
                <w:sz w:val="20"/>
                <w:szCs w:val="20"/>
              </w:rPr>
              <w:t xml:space="preserve"> such as</w:t>
            </w:r>
            <w:r w:rsidRPr="00CF3EAB">
              <w:rPr>
                <w:sz w:val="20"/>
                <w:szCs w:val="20"/>
              </w:rPr>
              <w:t>:</w:t>
            </w:r>
          </w:p>
          <w:p w:rsidR="00BD35B9" w:rsidRPr="00CF3EAB" w:rsidRDefault="00DA1D7D" w:rsidP="00700FE0">
            <w:pPr>
              <w:pStyle w:val="COMParaDecision"/>
              <w:numPr>
                <w:ilvl w:val="0"/>
                <w:numId w:val="6"/>
              </w:numPr>
              <w:spacing w:after="0"/>
              <w:ind w:left="714" w:hanging="357"/>
              <w:jc w:val="left"/>
              <w:rPr>
                <w:sz w:val="20"/>
                <w:szCs w:val="20"/>
              </w:rPr>
            </w:pPr>
            <w:r>
              <w:rPr>
                <w:sz w:val="20"/>
                <w:szCs w:val="20"/>
              </w:rPr>
              <w:t>identification</w:t>
            </w:r>
          </w:p>
          <w:p w:rsidR="00BD35B9" w:rsidRPr="00CF3EAB" w:rsidRDefault="00DA1D7D" w:rsidP="00700FE0">
            <w:pPr>
              <w:pStyle w:val="COMParaDecision"/>
              <w:numPr>
                <w:ilvl w:val="0"/>
                <w:numId w:val="6"/>
              </w:numPr>
              <w:spacing w:after="0"/>
              <w:ind w:left="714" w:hanging="357"/>
              <w:jc w:val="left"/>
              <w:rPr>
                <w:sz w:val="20"/>
                <w:szCs w:val="20"/>
              </w:rPr>
            </w:pPr>
            <w:r>
              <w:rPr>
                <w:sz w:val="20"/>
                <w:szCs w:val="20"/>
              </w:rPr>
              <w:t>documentation</w:t>
            </w:r>
          </w:p>
          <w:p w:rsidR="00BD35B9" w:rsidRPr="00CF3EAB" w:rsidRDefault="00DA1D7D" w:rsidP="00700FE0">
            <w:pPr>
              <w:pStyle w:val="COMParaDecision"/>
              <w:numPr>
                <w:ilvl w:val="0"/>
                <w:numId w:val="6"/>
              </w:numPr>
              <w:spacing w:after="0"/>
              <w:ind w:left="714" w:hanging="357"/>
              <w:jc w:val="left"/>
              <w:rPr>
                <w:sz w:val="20"/>
                <w:szCs w:val="20"/>
              </w:rPr>
            </w:pPr>
            <w:r>
              <w:rPr>
                <w:sz w:val="20"/>
                <w:szCs w:val="20"/>
              </w:rPr>
              <w:t>research</w:t>
            </w:r>
          </w:p>
          <w:p w:rsidR="00BD35B9" w:rsidRPr="00CF3EAB" w:rsidRDefault="00DA1D7D" w:rsidP="00700FE0">
            <w:pPr>
              <w:pStyle w:val="COMParaDecision"/>
              <w:numPr>
                <w:ilvl w:val="0"/>
                <w:numId w:val="6"/>
              </w:numPr>
              <w:spacing w:after="0"/>
              <w:ind w:left="714" w:hanging="357"/>
              <w:jc w:val="left"/>
              <w:rPr>
                <w:sz w:val="20"/>
                <w:szCs w:val="20"/>
              </w:rPr>
            </w:pPr>
            <w:r>
              <w:rPr>
                <w:sz w:val="20"/>
                <w:szCs w:val="20"/>
              </w:rPr>
              <w:t>preservation</w:t>
            </w:r>
          </w:p>
          <w:p w:rsidR="00BD35B9" w:rsidRPr="00CF3EAB" w:rsidRDefault="00BD35B9" w:rsidP="00700FE0">
            <w:pPr>
              <w:pStyle w:val="COMParaDecision"/>
              <w:numPr>
                <w:ilvl w:val="0"/>
                <w:numId w:val="6"/>
              </w:numPr>
              <w:spacing w:after="0"/>
              <w:ind w:left="714" w:hanging="357"/>
              <w:jc w:val="left"/>
              <w:rPr>
                <w:sz w:val="20"/>
                <w:szCs w:val="20"/>
              </w:rPr>
            </w:pPr>
            <w:r w:rsidRPr="00CF3EAB">
              <w:rPr>
                <w:sz w:val="20"/>
                <w:szCs w:val="20"/>
              </w:rPr>
              <w:t>protection</w:t>
            </w:r>
          </w:p>
          <w:p w:rsidR="00BD35B9" w:rsidRPr="00CF3EAB" w:rsidRDefault="00DA1D7D" w:rsidP="00700FE0">
            <w:pPr>
              <w:pStyle w:val="COMParaDecision"/>
              <w:numPr>
                <w:ilvl w:val="0"/>
                <w:numId w:val="6"/>
              </w:numPr>
              <w:spacing w:after="0"/>
              <w:ind w:left="714" w:hanging="357"/>
              <w:jc w:val="left"/>
              <w:rPr>
                <w:sz w:val="20"/>
                <w:szCs w:val="20"/>
              </w:rPr>
            </w:pPr>
            <w:r>
              <w:rPr>
                <w:sz w:val="20"/>
                <w:szCs w:val="20"/>
              </w:rPr>
              <w:t>promotion</w:t>
            </w:r>
          </w:p>
          <w:p w:rsidR="00BD35B9" w:rsidRPr="00CF3EAB" w:rsidRDefault="00DA1D7D" w:rsidP="00700FE0">
            <w:pPr>
              <w:pStyle w:val="COMParaDecision"/>
              <w:numPr>
                <w:ilvl w:val="0"/>
                <w:numId w:val="6"/>
              </w:numPr>
              <w:spacing w:after="0"/>
              <w:ind w:left="714" w:hanging="357"/>
              <w:jc w:val="left"/>
              <w:rPr>
                <w:sz w:val="20"/>
                <w:szCs w:val="20"/>
              </w:rPr>
            </w:pPr>
            <w:r>
              <w:rPr>
                <w:sz w:val="20"/>
                <w:szCs w:val="20"/>
              </w:rPr>
              <w:t>enhancement</w:t>
            </w:r>
          </w:p>
          <w:p w:rsidR="00BD35B9" w:rsidRPr="00CF3EAB" w:rsidRDefault="00BD35B9" w:rsidP="00700FE0">
            <w:pPr>
              <w:pStyle w:val="COMParaDecision"/>
              <w:numPr>
                <w:ilvl w:val="0"/>
                <w:numId w:val="6"/>
              </w:numPr>
              <w:spacing w:after="0"/>
              <w:ind w:left="714" w:hanging="357"/>
              <w:jc w:val="left"/>
              <w:rPr>
                <w:sz w:val="20"/>
                <w:szCs w:val="20"/>
              </w:rPr>
            </w:pPr>
            <w:r w:rsidRPr="00CF3EAB">
              <w:rPr>
                <w:sz w:val="20"/>
                <w:szCs w:val="20"/>
              </w:rPr>
              <w:t>transmission, particularly through formal and non-formal</w:t>
            </w:r>
            <w:r w:rsidR="00DA1D7D">
              <w:rPr>
                <w:sz w:val="20"/>
                <w:szCs w:val="20"/>
              </w:rPr>
              <w:t xml:space="preserve"> education</w:t>
            </w:r>
          </w:p>
          <w:p w:rsidR="00BD35B9" w:rsidRPr="00CF3EAB" w:rsidRDefault="00BD35B9" w:rsidP="00700FE0">
            <w:pPr>
              <w:pStyle w:val="COMParaDecision"/>
              <w:numPr>
                <w:ilvl w:val="0"/>
                <w:numId w:val="6"/>
              </w:numPr>
              <w:spacing w:after="0"/>
              <w:ind w:left="714" w:hanging="357"/>
              <w:jc w:val="left"/>
              <w:rPr>
                <w:sz w:val="20"/>
                <w:szCs w:val="20"/>
              </w:rPr>
            </w:pPr>
            <w:r w:rsidRPr="00CF3EAB">
              <w:rPr>
                <w:sz w:val="20"/>
                <w:szCs w:val="20"/>
              </w:rPr>
              <w:t>revitalization</w:t>
            </w:r>
          </w:p>
          <w:p w:rsidR="00BD35B9" w:rsidRPr="00CF3EAB" w:rsidRDefault="00BD35B9" w:rsidP="00700FE0">
            <w:pPr>
              <w:pStyle w:val="COMParaDecision"/>
              <w:numPr>
                <w:ilvl w:val="0"/>
                <w:numId w:val="6"/>
              </w:numPr>
              <w:ind w:left="714" w:hanging="357"/>
              <w:jc w:val="left"/>
              <w:rPr>
                <w:sz w:val="20"/>
                <w:szCs w:val="20"/>
              </w:rPr>
            </w:pPr>
            <w:r w:rsidRPr="00CF3EAB">
              <w:rPr>
                <w:sz w:val="20"/>
                <w:szCs w:val="20"/>
              </w:rPr>
              <w:t>…</w:t>
            </w:r>
          </w:p>
        </w:tc>
      </w:tr>
      <w:tr w:rsidR="00B66007" w:rsidRPr="007773D7" w:rsidTr="00A608A5">
        <w:trPr>
          <w:trHeight w:val="80"/>
        </w:trPr>
        <w:tc>
          <w:tcPr>
            <w:tcW w:w="1384" w:type="dxa"/>
            <w:tcBorders>
              <w:left w:val="nil"/>
              <w:right w:val="nil"/>
            </w:tcBorders>
            <w:shd w:val="clear" w:color="auto" w:fill="auto"/>
          </w:tcPr>
          <w:p w:rsidR="00BD35B9" w:rsidRPr="00CF3EAB" w:rsidRDefault="00BD35B9" w:rsidP="00CF3EAB">
            <w:pPr>
              <w:pStyle w:val="COMParaDecision"/>
              <w:numPr>
                <w:ilvl w:val="0"/>
                <w:numId w:val="0"/>
              </w:numPr>
              <w:spacing w:after="0" w:line="60" w:lineRule="exact"/>
              <w:jc w:val="left"/>
              <w:rPr>
                <w:b/>
                <w:sz w:val="20"/>
                <w:szCs w:val="20"/>
              </w:rPr>
            </w:pPr>
          </w:p>
        </w:tc>
        <w:tc>
          <w:tcPr>
            <w:tcW w:w="256" w:type="dxa"/>
            <w:tcBorders>
              <w:top w:val="nil"/>
              <w:left w:val="nil"/>
              <w:bottom w:val="nil"/>
              <w:right w:val="nil"/>
            </w:tcBorders>
            <w:shd w:val="clear" w:color="auto" w:fill="auto"/>
          </w:tcPr>
          <w:p w:rsidR="00BD35B9" w:rsidRPr="00CF3EAB" w:rsidRDefault="00BD35B9" w:rsidP="00CF3EAB">
            <w:pPr>
              <w:pStyle w:val="COMParaDecision"/>
              <w:numPr>
                <w:ilvl w:val="0"/>
                <w:numId w:val="0"/>
              </w:numPr>
              <w:spacing w:after="0" w:line="60" w:lineRule="exact"/>
              <w:jc w:val="left"/>
              <w:rPr>
                <w:sz w:val="20"/>
                <w:szCs w:val="20"/>
              </w:rPr>
            </w:pPr>
          </w:p>
        </w:tc>
        <w:tc>
          <w:tcPr>
            <w:tcW w:w="3849" w:type="dxa"/>
            <w:gridSpan w:val="3"/>
            <w:tcBorders>
              <w:left w:val="nil"/>
              <w:right w:val="nil"/>
            </w:tcBorders>
            <w:shd w:val="clear" w:color="auto" w:fill="auto"/>
          </w:tcPr>
          <w:p w:rsidR="00BD35B9" w:rsidRPr="00CF3EAB" w:rsidRDefault="00BD35B9" w:rsidP="00CF3EAB">
            <w:pPr>
              <w:pStyle w:val="COMParaDecision"/>
              <w:numPr>
                <w:ilvl w:val="0"/>
                <w:numId w:val="0"/>
              </w:numPr>
              <w:spacing w:after="0" w:line="60" w:lineRule="exact"/>
              <w:jc w:val="left"/>
              <w:rPr>
                <w:sz w:val="20"/>
                <w:szCs w:val="20"/>
              </w:rPr>
            </w:pPr>
          </w:p>
        </w:tc>
        <w:tc>
          <w:tcPr>
            <w:tcW w:w="4541" w:type="dxa"/>
            <w:gridSpan w:val="4"/>
            <w:tcBorders>
              <w:left w:val="nil"/>
              <w:right w:val="nil"/>
            </w:tcBorders>
            <w:shd w:val="clear" w:color="auto" w:fill="auto"/>
          </w:tcPr>
          <w:p w:rsidR="00BD35B9" w:rsidRPr="00CF3EAB" w:rsidRDefault="00BD35B9" w:rsidP="00CF3EAB">
            <w:pPr>
              <w:pStyle w:val="COMParaDecision"/>
              <w:numPr>
                <w:ilvl w:val="0"/>
                <w:numId w:val="0"/>
              </w:numPr>
              <w:spacing w:after="0" w:line="60" w:lineRule="exact"/>
              <w:jc w:val="left"/>
              <w:rPr>
                <w:sz w:val="20"/>
                <w:szCs w:val="20"/>
              </w:rPr>
            </w:pPr>
          </w:p>
        </w:tc>
      </w:tr>
      <w:tr w:rsidR="00B66007" w:rsidRPr="007773D7" w:rsidTr="00A608A5">
        <w:tc>
          <w:tcPr>
            <w:tcW w:w="1384" w:type="dxa"/>
            <w:tcBorders>
              <w:bottom w:val="single" w:sz="4" w:space="0" w:color="auto"/>
            </w:tcBorders>
            <w:shd w:val="clear" w:color="auto" w:fill="auto"/>
          </w:tcPr>
          <w:p w:rsidR="00BD35B9" w:rsidRPr="00CF3EAB" w:rsidRDefault="00BD35B9" w:rsidP="00CF3EAB">
            <w:pPr>
              <w:pStyle w:val="COMParaDecision"/>
              <w:numPr>
                <w:ilvl w:val="0"/>
                <w:numId w:val="0"/>
              </w:numPr>
              <w:spacing w:before="120"/>
              <w:jc w:val="left"/>
              <w:rPr>
                <w:b/>
                <w:sz w:val="20"/>
                <w:szCs w:val="20"/>
              </w:rPr>
            </w:pPr>
            <w:r w:rsidRPr="00CF3EAB">
              <w:rPr>
                <w:b/>
                <w:sz w:val="20"/>
                <w:szCs w:val="20"/>
              </w:rPr>
              <w:t>Outputs</w:t>
            </w:r>
            <w:r w:rsidRPr="00CF3EAB">
              <w:rPr>
                <w:b/>
                <w:sz w:val="20"/>
                <w:szCs w:val="20"/>
              </w:rPr>
              <w:br/>
            </w:r>
            <w:r w:rsidRPr="00CF3EAB">
              <w:rPr>
                <w:sz w:val="20"/>
                <w:szCs w:val="20"/>
              </w:rPr>
              <w:t>(</w:t>
            </w:r>
            <w:r w:rsidR="007773D7" w:rsidRPr="00CF3EAB">
              <w:rPr>
                <w:sz w:val="20"/>
                <w:szCs w:val="20"/>
              </w:rPr>
              <w:t xml:space="preserve">cf. </w:t>
            </w:r>
            <w:r w:rsidRPr="00CF3EAB">
              <w:rPr>
                <w:sz w:val="20"/>
                <w:szCs w:val="20"/>
              </w:rPr>
              <w:t>Articles 11-18; 23)</w:t>
            </w:r>
          </w:p>
        </w:tc>
        <w:tc>
          <w:tcPr>
            <w:tcW w:w="256" w:type="dxa"/>
            <w:tcBorders>
              <w:top w:val="nil"/>
              <w:bottom w:val="nil"/>
            </w:tcBorders>
            <w:shd w:val="clear" w:color="auto" w:fill="auto"/>
          </w:tcPr>
          <w:p w:rsidR="00BD35B9" w:rsidRPr="00CF3EAB" w:rsidRDefault="00BD35B9" w:rsidP="00CF3EAB">
            <w:pPr>
              <w:pStyle w:val="COMParaDecision"/>
              <w:numPr>
                <w:ilvl w:val="0"/>
                <w:numId w:val="0"/>
              </w:numPr>
              <w:spacing w:before="120"/>
              <w:jc w:val="left"/>
              <w:rPr>
                <w:sz w:val="20"/>
                <w:szCs w:val="20"/>
              </w:rPr>
            </w:pPr>
          </w:p>
        </w:tc>
        <w:tc>
          <w:tcPr>
            <w:tcW w:w="8390" w:type="dxa"/>
            <w:gridSpan w:val="7"/>
            <w:shd w:val="clear" w:color="auto" w:fill="auto"/>
          </w:tcPr>
          <w:p w:rsidR="00BD35B9" w:rsidRPr="00CF3EAB" w:rsidRDefault="00BD35B9" w:rsidP="00CF3EAB">
            <w:pPr>
              <w:pStyle w:val="COMParaDecision"/>
              <w:numPr>
                <w:ilvl w:val="0"/>
                <w:numId w:val="0"/>
              </w:numPr>
              <w:spacing w:before="120"/>
              <w:jc w:val="left"/>
              <w:rPr>
                <w:sz w:val="20"/>
                <w:szCs w:val="20"/>
              </w:rPr>
            </w:pPr>
            <w:r w:rsidRPr="00CF3EAB">
              <w:rPr>
                <w:sz w:val="20"/>
                <w:szCs w:val="20"/>
              </w:rPr>
              <w:t>Identified and agreed actions implemented by relevant stakeholders</w:t>
            </w:r>
            <w:r w:rsidR="0059614F">
              <w:rPr>
                <w:sz w:val="20"/>
                <w:szCs w:val="20"/>
              </w:rPr>
              <w:t xml:space="preserve"> such as</w:t>
            </w:r>
            <w:r w:rsidRPr="00CF3EAB">
              <w:rPr>
                <w:sz w:val="20"/>
                <w:szCs w:val="20"/>
              </w:rPr>
              <w:t>:</w:t>
            </w:r>
          </w:p>
          <w:p w:rsidR="00BD35B9" w:rsidRPr="0059614F" w:rsidRDefault="00BD35B9" w:rsidP="00700FE0">
            <w:pPr>
              <w:pStyle w:val="COMParaDecision"/>
              <w:numPr>
                <w:ilvl w:val="0"/>
                <w:numId w:val="6"/>
              </w:numPr>
              <w:spacing w:after="0"/>
              <w:ind w:left="714" w:hanging="357"/>
              <w:jc w:val="left"/>
              <w:rPr>
                <w:sz w:val="20"/>
                <w:szCs w:val="20"/>
              </w:rPr>
            </w:pPr>
            <w:r w:rsidRPr="0059614F">
              <w:rPr>
                <w:sz w:val="20"/>
                <w:szCs w:val="20"/>
              </w:rPr>
              <w:t>inventories</w:t>
            </w:r>
          </w:p>
          <w:p w:rsidR="00BD35B9" w:rsidRPr="0059614F" w:rsidRDefault="00BD35B9" w:rsidP="00700FE0">
            <w:pPr>
              <w:pStyle w:val="COMParaDecision"/>
              <w:numPr>
                <w:ilvl w:val="0"/>
                <w:numId w:val="6"/>
              </w:numPr>
              <w:spacing w:after="0"/>
              <w:ind w:left="714" w:hanging="357"/>
              <w:jc w:val="left"/>
              <w:rPr>
                <w:sz w:val="20"/>
                <w:szCs w:val="20"/>
              </w:rPr>
            </w:pPr>
            <w:r w:rsidRPr="0059614F">
              <w:rPr>
                <w:sz w:val="20"/>
                <w:szCs w:val="20"/>
              </w:rPr>
              <w:t>policies</w:t>
            </w:r>
          </w:p>
          <w:p w:rsidR="00BD35B9" w:rsidRPr="0059614F" w:rsidRDefault="00BD35B9" w:rsidP="00700FE0">
            <w:pPr>
              <w:pStyle w:val="COMParaDecision"/>
              <w:numPr>
                <w:ilvl w:val="0"/>
                <w:numId w:val="6"/>
              </w:numPr>
              <w:spacing w:after="0"/>
              <w:ind w:left="714" w:hanging="357"/>
              <w:jc w:val="left"/>
              <w:rPr>
                <w:sz w:val="20"/>
                <w:szCs w:val="20"/>
              </w:rPr>
            </w:pPr>
            <w:r w:rsidRPr="0059614F">
              <w:rPr>
                <w:sz w:val="20"/>
                <w:szCs w:val="20"/>
              </w:rPr>
              <w:t>institutional frameworks</w:t>
            </w:r>
          </w:p>
          <w:p w:rsidR="00BD35B9" w:rsidRPr="0059614F" w:rsidRDefault="00BD35B9" w:rsidP="00700FE0">
            <w:pPr>
              <w:pStyle w:val="COMParaDecision"/>
              <w:numPr>
                <w:ilvl w:val="0"/>
                <w:numId w:val="6"/>
              </w:numPr>
              <w:spacing w:after="0"/>
              <w:ind w:left="714" w:hanging="357"/>
              <w:jc w:val="left"/>
              <w:rPr>
                <w:sz w:val="20"/>
                <w:szCs w:val="20"/>
              </w:rPr>
            </w:pPr>
            <w:r w:rsidRPr="0059614F">
              <w:rPr>
                <w:sz w:val="20"/>
                <w:szCs w:val="20"/>
              </w:rPr>
              <w:t>scientific, technical and artistic studies</w:t>
            </w:r>
          </w:p>
          <w:p w:rsidR="00BD35B9" w:rsidRPr="00AF21DD" w:rsidRDefault="00BD35B9" w:rsidP="00700FE0">
            <w:pPr>
              <w:pStyle w:val="COMParaDecision"/>
              <w:numPr>
                <w:ilvl w:val="0"/>
                <w:numId w:val="6"/>
              </w:numPr>
              <w:spacing w:after="0"/>
              <w:ind w:left="714" w:hanging="357"/>
              <w:jc w:val="left"/>
              <w:rPr>
                <w:sz w:val="20"/>
                <w:szCs w:val="20"/>
              </w:rPr>
            </w:pPr>
            <w:r w:rsidRPr="00AF21DD">
              <w:rPr>
                <w:sz w:val="20"/>
                <w:szCs w:val="20"/>
              </w:rPr>
              <w:t>educational, training, awareness-raising and information programmes</w:t>
            </w:r>
          </w:p>
          <w:p w:rsidR="00BD35B9" w:rsidRPr="0059614F" w:rsidRDefault="00BD35B9" w:rsidP="00700FE0">
            <w:pPr>
              <w:pStyle w:val="COMParaDecision"/>
              <w:numPr>
                <w:ilvl w:val="0"/>
                <w:numId w:val="6"/>
              </w:numPr>
              <w:spacing w:after="0"/>
              <w:ind w:left="714" w:hanging="357"/>
              <w:jc w:val="left"/>
              <w:rPr>
                <w:sz w:val="20"/>
                <w:szCs w:val="20"/>
              </w:rPr>
            </w:pPr>
            <w:r w:rsidRPr="0059614F">
              <w:rPr>
                <w:sz w:val="20"/>
                <w:szCs w:val="20"/>
              </w:rPr>
              <w:t>capacity-building programmes</w:t>
            </w:r>
          </w:p>
          <w:p w:rsidR="00BD35B9" w:rsidRPr="0059614F" w:rsidRDefault="00BD35B9" w:rsidP="00700FE0">
            <w:pPr>
              <w:pStyle w:val="COMParaDecision"/>
              <w:numPr>
                <w:ilvl w:val="0"/>
                <w:numId w:val="6"/>
              </w:numPr>
              <w:spacing w:after="0"/>
              <w:ind w:left="714" w:hanging="357"/>
              <w:jc w:val="left"/>
              <w:rPr>
                <w:sz w:val="20"/>
                <w:szCs w:val="20"/>
              </w:rPr>
            </w:pPr>
            <w:r w:rsidRPr="0059614F">
              <w:rPr>
                <w:sz w:val="20"/>
                <w:szCs w:val="20"/>
              </w:rPr>
              <w:t>participation in the international mechanisms of the Convention</w:t>
            </w:r>
          </w:p>
          <w:p w:rsidR="00BD35B9" w:rsidRPr="00CF3EAB" w:rsidRDefault="00BD35B9" w:rsidP="00700FE0">
            <w:pPr>
              <w:pStyle w:val="COMParaDecision"/>
              <w:numPr>
                <w:ilvl w:val="0"/>
                <w:numId w:val="6"/>
              </w:numPr>
              <w:ind w:left="714" w:hanging="357"/>
              <w:jc w:val="left"/>
              <w:rPr>
                <w:sz w:val="20"/>
                <w:szCs w:val="20"/>
              </w:rPr>
            </w:pPr>
            <w:r w:rsidRPr="0059614F">
              <w:rPr>
                <w:sz w:val="20"/>
                <w:szCs w:val="20"/>
              </w:rPr>
              <w:t>…</w:t>
            </w:r>
          </w:p>
        </w:tc>
      </w:tr>
      <w:tr w:rsidR="00B66007" w:rsidRPr="007773D7" w:rsidTr="00A608A5">
        <w:trPr>
          <w:trHeight w:val="80"/>
        </w:trPr>
        <w:tc>
          <w:tcPr>
            <w:tcW w:w="1384" w:type="dxa"/>
            <w:tcBorders>
              <w:left w:val="nil"/>
              <w:right w:val="nil"/>
            </w:tcBorders>
            <w:shd w:val="clear" w:color="auto" w:fill="auto"/>
          </w:tcPr>
          <w:p w:rsidR="00BD35B9" w:rsidRPr="00CF3EAB" w:rsidRDefault="00BD35B9" w:rsidP="00CF3EAB">
            <w:pPr>
              <w:pStyle w:val="COMParaDecision"/>
              <w:numPr>
                <w:ilvl w:val="0"/>
                <w:numId w:val="0"/>
              </w:numPr>
              <w:spacing w:after="0" w:line="60" w:lineRule="exact"/>
              <w:jc w:val="left"/>
              <w:rPr>
                <w:b/>
                <w:sz w:val="20"/>
                <w:szCs w:val="20"/>
              </w:rPr>
            </w:pPr>
          </w:p>
        </w:tc>
        <w:tc>
          <w:tcPr>
            <w:tcW w:w="256" w:type="dxa"/>
            <w:tcBorders>
              <w:top w:val="nil"/>
              <w:left w:val="nil"/>
              <w:bottom w:val="nil"/>
              <w:right w:val="nil"/>
            </w:tcBorders>
            <w:shd w:val="clear" w:color="auto" w:fill="auto"/>
          </w:tcPr>
          <w:p w:rsidR="00BD35B9" w:rsidRPr="00CF3EAB" w:rsidRDefault="00BD35B9" w:rsidP="00CF3EAB">
            <w:pPr>
              <w:pStyle w:val="COMParaDecision"/>
              <w:numPr>
                <w:ilvl w:val="0"/>
                <w:numId w:val="0"/>
              </w:numPr>
              <w:spacing w:after="0" w:line="60" w:lineRule="exact"/>
              <w:jc w:val="left"/>
              <w:rPr>
                <w:sz w:val="20"/>
                <w:szCs w:val="20"/>
              </w:rPr>
            </w:pPr>
          </w:p>
        </w:tc>
        <w:tc>
          <w:tcPr>
            <w:tcW w:w="3849" w:type="dxa"/>
            <w:gridSpan w:val="3"/>
            <w:tcBorders>
              <w:left w:val="nil"/>
              <w:bottom w:val="single" w:sz="4" w:space="0" w:color="auto"/>
              <w:right w:val="nil"/>
            </w:tcBorders>
            <w:shd w:val="clear" w:color="auto" w:fill="auto"/>
          </w:tcPr>
          <w:p w:rsidR="00BD35B9" w:rsidRPr="00CF3EAB" w:rsidRDefault="00BD35B9" w:rsidP="00CF3EAB">
            <w:pPr>
              <w:pStyle w:val="COMParaDecision"/>
              <w:numPr>
                <w:ilvl w:val="0"/>
                <w:numId w:val="0"/>
              </w:numPr>
              <w:spacing w:after="0" w:line="60" w:lineRule="exact"/>
              <w:jc w:val="left"/>
              <w:rPr>
                <w:sz w:val="20"/>
                <w:szCs w:val="20"/>
              </w:rPr>
            </w:pPr>
          </w:p>
        </w:tc>
        <w:tc>
          <w:tcPr>
            <w:tcW w:w="4541" w:type="dxa"/>
            <w:gridSpan w:val="4"/>
            <w:tcBorders>
              <w:left w:val="nil"/>
              <w:bottom w:val="nil"/>
              <w:right w:val="nil"/>
            </w:tcBorders>
            <w:shd w:val="clear" w:color="auto" w:fill="auto"/>
          </w:tcPr>
          <w:p w:rsidR="00BD35B9" w:rsidRPr="00CF3EAB" w:rsidRDefault="00BD35B9" w:rsidP="00CF3EAB">
            <w:pPr>
              <w:pStyle w:val="COMParaDecision"/>
              <w:numPr>
                <w:ilvl w:val="0"/>
                <w:numId w:val="0"/>
              </w:numPr>
              <w:spacing w:after="0" w:line="60" w:lineRule="exact"/>
              <w:jc w:val="left"/>
              <w:rPr>
                <w:sz w:val="20"/>
                <w:szCs w:val="20"/>
              </w:rPr>
            </w:pPr>
          </w:p>
        </w:tc>
      </w:tr>
      <w:tr w:rsidR="00B66007" w:rsidRPr="00737DC6" w:rsidTr="00A608A5">
        <w:trPr>
          <w:trHeight w:val="283"/>
        </w:trPr>
        <w:tc>
          <w:tcPr>
            <w:tcW w:w="1384" w:type="dxa"/>
            <w:tcBorders>
              <w:bottom w:val="single" w:sz="4" w:space="0" w:color="auto"/>
            </w:tcBorders>
            <w:shd w:val="clear" w:color="auto" w:fill="auto"/>
          </w:tcPr>
          <w:p w:rsidR="00BD35B9" w:rsidRPr="00CF3EAB" w:rsidRDefault="005611EC" w:rsidP="00CF3EAB">
            <w:pPr>
              <w:pStyle w:val="COMParaDecision"/>
              <w:numPr>
                <w:ilvl w:val="0"/>
                <w:numId w:val="0"/>
              </w:numPr>
              <w:spacing w:before="120"/>
              <w:jc w:val="left"/>
              <w:rPr>
                <w:b/>
                <w:sz w:val="20"/>
                <w:szCs w:val="20"/>
              </w:rPr>
            </w:pPr>
            <w:r>
              <w:rPr>
                <w:b/>
                <w:sz w:val="20"/>
                <w:szCs w:val="20"/>
              </w:rPr>
              <w:t>Short-term</w:t>
            </w:r>
            <w:r w:rsidR="00BD35B9" w:rsidRPr="00CF3EAB">
              <w:rPr>
                <w:b/>
                <w:sz w:val="20"/>
                <w:szCs w:val="20"/>
              </w:rPr>
              <w:t xml:space="preserve"> Outcomes</w:t>
            </w:r>
          </w:p>
        </w:tc>
        <w:tc>
          <w:tcPr>
            <w:tcW w:w="256" w:type="dxa"/>
            <w:tcBorders>
              <w:top w:val="nil"/>
              <w:bottom w:val="nil"/>
              <w:right w:val="single" w:sz="4" w:space="0" w:color="auto"/>
            </w:tcBorders>
            <w:shd w:val="clear" w:color="auto" w:fill="auto"/>
          </w:tcPr>
          <w:p w:rsidR="00BD35B9" w:rsidRPr="00CF3EAB" w:rsidRDefault="00BD35B9" w:rsidP="00CF3EAB">
            <w:pPr>
              <w:pStyle w:val="COMParaDecision"/>
              <w:numPr>
                <w:ilvl w:val="0"/>
                <w:numId w:val="0"/>
              </w:numPr>
              <w:spacing w:before="120"/>
              <w:jc w:val="left"/>
              <w:rPr>
                <w:sz w:val="20"/>
                <w:szCs w:val="20"/>
              </w:rPr>
            </w:pPr>
          </w:p>
        </w:tc>
        <w:tc>
          <w:tcPr>
            <w:tcW w:w="3849" w:type="dxa"/>
            <w:gridSpan w:val="3"/>
            <w:tcBorders>
              <w:top w:val="single" w:sz="4" w:space="0" w:color="auto"/>
              <w:left w:val="single" w:sz="4" w:space="0" w:color="auto"/>
              <w:bottom w:val="single" w:sz="4" w:space="0" w:color="auto"/>
              <w:right w:val="single" w:sz="4" w:space="0" w:color="auto"/>
            </w:tcBorders>
            <w:shd w:val="clear" w:color="auto" w:fill="auto"/>
          </w:tcPr>
          <w:p w:rsidR="00BD35B9" w:rsidRPr="00CF3EAB" w:rsidRDefault="00BD35B9" w:rsidP="00CF3EAB">
            <w:pPr>
              <w:pStyle w:val="COMParaDecision"/>
              <w:numPr>
                <w:ilvl w:val="0"/>
                <w:numId w:val="0"/>
              </w:numPr>
              <w:spacing w:before="120"/>
              <w:jc w:val="left"/>
              <w:rPr>
                <w:sz w:val="20"/>
                <w:szCs w:val="20"/>
              </w:rPr>
            </w:pPr>
            <w:r w:rsidRPr="00CF3EAB">
              <w:rPr>
                <w:sz w:val="20"/>
                <w:szCs w:val="20"/>
              </w:rPr>
              <w:t>Improved capacities to support the safeguarding of intangible cultural heritage in general</w:t>
            </w:r>
          </w:p>
        </w:tc>
        <w:tc>
          <w:tcPr>
            <w:tcW w:w="236" w:type="dxa"/>
            <w:tcBorders>
              <w:top w:val="nil"/>
              <w:left w:val="single" w:sz="4" w:space="0" w:color="auto"/>
              <w:bottom w:val="nil"/>
              <w:right w:val="single" w:sz="4" w:space="0" w:color="auto"/>
            </w:tcBorders>
            <w:shd w:val="clear" w:color="auto" w:fill="auto"/>
          </w:tcPr>
          <w:p w:rsidR="00BD35B9" w:rsidRPr="00CF3EAB" w:rsidRDefault="00BD35B9" w:rsidP="00EB3392">
            <w:pPr>
              <w:rPr>
                <w:sz w:val="20"/>
                <w:szCs w:val="20"/>
                <w:lang w:val="en-GB"/>
              </w:rPr>
            </w:pPr>
          </w:p>
        </w:tc>
        <w:tc>
          <w:tcPr>
            <w:tcW w:w="4305" w:type="dxa"/>
            <w:gridSpan w:val="3"/>
            <w:tcBorders>
              <w:top w:val="single" w:sz="4" w:space="0" w:color="auto"/>
              <w:left w:val="single" w:sz="4" w:space="0" w:color="auto"/>
              <w:bottom w:val="single" w:sz="4" w:space="0" w:color="auto"/>
              <w:right w:val="single" w:sz="4" w:space="0" w:color="auto"/>
            </w:tcBorders>
            <w:shd w:val="clear" w:color="auto" w:fill="auto"/>
          </w:tcPr>
          <w:p w:rsidR="00BD35B9" w:rsidRPr="00CF3EAB" w:rsidRDefault="00BD35B9" w:rsidP="00CF3EAB">
            <w:pPr>
              <w:pStyle w:val="COMParaDecision"/>
              <w:numPr>
                <w:ilvl w:val="0"/>
                <w:numId w:val="0"/>
              </w:numPr>
              <w:spacing w:before="120"/>
              <w:jc w:val="left"/>
              <w:rPr>
                <w:sz w:val="20"/>
                <w:szCs w:val="20"/>
              </w:rPr>
            </w:pPr>
            <w:r w:rsidRPr="00CF3EAB">
              <w:rPr>
                <w:sz w:val="20"/>
                <w:szCs w:val="20"/>
              </w:rPr>
              <w:t xml:space="preserve">Improved capacities to implement safeguarding measures or plans for specific elements </w:t>
            </w:r>
            <w:r w:rsidR="00DA1D7D">
              <w:rPr>
                <w:sz w:val="20"/>
                <w:szCs w:val="20"/>
              </w:rPr>
              <w:t>of intangible cultural heritage</w:t>
            </w:r>
          </w:p>
        </w:tc>
      </w:tr>
      <w:tr w:rsidR="00B66007" w:rsidRPr="00737DC6" w:rsidTr="00A608A5">
        <w:trPr>
          <w:trHeight w:val="80"/>
        </w:trPr>
        <w:tc>
          <w:tcPr>
            <w:tcW w:w="1384" w:type="dxa"/>
            <w:tcBorders>
              <w:left w:val="nil"/>
              <w:right w:val="nil"/>
            </w:tcBorders>
            <w:shd w:val="clear" w:color="auto" w:fill="auto"/>
          </w:tcPr>
          <w:p w:rsidR="00BD35B9" w:rsidRPr="00CF3EAB" w:rsidRDefault="00BD35B9" w:rsidP="00CF3EAB">
            <w:pPr>
              <w:pStyle w:val="COMParaDecision"/>
              <w:numPr>
                <w:ilvl w:val="0"/>
                <w:numId w:val="0"/>
              </w:numPr>
              <w:spacing w:after="0" w:line="60" w:lineRule="exact"/>
              <w:jc w:val="left"/>
              <w:rPr>
                <w:b/>
                <w:sz w:val="20"/>
                <w:szCs w:val="20"/>
              </w:rPr>
            </w:pPr>
          </w:p>
        </w:tc>
        <w:tc>
          <w:tcPr>
            <w:tcW w:w="256" w:type="dxa"/>
            <w:tcBorders>
              <w:top w:val="nil"/>
              <w:left w:val="nil"/>
              <w:bottom w:val="nil"/>
              <w:right w:val="nil"/>
            </w:tcBorders>
            <w:shd w:val="clear" w:color="auto" w:fill="auto"/>
          </w:tcPr>
          <w:p w:rsidR="00BD35B9" w:rsidRPr="00CF3EAB" w:rsidRDefault="00BD35B9" w:rsidP="00CF3EAB">
            <w:pPr>
              <w:pStyle w:val="COMParaDecision"/>
              <w:numPr>
                <w:ilvl w:val="0"/>
                <w:numId w:val="0"/>
              </w:numPr>
              <w:spacing w:after="0" w:line="60" w:lineRule="exact"/>
              <w:jc w:val="left"/>
              <w:rPr>
                <w:sz w:val="20"/>
                <w:szCs w:val="20"/>
              </w:rPr>
            </w:pPr>
          </w:p>
        </w:tc>
        <w:tc>
          <w:tcPr>
            <w:tcW w:w="3849" w:type="dxa"/>
            <w:gridSpan w:val="3"/>
            <w:tcBorders>
              <w:top w:val="single" w:sz="4" w:space="0" w:color="auto"/>
              <w:left w:val="nil"/>
              <w:bottom w:val="single" w:sz="4" w:space="0" w:color="auto"/>
              <w:right w:val="nil"/>
            </w:tcBorders>
            <w:shd w:val="clear" w:color="auto" w:fill="auto"/>
          </w:tcPr>
          <w:p w:rsidR="00BD35B9" w:rsidRPr="00CF3EAB" w:rsidRDefault="00BD35B9" w:rsidP="00A608A5">
            <w:pPr>
              <w:pStyle w:val="COMParaDecision"/>
              <w:numPr>
                <w:ilvl w:val="0"/>
                <w:numId w:val="0"/>
              </w:numPr>
              <w:spacing w:after="0" w:line="60" w:lineRule="exact"/>
              <w:jc w:val="center"/>
              <w:rPr>
                <w:sz w:val="20"/>
                <w:szCs w:val="20"/>
              </w:rPr>
            </w:pPr>
          </w:p>
        </w:tc>
        <w:tc>
          <w:tcPr>
            <w:tcW w:w="4541" w:type="dxa"/>
            <w:gridSpan w:val="4"/>
            <w:tcBorders>
              <w:top w:val="nil"/>
              <w:left w:val="nil"/>
              <w:bottom w:val="nil"/>
            </w:tcBorders>
            <w:shd w:val="clear" w:color="auto" w:fill="auto"/>
          </w:tcPr>
          <w:p w:rsidR="00BD35B9" w:rsidRPr="00CF3EAB" w:rsidRDefault="00BD35B9" w:rsidP="00CF3EAB">
            <w:pPr>
              <w:pStyle w:val="COMParaDecision"/>
              <w:numPr>
                <w:ilvl w:val="0"/>
                <w:numId w:val="0"/>
              </w:numPr>
              <w:spacing w:after="0" w:line="60" w:lineRule="exact"/>
              <w:jc w:val="left"/>
              <w:rPr>
                <w:sz w:val="20"/>
                <w:szCs w:val="20"/>
              </w:rPr>
            </w:pPr>
          </w:p>
        </w:tc>
      </w:tr>
      <w:tr w:rsidR="00B66007" w:rsidRPr="00737DC6" w:rsidTr="00A608A5">
        <w:trPr>
          <w:trHeight w:val="283"/>
        </w:trPr>
        <w:tc>
          <w:tcPr>
            <w:tcW w:w="1384" w:type="dxa"/>
            <w:tcBorders>
              <w:bottom w:val="single" w:sz="4" w:space="0" w:color="auto"/>
            </w:tcBorders>
            <w:shd w:val="clear" w:color="auto" w:fill="auto"/>
          </w:tcPr>
          <w:p w:rsidR="00BD35B9" w:rsidRPr="00CF3EAB" w:rsidRDefault="00812CD2" w:rsidP="005611EC">
            <w:pPr>
              <w:pStyle w:val="COMParaDecision"/>
              <w:numPr>
                <w:ilvl w:val="0"/>
                <w:numId w:val="0"/>
              </w:numPr>
              <w:spacing w:before="120"/>
              <w:jc w:val="left"/>
              <w:rPr>
                <w:b/>
                <w:sz w:val="20"/>
                <w:szCs w:val="20"/>
              </w:rPr>
            </w:pPr>
            <w:r w:rsidRPr="00CF3EAB">
              <w:rPr>
                <w:b/>
                <w:sz w:val="20"/>
                <w:szCs w:val="20"/>
              </w:rPr>
              <w:t>Mid-</w:t>
            </w:r>
            <w:r w:rsidR="005611EC">
              <w:rPr>
                <w:b/>
                <w:sz w:val="20"/>
                <w:szCs w:val="20"/>
              </w:rPr>
              <w:t>term</w:t>
            </w:r>
            <w:r w:rsidR="005611EC" w:rsidRPr="00CF3EAB">
              <w:rPr>
                <w:b/>
                <w:sz w:val="20"/>
                <w:szCs w:val="20"/>
              </w:rPr>
              <w:t xml:space="preserve"> </w:t>
            </w:r>
            <w:r w:rsidR="00BD35B9" w:rsidRPr="00CF3EAB">
              <w:rPr>
                <w:b/>
                <w:sz w:val="20"/>
                <w:szCs w:val="20"/>
              </w:rPr>
              <w:t>Outcomes</w:t>
            </w:r>
          </w:p>
        </w:tc>
        <w:tc>
          <w:tcPr>
            <w:tcW w:w="256" w:type="dxa"/>
            <w:tcBorders>
              <w:top w:val="nil"/>
              <w:bottom w:val="nil"/>
              <w:right w:val="single" w:sz="4" w:space="0" w:color="auto"/>
            </w:tcBorders>
            <w:shd w:val="clear" w:color="auto" w:fill="auto"/>
          </w:tcPr>
          <w:p w:rsidR="00BD35B9" w:rsidRPr="00CF3EAB" w:rsidRDefault="00BD35B9" w:rsidP="00CF3EAB">
            <w:pPr>
              <w:pStyle w:val="COMParaDecision"/>
              <w:numPr>
                <w:ilvl w:val="0"/>
                <w:numId w:val="0"/>
              </w:numPr>
              <w:spacing w:before="120"/>
              <w:jc w:val="left"/>
              <w:rPr>
                <w:sz w:val="20"/>
                <w:szCs w:val="20"/>
              </w:rPr>
            </w:pPr>
          </w:p>
        </w:tc>
        <w:tc>
          <w:tcPr>
            <w:tcW w:w="3849" w:type="dxa"/>
            <w:gridSpan w:val="3"/>
            <w:tcBorders>
              <w:top w:val="single" w:sz="4" w:space="0" w:color="auto"/>
              <w:left w:val="single" w:sz="4" w:space="0" w:color="auto"/>
              <w:bottom w:val="single" w:sz="4" w:space="0" w:color="auto"/>
              <w:right w:val="single" w:sz="4" w:space="0" w:color="auto"/>
            </w:tcBorders>
            <w:shd w:val="clear" w:color="auto" w:fill="auto"/>
          </w:tcPr>
          <w:p w:rsidR="00BD35B9" w:rsidRPr="00CF3EAB" w:rsidRDefault="00B66007" w:rsidP="00CF3EAB">
            <w:pPr>
              <w:pStyle w:val="COMParaDecision"/>
              <w:numPr>
                <w:ilvl w:val="0"/>
                <w:numId w:val="0"/>
              </w:numPr>
              <w:spacing w:before="120"/>
              <w:jc w:val="left"/>
              <w:rPr>
                <w:sz w:val="20"/>
                <w:szCs w:val="20"/>
              </w:rPr>
            </w:pPr>
            <w:r>
              <w:rPr>
                <w:sz w:val="20"/>
                <w:szCs w:val="20"/>
              </w:rPr>
              <w:t>E</w:t>
            </w:r>
            <w:r w:rsidR="00BD35B9" w:rsidRPr="00CF3EAB">
              <w:rPr>
                <w:sz w:val="20"/>
                <w:szCs w:val="20"/>
              </w:rPr>
              <w:t xml:space="preserve">ffective relationships built among a diversity of communities, groups and individuals and other stakeholders </w:t>
            </w:r>
            <w:r w:rsidR="005850E1">
              <w:rPr>
                <w:sz w:val="20"/>
                <w:szCs w:val="20"/>
              </w:rPr>
              <w:t xml:space="preserve">for safeguarding </w:t>
            </w:r>
            <w:r w:rsidR="005850E1" w:rsidRPr="00CF3EAB">
              <w:rPr>
                <w:sz w:val="20"/>
                <w:szCs w:val="20"/>
              </w:rPr>
              <w:t>intangible cultural heritage</w:t>
            </w:r>
          </w:p>
        </w:tc>
        <w:tc>
          <w:tcPr>
            <w:tcW w:w="236" w:type="dxa"/>
            <w:tcBorders>
              <w:top w:val="nil"/>
              <w:left w:val="single" w:sz="4" w:space="0" w:color="auto"/>
              <w:bottom w:val="nil"/>
              <w:right w:val="single" w:sz="4" w:space="0" w:color="auto"/>
            </w:tcBorders>
            <w:shd w:val="clear" w:color="auto" w:fill="auto"/>
          </w:tcPr>
          <w:p w:rsidR="00BD35B9" w:rsidRPr="00CF3EAB" w:rsidRDefault="00BD35B9" w:rsidP="00EB3392">
            <w:pPr>
              <w:rPr>
                <w:sz w:val="20"/>
                <w:szCs w:val="20"/>
                <w:lang w:val="en-GB"/>
              </w:rPr>
            </w:pPr>
          </w:p>
        </w:tc>
        <w:tc>
          <w:tcPr>
            <w:tcW w:w="4305" w:type="dxa"/>
            <w:gridSpan w:val="3"/>
            <w:tcBorders>
              <w:top w:val="single" w:sz="4" w:space="0" w:color="auto"/>
              <w:left w:val="single" w:sz="4" w:space="0" w:color="auto"/>
              <w:bottom w:val="single" w:sz="4" w:space="0" w:color="auto"/>
              <w:right w:val="single" w:sz="4" w:space="0" w:color="auto"/>
            </w:tcBorders>
            <w:shd w:val="clear" w:color="auto" w:fill="auto"/>
          </w:tcPr>
          <w:p w:rsidR="00BD35B9" w:rsidRPr="00CF3EAB" w:rsidRDefault="00BD35B9" w:rsidP="00CF3EAB">
            <w:pPr>
              <w:pStyle w:val="COMParaDecision"/>
              <w:numPr>
                <w:ilvl w:val="0"/>
                <w:numId w:val="0"/>
              </w:numPr>
              <w:spacing w:before="120"/>
              <w:jc w:val="left"/>
              <w:rPr>
                <w:sz w:val="20"/>
                <w:szCs w:val="20"/>
              </w:rPr>
            </w:pPr>
            <w:r w:rsidRPr="00CF3EAB">
              <w:rPr>
                <w:sz w:val="20"/>
                <w:szCs w:val="20"/>
              </w:rPr>
              <w:t>Dynamic development and implementation of safeguarding measures or plans</w:t>
            </w:r>
            <w:r w:rsidR="0073153B" w:rsidRPr="00CF3EAB">
              <w:rPr>
                <w:sz w:val="20"/>
                <w:szCs w:val="20"/>
              </w:rPr>
              <w:t xml:space="preserve"> for specific elements of intangible cultural heritage</w:t>
            </w:r>
            <w:r w:rsidRPr="00CF3EAB">
              <w:rPr>
                <w:sz w:val="20"/>
                <w:szCs w:val="20"/>
              </w:rPr>
              <w:t xml:space="preserve"> led by a diversity of communities, groups and individuals</w:t>
            </w:r>
          </w:p>
        </w:tc>
      </w:tr>
      <w:tr w:rsidR="00B66007" w:rsidRPr="00737DC6" w:rsidTr="00A608A5">
        <w:trPr>
          <w:trHeight w:val="80"/>
        </w:trPr>
        <w:tc>
          <w:tcPr>
            <w:tcW w:w="1384" w:type="dxa"/>
            <w:tcBorders>
              <w:left w:val="nil"/>
              <w:bottom w:val="single" w:sz="4" w:space="0" w:color="auto"/>
              <w:right w:val="nil"/>
            </w:tcBorders>
            <w:shd w:val="clear" w:color="auto" w:fill="auto"/>
          </w:tcPr>
          <w:p w:rsidR="00BD35B9" w:rsidRPr="00CF3EAB" w:rsidRDefault="00BD35B9" w:rsidP="00CF3EAB">
            <w:pPr>
              <w:pStyle w:val="COMParaDecision"/>
              <w:numPr>
                <w:ilvl w:val="0"/>
                <w:numId w:val="0"/>
              </w:numPr>
              <w:spacing w:after="0" w:line="60" w:lineRule="exact"/>
              <w:jc w:val="left"/>
              <w:rPr>
                <w:b/>
                <w:sz w:val="20"/>
                <w:szCs w:val="20"/>
              </w:rPr>
            </w:pPr>
          </w:p>
        </w:tc>
        <w:tc>
          <w:tcPr>
            <w:tcW w:w="256" w:type="dxa"/>
            <w:tcBorders>
              <w:top w:val="nil"/>
              <w:left w:val="nil"/>
              <w:bottom w:val="nil"/>
              <w:right w:val="nil"/>
            </w:tcBorders>
            <w:shd w:val="clear" w:color="auto" w:fill="auto"/>
          </w:tcPr>
          <w:p w:rsidR="00BD35B9" w:rsidRPr="00CF3EAB" w:rsidRDefault="00BD35B9" w:rsidP="00CF3EAB">
            <w:pPr>
              <w:pStyle w:val="COMParaDecision"/>
              <w:numPr>
                <w:ilvl w:val="0"/>
                <w:numId w:val="0"/>
              </w:numPr>
              <w:spacing w:after="0" w:line="60" w:lineRule="exact"/>
              <w:jc w:val="left"/>
              <w:rPr>
                <w:sz w:val="20"/>
                <w:szCs w:val="20"/>
              </w:rPr>
            </w:pPr>
          </w:p>
        </w:tc>
        <w:tc>
          <w:tcPr>
            <w:tcW w:w="3849" w:type="dxa"/>
            <w:gridSpan w:val="3"/>
            <w:tcBorders>
              <w:top w:val="single" w:sz="4" w:space="0" w:color="auto"/>
              <w:left w:val="nil"/>
              <w:bottom w:val="nil"/>
              <w:right w:val="nil"/>
            </w:tcBorders>
            <w:shd w:val="clear" w:color="auto" w:fill="auto"/>
          </w:tcPr>
          <w:p w:rsidR="00BD35B9" w:rsidRPr="00CF3EAB" w:rsidRDefault="00BD35B9" w:rsidP="00CF3EAB">
            <w:pPr>
              <w:pStyle w:val="COMParaDecision"/>
              <w:numPr>
                <w:ilvl w:val="0"/>
                <w:numId w:val="0"/>
              </w:numPr>
              <w:spacing w:after="0" w:line="60" w:lineRule="exact"/>
              <w:jc w:val="left"/>
              <w:rPr>
                <w:sz w:val="20"/>
                <w:szCs w:val="20"/>
              </w:rPr>
            </w:pPr>
          </w:p>
        </w:tc>
        <w:tc>
          <w:tcPr>
            <w:tcW w:w="4541" w:type="dxa"/>
            <w:gridSpan w:val="4"/>
            <w:tcBorders>
              <w:top w:val="nil"/>
              <w:left w:val="nil"/>
              <w:bottom w:val="nil"/>
              <w:right w:val="nil"/>
            </w:tcBorders>
            <w:shd w:val="clear" w:color="auto" w:fill="auto"/>
          </w:tcPr>
          <w:p w:rsidR="00BD35B9" w:rsidRPr="00CF3EAB" w:rsidRDefault="00BD35B9" w:rsidP="00CF3EAB">
            <w:pPr>
              <w:pStyle w:val="COMParaDecision"/>
              <w:numPr>
                <w:ilvl w:val="0"/>
                <w:numId w:val="0"/>
              </w:numPr>
              <w:spacing w:after="0" w:line="60" w:lineRule="exact"/>
              <w:jc w:val="left"/>
              <w:rPr>
                <w:sz w:val="20"/>
                <w:szCs w:val="20"/>
              </w:rPr>
            </w:pPr>
          </w:p>
        </w:tc>
      </w:tr>
      <w:tr w:rsidR="00A608A5" w:rsidRPr="00737DC6" w:rsidTr="00A608A5">
        <w:trPr>
          <w:trHeight w:val="113"/>
        </w:trPr>
        <w:tc>
          <w:tcPr>
            <w:tcW w:w="1384" w:type="dxa"/>
            <w:tcBorders>
              <w:top w:val="single" w:sz="4" w:space="0" w:color="auto"/>
              <w:left w:val="single" w:sz="4" w:space="0" w:color="auto"/>
              <w:bottom w:val="single" w:sz="4" w:space="0" w:color="auto"/>
              <w:right w:val="single" w:sz="4" w:space="0" w:color="auto"/>
            </w:tcBorders>
            <w:shd w:val="clear" w:color="auto" w:fill="auto"/>
          </w:tcPr>
          <w:p w:rsidR="00BD35B9" w:rsidRPr="00CF3EAB" w:rsidRDefault="005611EC" w:rsidP="00CF3EAB">
            <w:pPr>
              <w:pStyle w:val="COMParaDecision"/>
              <w:numPr>
                <w:ilvl w:val="0"/>
                <w:numId w:val="0"/>
              </w:numPr>
              <w:spacing w:before="120"/>
              <w:jc w:val="left"/>
              <w:rPr>
                <w:b/>
                <w:sz w:val="20"/>
                <w:szCs w:val="20"/>
              </w:rPr>
            </w:pPr>
            <w:r>
              <w:rPr>
                <w:b/>
                <w:sz w:val="20"/>
                <w:szCs w:val="20"/>
              </w:rPr>
              <w:t xml:space="preserve">Long-term </w:t>
            </w:r>
            <w:r w:rsidR="00BD35B9" w:rsidRPr="00CF3EAB">
              <w:rPr>
                <w:b/>
                <w:sz w:val="20"/>
                <w:szCs w:val="20"/>
              </w:rPr>
              <w:t>Outcomes</w:t>
            </w:r>
            <w:r w:rsidR="00BD35B9" w:rsidRPr="00CF3EAB">
              <w:rPr>
                <w:b/>
                <w:sz w:val="20"/>
                <w:szCs w:val="20"/>
              </w:rPr>
              <w:br/>
            </w:r>
            <w:r w:rsidR="00BD35B9" w:rsidRPr="00CF3EAB">
              <w:rPr>
                <w:sz w:val="20"/>
                <w:szCs w:val="20"/>
              </w:rPr>
              <w:t>(</w:t>
            </w:r>
            <w:r w:rsidR="007773D7" w:rsidRPr="00CF3EAB">
              <w:rPr>
                <w:sz w:val="20"/>
                <w:szCs w:val="20"/>
              </w:rPr>
              <w:t xml:space="preserve">cf. </w:t>
            </w:r>
            <w:r w:rsidR="00BD35B9" w:rsidRPr="00CF3EAB">
              <w:rPr>
                <w:sz w:val="20"/>
                <w:szCs w:val="20"/>
              </w:rPr>
              <w:t>Article 1)</w:t>
            </w:r>
          </w:p>
        </w:tc>
        <w:tc>
          <w:tcPr>
            <w:tcW w:w="256" w:type="dxa"/>
            <w:tcBorders>
              <w:top w:val="nil"/>
              <w:left w:val="single" w:sz="4" w:space="0" w:color="auto"/>
              <w:bottom w:val="nil"/>
              <w:right w:val="single" w:sz="4" w:space="0" w:color="auto"/>
            </w:tcBorders>
            <w:shd w:val="clear" w:color="auto" w:fill="auto"/>
          </w:tcPr>
          <w:p w:rsidR="00BD35B9" w:rsidRPr="00CF3EAB" w:rsidRDefault="00BD35B9" w:rsidP="00CF3EAB">
            <w:pPr>
              <w:pStyle w:val="COMParaDecision"/>
              <w:numPr>
                <w:ilvl w:val="0"/>
                <w:numId w:val="0"/>
              </w:numPr>
              <w:spacing w:before="120"/>
              <w:jc w:val="left"/>
              <w:rPr>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BD35B9" w:rsidRPr="00CF3EAB" w:rsidRDefault="00812CD2" w:rsidP="00CF3EAB">
            <w:pPr>
              <w:pStyle w:val="COMParaDecision"/>
              <w:numPr>
                <w:ilvl w:val="0"/>
                <w:numId w:val="0"/>
              </w:numPr>
              <w:spacing w:before="120"/>
              <w:jc w:val="left"/>
              <w:rPr>
                <w:sz w:val="20"/>
                <w:szCs w:val="20"/>
              </w:rPr>
            </w:pPr>
            <w:r w:rsidRPr="00CF3EAB">
              <w:rPr>
                <w:sz w:val="20"/>
                <w:szCs w:val="20"/>
              </w:rPr>
              <w:t>C</w:t>
            </w:r>
            <w:r w:rsidR="00BD35B9" w:rsidRPr="00CF3EAB">
              <w:rPr>
                <w:sz w:val="20"/>
                <w:szCs w:val="20"/>
              </w:rPr>
              <w:t xml:space="preserve">ontinued practice and transmission of intangible cultural heritage </w:t>
            </w:r>
            <w:r w:rsidRPr="00CF3EAB">
              <w:rPr>
                <w:sz w:val="20"/>
                <w:szCs w:val="20"/>
              </w:rPr>
              <w:t>ensured</w:t>
            </w:r>
          </w:p>
        </w:tc>
        <w:tc>
          <w:tcPr>
            <w:tcW w:w="236" w:type="dxa"/>
            <w:tcBorders>
              <w:top w:val="nil"/>
              <w:left w:val="single" w:sz="4" w:space="0" w:color="auto"/>
              <w:bottom w:val="nil"/>
              <w:right w:val="single" w:sz="4" w:space="0" w:color="auto"/>
            </w:tcBorders>
            <w:shd w:val="clear" w:color="auto" w:fill="auto"/>
          </w:tcPr>
          <w:p w:rsidR="00BD35B9" w:rsidRPr="00CF3EAB" w:rsidRDefault="00BD35B9" w:rsidP="00CF3EAB">
            <w:pPr>
              <w:pStyle w:val="COMParaDecision"/>
              <w:numPr>
                <w:ilvl w:val="0"/>
                <w:numId w:val="0"/>
              </w:numPr>
              <w:spacing w:before="120"/>
              <w:jc w:val="left"/>
              <w:rPr>
                <w:sz w:val="20"/>
                <w:szCs w:val="20"/>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BD35B9" w:rsidRPr="00CF3EAB" w:rsidRDefault="00BD35B9" w:rsidP="00AF21DD">
            <w:pPr>
              <w:pStyle w:val="COMParaDecision"/>
              <w:numPr>
                <w:ilvl w:val="0"/>
                <w:numId w:val="0"/>
              </w:numPr>
              <w:spacing w:before="120"/>
              <w:jc w:val="left"/>
              <w:rPr>
                <w:sz w:val="20"/>
                <w:szCs w:val="20"/>
              </w:rPr>
            </w:pPr>
            <w:r w:rsidRPr="00CF3EAB">
              <w:rPr>
                <w:sz w:val="20"/>
                <w:szCs w:val="20"/>
              </w:rPr>
              <w:t>Diversity of intangible cultural heritage</w:t>
            </w:r>
            <w:r w:rsidR="00AF21DD">
              <w:rPr>
                <w:sz w:val="20"/>
                <w:szCs w:val="20"/>
              </w:rPr>
              <w:t xml:space="preserve"> </w:t>
            </w:r>
            <w:r w:rsidR="00DA1D7D">
              <w:rPr>
                <w:sz w:val="20"/>
                <w:szCs w:val="20"/>
              </w:rPr>
              <w:t>respected</w:t>
            </w:r>
          </w:p>
        </w:tc>
        <w:tc>
          <w:tcPr>
            <w:tcW w:w="236" w:type="dxa"/>
            <w:tcBorders>
              <w:top w:val="nil"/>
              <w:left w:val="single" w:sz="4" w:space="0" w:color="auto"/>
              <w:bottom w:val="nil"/>
              <w:right w:val="single" w:sz="4" w:space="0" w:color="auto"/>
            </w:tcBorders>
            <w:shd w:val="clear" w:color="auto" w:fill="auto"/>
          </w:tcPr>
          <w:p w:rsidR="00BD35B9" w:rsidRPr="00CF3EAB" w:rsidRDefault="00BD35B9" w:rsidP="00EB3392">
            <w:pPr>
              <w:rPr>
                <w:sz w:val="20"/>
                <w:szCs w:val="20"/>
                <w:lang w:val="en-GB"/>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BD35B9" w:rsidRPr="00CF3EAB" w:rsidRDefault="00BD35B9" w:rsidP="00CF3EAB">
            <w:pPr>
              <w:pStyle w:val="COMParaDecision"/>
              <w:numPr>
                <w:ilvl w:val="0"/>
                <w:numId w:val="0"/>
              </w:numPr>
              <w:spacing w:before="120"/>
              <w:jc w:val="left"/>
              <w:rPr>
                <w:sz w:val="20"/>
                <w:szCs w:val="20"/>
              </w:rPr>
            </w:pPr>
            <w:r w:rsidRPr="00CF3EAB">
              <w:rPr>
                <w:sz w:val="20"/>
                <w:szCs w:val="20"/>
              </w:rPr>
              <w:t>Recognition and awareness of the importance of intangible cultural heritage and its safeguarding ensured</w:t>
            </w:r>
          </w:p>
        </w:tc>
        <w:tc>
          <w:tcPr>
            <w:tcW w:w="236" w:type="dxa"/>
            <w:tcBorders>
              <w:top w:val="nil"/>
              <w:left w:val="single" w:sz="4" w:space="0" w:color="auto"/>
              <w:bottom w:val="nil"/>
              <w:right w:val="single" w:sz="4" w:space="0" w:color="auto"/>
            </w:tcBorders>
            <w:shd w:val="clear" w:color="auto" w:fill="auto"/>
          </w:tcPr>
          <w:p w:rsidR="00BD35B9" w:rsidRPr="00CF3EAB" w:rsidRDefault="00BD35B9" w:rsidP="00DC3974">
            <w:pPr>
              <w:rPr>
                <w:lang w:val="en-GB"/>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BD35B9" w:rsidRPr="00CF3EAB" w:rsidRDefault="00BD35B9" w:rsidP="00CF3EAB">
            <w:pPr>
              <w:pStyle w:val="COMParaDecision"/>
              <w:numPr>
                <w:ilvl w:val="0"/>
                <w:numId w:val="0"/>
              </w:numPr>
              <w:spacing w:before="120"/>
              <w:jc w:val="left"/>
              <w:rPr>
                <w:sz w:val="20"/>
                <w:szCs w:val="20"/>
              </w:rPr>
            </w:pPr>
            <w:r w:rsidRPr="00CF3EAB">
              <w:rPr>
                <w:sz w:val="20"/>
                <w:szCs w:val="20"/>
              </w:rPr>
              <w:t>Engagement and international cooperation for safeguarding enhanced among all stakeholders and at all levels</w:t>
            </w:r>
          </w:p>
        </w:tc>
      </w:tr>
      <w:tr w:rsidR="00B66007" w:rsidRPr="00737DC6" w:rsidTr="00A608A5">
        <w:trPr>
          <w:trHeight w:val="113"/>
        </w:trPr>
        <w:tc>
          <w:tcPr>
            <w:tcW w:w="1384" w:type="dxa"/>
            <w:tcBorders>
              <w:top w:val="single" w:sz="4" w:space="0" w:color="auto"/>
              <w:left w:val="nil"/>
              <w:bottom w:val="single" w:sz="4" w:space="0" w:color="auto"/>
              <w:right w:val="nil"/>
            </w:tcBorders>
            <w:shd w:val="clear" w:color="auto" w:fill="auto"/>
          </w:tcPr>
          <w:p w:rsidR="00BD35B9" w:rsidRPr="00CF3EAB" w:rsidRDefault="00BD35B9" w:rsidP="00CF3EAB">
            <w:pPr>
              <w:pStyle w:val="COMParaDecision"/>
              <w:numPr>
                <w:ilvl w:val="0"/>
                <w:numId w:val="0"/>
              </w:numPr>
              <w:spacing w:after="0" w:line="60" w:lineRule="exact"/>
              <w:jc w:val="left"/>
              <w:rPr>
                <w:b/>
                <w:sz w:val="20"/>
                <w:szCs w:val="20"/>
              </w:rPr>
            </w:pPr>
          </w:p>
        </w:tc>
        <w:tc>
          <w:tcPr>
            <w:tcW w:w="256" w:type="dxa"/>
            <w:tcBorders>
              <w:top w:val="nil"/>
              <w:left w:val="nil"/>
              <w:bottom w:val="nil"/>
              <w:right w:val="nil"/>
            </w:tcBorders>
            <w:shd w:val="clear" w:color="auto" w:fill="auto"/>
          </w:tcPr>
          <w:p w:rsidR="00BD35B9" w:rsidRPr="00CF3EAB" w:rsidRDefault="00BD35B9" w:rsidP="00CF3EAB">
            <w:pPr>
              <w:pStyle w:val="COMParaDecision"/>
              <w:numPr>
                <w:ilvl w:val="0"/>
                <w:numId w:val="0"/>
              </w:numPr>
              <w:tabs>
                <w:tab w:val="left" w:pos="1055"/>
              </w:tabs>
              <w:spacing w:after="0" w:line="60" w:lineRule="exact"/>
              <w:jc w:val="left"/>
              <w:rPr>
                <w:sz w:val="20"/>
                <w:szCs w:val="20"/>
              </w:rPr>
            </w:pPr>
          </w:p>
        </w:tc>
        <w:tc>
          <w:tcPr>
            <w:tcW w:w="3849" w:type="dxa"/>
            <w:gridSpan w:val="3"/>
            <w:tcBorders>
              <w:top w:val="nil"/>
              <w:left w:val="nil"/>
              <w:bottom w:val="single" w:sz="4" w:space="0" w:color="auto"/>
              <w:right w:val="nil"/>
            </w:tcBorders>
            <w:shd w:val="clear" w:color="auto" w:fill="auto"/>
          </w:tcPr>
          <w:p w:rsidR="00BD35B9" w:rsidRPr="00CF3EAB" w:rsidRDefault="00BD35B9" w:rsidP="00CF3EAB">
            <w:pPr>
              <w:pStyle w:val="COMParaDecision"/>
              <w:numPr>
                <w:ilvl w:val="0"/>
                <w:numId w:val="0"/>
              </w:numPr>
              <w:tabs>
                <w:tab w:val="left" w:pos="1055"/>
              </w:tabs>
              <w:spacing w:after="0" w:line="60" w:lineRule="exact"/>
              <w:jc w:val="left"/>
              <w:rPr>
                <w:sz w:val="20"/>
                <w:szCs w:val="20"/>
              </w:rPr>
            </w:pPr>
            <w:r w:rsidRPr="00CF3EAB">
              <w:rPr>
                <w:sz w:val="20"/>
                <w:szCs w:val="20"/>
              </w:rPr>
              <w:tab/>
            </w:r>
          </w:p>
        </w:tc>
        <w:tc>
          <w:tcPr>
            <w:tcW w:w="4541" w:type="dxa"/>
            <w:gridSpan w:val="4"/>
            <w:tcBorders>
              <w:top w:val="nil"/>
              <w:left w:val="nil"/>
              <w:bottom w:val="single" w:sz="4" w:space="0" w:color="auto"/>
              <w:right w:val="nil"/>
            </w:tcBorders>
            <w:shd w:val="clear" w:color="auto" w:fill="auto"/>
          </w:tcPr>
          <w:p w:rsidR="00BD35B9" w:rsidRPr="00CF3EAB" w:rsidRDefault="00BD35B9" w:rsidP="00CF3EAB">
            <w:pPr>
              <w:pStyle w:val="COMParaDecision"/>
              <w:numPr>
                <w:ilvl w:val="0"/>
                <w:numId w:val="0"/>
              </w:numPr>
              <w:spacing w:after="0" w:line="60" w:lineRule="exact"/>
              <w:ind w:firstLine="709"/>
              <w:jc w:val="left"/>
              <w:rPr>
                <w:sz w:val="20"/>
                <w:szCs w:val="20"/>
              </w:rPr>
            </w:pPr>
          </w:p>
        </w:tc>
      </w:tr>
      <w:tr w:rsidR="0059614F" w:rsidRPr="00737DC6" w:rsidTr="00A815D1">
        <w:trPr>
          <w:trHeight w:val="113"/>
        </w:trPr>
        <w:tc>
          <w:tcPr>
            <w:tcW w:w="1384" w:type="dxa"/>
            <w:vMerge w:val="restart"/>
            <w:tcBorders>
              <w:top w:val="single" w:sz="4" w:space="0" w:color="auto"/>
              <w:left w:val="single" w:sz="4" w:space="0" w:color="auto"/>
              <w:right w:val="single" w:sz="4" w:space="0" w:color="auto"/>
            </w:tcBorders>
            <w:shd w:val="clear" w:color="auto" w:fill="auto"/>
          </w:tcPr>
          <w:p w:rsidR="0059614F" w:rsidRPr="00CF3EAB" w:rsidRDefault="0059614F" w:rsidP="00A608A5">
            <w:pPr>
              <w:pStyle w:val="COMParaDecision"/>
              <w:numPr>
                <w:ilvl w:val="0"/>
                <w:numId w:val="0"/>
              </w:numPr>
              <w:spacing w:before="120"/>
              <w:jc w:val="left"/>
              <w:rPr>
                <w:b/>
                <w:sz w:val="20"/>
                <w:szCs w:val="20"/>
              </w:rPr>
            </w:pPr>
            <w:r w:rsidRPr="00CF3EAB">
              <w:rPr>
                <w:b/>
                <w:sz w:val="20"/>
                <w:szCs w:val="20"/>
              </w:rPr>
              <w:t>Impact</w:t>
            </w:r>
            <w:r>
              <w:rPr>
                <w:b/>
                <w:sz w:val="20"/>
                <w:szCs w:val="20"/>
              </w:rPr>
              <w:t>s</w:t>
            </w:r>
          </w:p>
        </w:tc>
        <w:tc>
          <w:tcPr>
            <w:tcW w:w="256" w:type="dxa"/>
            <w:tcBorders>
              <w:top w:val="nil"/>
              <w:left w:val="single" w:sz="4" w:space="0" w:color="auto"/>
              <w:bottom w:val="nil"/>
              <w:right w:val="single" w:sz="4" w:space="0" w:color="auto"/>
            </w:tcBorders>
            <w:shd w:val="clear" w:color="auto" w:fill="auto"/>
          </w:tcPr>
          <w:p w:rsidR="0059614F" w:rsidRPr="00CF3EAB" w:rsidRDefault="0059614F" w:rsidP="00A608A5">
            <w:pPr>
              <w:pStyle w:val="COMParaDecision"/>
              <w:numPr>
                <w:ilvl w:val="0"/>
                <w:numId w:val="0"/>
              </w:numPr>
              <w:tabs>
                <w:tab w:val="left" w:pos="1055"/>
              </w:tabs>
              <w:spacing w:after="0"/>
              <w:jc w:val="left"/>
              <w:rPr>
                <w:sz w:val="20"/>
                <w:szCs w:val="20"/>
              </w:rPr>
            </w:pPr>
          </w:p>
        </w:tc>
        <w:tc>
          <w:tcPr>
            <w:tcW w:w="8390" w:type="dxa"/>
            <w:gridSpan w:val="7"/>
            <w:vMerge w:val="restart"/>
            <w:tcBorders>
              <w:top w:val="single" w:sz="4" w:space="0" w:color="auto"/>
              <w:left w:val="single" w:sz="4" w:space="0" w:color="auto"/>
              <w:right w:val="single" w:sz="4" w:space="0" w:color="auto"/>
            </w:tcBorders>
            <w:shd w:val="clear" w:color="auto" w:fill="auto"/>
          </w:tcPr>
          <w:p w:rsidR="0059614F" w:rsidRPr="00DA1D7D" w:rsidRDefault="0059614F" w:rsidP="00DA1D7D">
            <w:pPr>
              <w:pStyle w:val="COMParaDecision"/>
              <w:numPr>
                <w:ilvl w:val="0"/>
                <w:numId w:val="0"/>
              </w:numPr>
              <w:spacing w:before="120"/>
              <w:jc w:val="left"/>
              <w:rPr>
                <w:sz w:val="20"/>
                <w:szCs w:val="20"/>
              </w:rPr>
            </w:pPr>
            <w:r w:rsidRPr="001A3FD0">
              <w:rPr>
                <w:sz w:val="20"/>
                <w:szCs w:val="20"/>
              </w:rPr>
              <w:t xml:space="preserve">Intangible cultural heritage is safeguarded by communities, groups and individuals who </w:t>
            </w:r>
            <w:r w:rsidRPr="00A608A5">
              <w:rPr>
                <w:sz w:val="20"/>
                <w:szCs w:val="20"/>
              </w:rPr>
              <w:t>exercise active and ongoing stewardship over it</w:t>
            </w:r>
            <w:r>
              <w:rPr>
                <w:sz w:val="20"/>
                <w:szCs w:val="20"/>
              </w:rPr>
              <w:t xml:space="preserve">, thereby contributing to sustainable development for human well-being, dignity and creativity </w:t>
            </w:r>
            <w:r w:rsidRPr="001A3FD0">
              <w:rPr>
                <w:sz w:val="20"/>
                <w:szCs w:val="20"/>
              </w:rPr>
              <w:t>in peaceful and inclusive societies</w:t>
            </w:r>
          </w:p>
        </w:tc>
      </w:tr>
      <w:tr w:rsidR="0059614F" w:rsidRPr="00737DC6" w:rsidTr="00A815D1">
        <w:trPr>
          <w:trHeight w:val="120"/>
        </w:trPr>
        <w:tc>
          <w:tcPr>
            <w:tcW w:w="1384" w:type="dxa"/>
            <w:vMerge/>
            <w:tcBorders>
              <w:left w:val="single" w:sz="4" w:space="0" w:color="auto"/>
              <w:right w:val="single" w:sz="4" w:space="0" w:color="auto"/>
            </w:tcBorders>
            <w:shd w:val="clear" w:color="auto" w:fill="auto"/>
          </w:tcPr>
          <w:p w:rsidR="0059614F" w:rsidRPr="00CF3EAB" w:rsidRDefault="0059614F" w:rsidP="00101D34">
            <w:pPr>
              <w:pStyle w:val="COMParaDecision"/>
              <w:numPr>
                <w:ilvl w:val="0"/>
                <w:numId w:val="0"/>
              </w:numPr>
              <w:spacing w:after="0" w:line="60" w:lineRule="exact"/>
              <w:jc w:val="left"/>
              <w:rPr>
                <w:b/>
                <w:sz w:val="20"/>
                <w:szCs w:val="20"/>
              </w:rPr>
            </w:pPr>
          </w:p>
        </w:tc>
        <w:tc>
          <w:tcPr>
            <w:tcW w:w="256" w:type="dxa"/>
            <w:tcBorders>
              <w:top w:val="nil"/>
              <w:left w:val="single" w:sz="4" w:space="0" w:color="auto"/>
              <w:bottom w:val="nil"/>
              <w:right w:val="single" w:sz="4" w:space="0" w:color="auto"/>
            </w:tcBorders>
            <w:shd w:val="clear" w:color="auto" w:fill="auto"/>
          </w:tcPr>
          <w:p w:rsidR="0059614F" w:rsidRPr="00CF3EAB" w:rsidRDefault="0059614F" w:rsidP="00101D34">
            <w:pPr>
              <w:pStyle w:val="COMParaDecision"/>
              <w:numPr>
                <w:ilvl w:val="0"/>
                <w:numId w:val="0"/>
              </w:numPr>
              <w:tabs>
                <w:tab w:val="left" w:pos="1055"/>
              </w:tabs>
              <w:spacing w:after="0" w:line="60" w:lineRule="exact"/>
              <w:jc w:val="left"/>
              <w:rPr>
                <w:sz w:val="20"/>
                <w:szCs w:val="20"/>
              </w:rPr>
            </w:pPr>
          </w:p>
        </w:tc>
        <w:tc>
          <w:tcPr>
            <w:tcW w:w="8390" w:type="dxa"/>
            <w:gridSpan w:val="7"/>
            <w:vMerge/>
            <w:tcBorders>
              <w:left w:val="single" w:sz="4" w:space="0" w:color="auto"/>
              <w:right w:val="single" w:sz="4" w:space="0" w:color="auto"/>
            </w:tcBorders>
            <w:shd w:val="clear" w:color="auto" w:fill="auto"/>
          </w:tcPr>
          <w:p w:rsidR="0059614F" w:rsidRPr="00A608A5" w:rsidRDefault="0059614F" w:rsidP="0059614F">
            <w:pPr>
              <w:pStyle w:val="COMParaDecision"/>
              <w:spacing w:before="120"/>
              <w:ind w:left="0"/>
              <w:jc w:val="left"/>
              <w:rPr>
                <w:sz w:val="20"/>
                <w:szCs w:val="20"/>
              </w:rPr>
            </w:pPr>
          </w:p>
        </w:tc>
      </w:tr>
      <w:tr w:rsidR="0059614F" w:rsidRPr="00737DC6" w:rsidTr="00A815D1">
        <w:trPr>
          <w:trHeight w:val="113"/>
        </w:trPr>
        <w:tc>
          <w:tcPr>
            <w:tcW w:w="1384" w:type="dxa"/>
            <w:vMerge/>
            <w:tcBorders>
              <w:left w:val="single" w:sz="4" w:space="0" w:color="auto"/>
              <w:bottom w:val="single" w:sz="4" w:space="0" w:color="auto"/>
              <w:right w:val="single" w:sz="4" w:space="0" w:color="auto"/>
            </w:tcBorders>
            <w:shd w:val="clear" w:color="auto" w:fill="auto"/>
          </w:tcPr>
          <w:p w:rsidR="0059614F" w:rsidRPr="00CF3EAB" w:rsidRDefault="0059614F" w:rsidP="00A608A5">
            <w:pPr>
              <w:pStyle w:val="COMParaDecision"/>
              <w:numPr>
                <w:ilvl w:val="0"/>
                <w:numId w:val="0"/>
              </w:numPr>
              <w:spacing w:after="0"/>
              <w:jc w:val="left"/>
              <w:rPr>
                <w:b/>
                <w:sz w:val="20"/>
                <w:szCs w:val="20"/>
              </w:rPr>
            </w:pPr>
          </w:p>
        </w:tc>
        <w:tc>
          <w:tcPr>
            <w:tcW w:w="256" w:type="dxa"/>
            <w:tcBorders>
              <w:top w:val="nil"/>
              <w:left w:val="single" w:sz="4" w:space="0" w:color="auto"/>
              <w:bottom w:val="nil"/>
              <w:right w:val="single" w:sz="4" w:space="0" w:color="auto"/>
            </w:tcBorders>
            <w:shd w:val="clear" w:color="auto" w:fill="auto"/>
          </w:tcPr>
          <w:p w:rsidR="0059614F" w:rsidRPr="00CF3EAB" w:rsidRDefault="0059614F" w:rsidP="00A608A5">
            <w:pPr>
              <w:pStyle w:val="COMParaDecision"/>
              <w:numPr>
                <w:ilvl w:val="0"/>
                <w:numId w:val="0"/>
              </w:numPr>
              <w:tabs>
                <w:tab w:val="left" w:pos="1055"/>
              </w:tabs>
              <w:spacing w:after="0"/>
              <w:jc w:val="left"/>
              <w:rPr>
                <w:sz w:val="20"/>
                <w:szCs w:val="20"/>
              </w:rPr>
            </w:pPr>
          </w:p>
        </w:tc>
        <w:tc>
          <w:tcPr>
            <w:tcW w:w="8390" w:type="dxa"/>
            <w:gridSpan w:val="7"/>
            <w:vMerge/>
            <w:tcBorders>
              <w:left w:val="single" w:sz="4" w:space="0" w:color="auto"/>
              <w:bottom w:val="single" w:sz="4" w:space="0" w:color="auto"/>
              <w:right w:val="single" w:sz="4" w:space="0" w:color="auto"/>
            </w:tcBorders>
            <w:shd w:val="clear" w:color="auto" w:fill="auto"/>
          </w:tcPr>
          <w:p w:rsidR="0059614F" w:rsidRPr="00CF3EAB" w:rsidRDefault="0059614F" w:rsidP="000001C4">
            <w:pPr>
              <w:pStyle w:val="COMParaDecision"/>
              <w:numPr>
                <w:ilvl w:val="0"/>
                <w:numId w:val="0"/>
              </w:numPr>
              <w:spacing w:before="120"/>
              <w:jc w:val="left"/>
              <w:rPr>
                <w:sz w:val="20"/>
                <w:szCs w:val="20"/>
              </w:rPr>
            </w:pPr>
          </w:p>
        </w:tc>
      </w:tr>
    </w:tbl>
    <w:p w:rsidR="00EE49F4" w:rsidRPr="007773D7" w:rsidRDefault="00EE49F4" w:rsidP="00C9242A">
      <w:pPr>
        <w:pStyle w:val="COMParaDecision"/>
        <w:numPr>
          <w:ilvl w:val="0"/>
          <w:numId w:val="0"/>
        </w:numPr>
        <w:spacing w:after="0" w:line="14" w:lineRule="exact"/>
        <w:jc w:val="left"/>
      </w:pPr>
    </w:p>
    <w:sectPr w:rsidR="00EE49F4" w:rsidRPr="007773D7" w:rsidSect="00A608A5">
      <w:headerReference w:type="even" r:id="rId26"/>
      <w:headerReference w:type="default" r:id="rId27"/>
      <w:headerReference w:type="first" r:id="rId28"/>
      <w:pgSz w:w="11906" w:h="16838" w:code="9"/>
      <w:pgMar w:top="1560"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FD5" w:rsidRDefault="00314FD5" w:rsidP="00655736">
      <w:r>
        <w:separator/>
      </w:r>
    </w:p>
  </w:endnote>
  <w:endnote w:type="continuationSeparator" w:id="0">
    <w:p w:rsidR="00314FD5" w:rsidRDefault="00314FD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FD5" w:rsidRDefault="00314FD5" w:rsidP="00655736">
      <w:r>
        <w:separator/>
      </w:r>
    </w:p>
  </w:footnote>
  <w:footnote w:type="continuationSeparator" w:id="0">
    <w:p w:rsidR="00314FD5" w:rsidRDefault="00314FD5" w:rsidP="00655736">
      <w:r>
        <w:continuationSeparator/>
      </w:r>
    </w:p>
  </w:footnote>
  <w:footnote w:id="1">
    <w:p w:rsidR="00E30A73" w:rsidRPr="00DA1D7D" w:rsidRDefault="00E30A73" w:rsidP="00463F01">
      <w:pPr>
        <w:pStyle w:val="FootnoteText"/>
        <w:spacing w:before="60" w:after="60"/>
        <w:ind w:left="567" w:hanging="567"/>
        <w:jc w:val="both"/>
        <w:rPr>
          <w:rFonts w:ascii="Arial" w:hAnsi="Arial" w:cs="Arial"/>
          <w:sz w:val="18"/>
          <w:lang w:val="en-GB"/>
        </w:rPr>
      </w:pPr>
      <w:r w:rsidRPr="00DA1D7D">
        <w:rPr>
          <w:rFonts w:ascii="Arial" w:hAnsi="Arial" w:cs="Arial"/>
          <w:sz w:val="18"/>
          <w:lang w:val="en-GB"/>
        </w:rPr>
        <w:footnoteRef/>
      </w:r>
      <w:r w:rsidRPr="00DA1D7D">
        <w:rPr>
          <w:rFonts w:ascii="Arial" w:hAnsi="Arial" w:cs="Arial"/>
          <w:sz w:val="18"/>
          <w:lang w:val="en-GB"/>
        </w:rPr>
        <w:t>.</w:t>
      </w:r>
      <w:r w:rsidRPr="00DA1D7D">
        <w:rPr>
          <w:rFonts w:ascii="Arial" w:hAnsi="Arial" w:cs="Arial"/>
          <w:sz w:val="18"/>
          <w:lang w:val="en-GB"/>
        </w:rPr>
        <w:tab/>
        <w:t>‘Evaluation of UNESCO’s Standard</w:t>
      </w:r>
      <w:r w:rsidRPr="00DA1D7D">
        <w:rPr>
          <w:rFonts w:ascii="Cambria Math" w:hAnsi="Cambria Math" w:cs="Cambria Math"/>
          <w:sz w:val="18"/>
          <w:lang w:val="en-GB"/>
        </w:rPr>
        <w:t>‐</w:t>
      </w:r>
      <w:r w:rsidRPr="00DA1D7D">
        <w:rPr>
          <w:rFonts w:ascii="Arial" w:hAnsi="Arial" w:cs="Arial"/>
          <w:sz w:val="18"/>
          <w:lang w:val="en-GB"/>
        </w:rPr>
        <w:t xml:space="preserve">setting Work of the Culture Sector: Part I – 2003 Convention for the Safeguarding of the Intangible Cultural Heritage’ available in </w:t>
      </w:r>
      <w:hyperlink r:id="rId1" w:tgtFrame="_blank" w:history="1">
        <w:r w:rsidRPr="00DA1D7D">
          <w:rPr>
            <w:rStyle w:val="Hyperlink"/>
            <w:rFonts w:ascii="Arial" w:hAnsi="Arial" w:cs="Arial"/>
            <w:bCs/>
            <w:color w:val="0872CB"/>
            <w:sz w:val="18"/>
            <w:lang w:val="en-GB"/>
          </w:rPr>
          <w:t>English</w:t>
        </w:r>
      </w:hyperlink>
      <w:r w:rsidRPr="00DA1D7D">
        <w:rPr>
          <w:rFonts w:ascii="Arial" w:hAnsi="Arial" w:cs="Arial"/>
          <w:color w:val="414042"/>
          <w:sz w:val="18"/>
          <w:lang w:val="en-GB"/>
        </w:rPr>
        <w:t>|</w:t>
      </w:r>
      <w:hyperlink r:id="rId2" w:tgtFrame="_blank" w:history="1">
        <w:r w:rsidRPr="00DA1D7D">
          <w:rPr>
            <w:rStyle w:val="Hyperlink"/>
            <w:rFonts w:ascii="Arial" w:hAnsi="Arial" w:cs="Arial"/>
            <w:bCs/>
            <w:color w:val="0872CB"/>
            <w:sz w:val="18"/>
            <w:lang w:val="en-GB"/>
          </w:rPr>
          <w:t>French</w:t>
        </w:r>
      </w:hyperlink>
      <w:r w:rsidRPr="00DA1D7D">
        <w:rPr>
          <w:rFonts w:ascii="Arial" w:hAnsi="Arial" w:cs="Arial"/>
          <w:color w:val="414042"/>
          <w:sz w:val="18"/>
          <w:lang w:val="en-GB"/>
        </w:rPr>
        <w:t>|</w:t>
      </w:r>
      <w:hyperlink r:id="rId3" w:tgtFrame="_blank" w:history="1">
        <w:r w:rsidRPr="00DA1D7D">
          <w:rPr>
            <w:rStyle w:val="Hyperlink"/>
            <w:rFonts w:ascii="Arial" w:hAnsi="Arial" w:cs="Arial"/>
            <w:bCs/>
            <w:color w:val="0872CB"/>
            <w:sz w:val="18"/>
            <w:lang w:val="en-GB"/>
          </w:rPr>
          <w:t>Spanish</w:t>
        </w:r>
      </w:hyperlink>
      <w:r w:rsidRPr="00DA1D7D">
        <w:rPr>
          <w:rFonts w:ascii="Arial" w:hAnsi="Arial" w:cs="Arial"/>
          <w:color w:val="414042"/>
          <w:sz w:val="18"/>
          <w:lang w:val="en-GB"/>
        </w:rPr>
        <w:t>|</w:t>
      </w:r>
      <w:hyperlink r:id="rId4" w:tgtFrame="_blank" w:history="1">
        <w:r w:rsidRPr="00DA1D7D">
          <w:rPr>
            <w:rStyle w:val="Hyperlink"/>
            <w:rFonts w:ascii="Arial" w:hAnsi="Arial" w:cs="Arial"/>
            <w:bCs/>
            <w:color w:val="0872CB"/>
            <w:sz w:val="18"/>
            <w:lang w:val="en-GB"/>
          </w:rPr>
          <w:t>Arabic</w:t>
        </w:r>
      </w:hyperlink>
      <w:r w:rsidRPr="00DA1D7D">
        <w:rPr>
          <w:rFonts w:ascii="Arial" w:hAnsi="Arial" w:cs="Arial"/>
          <w:sz w:val="18"/>
          <w:lang w:val="en-GB"/>
        </w:rPr>
        <w:t>.</w:t>
      </w:r>
    </w:p>
  </w:footnote>
  <w:footnote w:id="2">
    <w:p w:rsidR="00E30A73" w:rsidRPr="00DA1D7D" w:rsidRDefault="00E30A73" w:rsidP="00DA1D7D">
      <w:pPr>
        <w:pStyle w:val="FootnoteText"/>
        <w:spacing w:before="60" w:after="60"/>
        <w:ind w:left="567" w:hanging="567"/>
        <w:rPr>
          <w:rFonts w:ascii="Arial" w:hAnsi="Arial" w:cs="Arial"/>
          <w:sz w:val="18"/>
          <w:lang w:val="en-GB"/>
        </w:rPr>
      </w:pPr>
      <w:r w:rsidRPr="00DA1D7D">
        <w:rPr>
          <w:rStyle w:val="FootnoteReference"/>
          <w:rFonts w:ascii="Arial" w:hAnsi="Arial" w:cs="Arial"/>
          <w:sz w:val="18"/>
          <w:vertAlign w:val="baseline"/>
          <w:lang w:val="en-GB"/>
        </w:rPr>
        <w:footnoteRef/>
      </w:r>
      <w:r w:rsidRPr="00DA1D7D">
        <w:rPr>
          <w:rFonts w:ascii="Arial" w:hAnsi="Arial" w:cs="Arial"/>
          <w:sz w:val="18"/>
          <w:lang w:val="en-GB"/>
        </w:rPr>
        <w:t>.</w:t>
      </w:r>
      <w:r w:rsidRPr="00DA1D7D">
        <w:rPr>
          <w:rFonts w:ascii="Arial" w:hAnsi="Arial" w:cs="Arial"/>
          <w:sz w:val="18"/>
          <w:lang w:val="en-GB"/>
        </w:rPr>
        <w:tab/>
        <w:t xml:space="preserve">The list of participants, along with a brief biography of each, is available at </w:t>
      </w:r>
      <w:hyperlink r:id="rId5" w:history="1">
        <w:r w:rsidRPr="00DA1D7D">
          <w:rPr>
            <w:rStyle w:val="Hyperlink"/>
            <w:rFonts w:ascii="Arial" w:hAnsi="Arial" w:cs="Arial"/>
            <w:sz w:val="18"/>
            <w:lang w:val="en-GB"/>
          </w:rPr>
          <w:t>http://www.unesco.org/culture/ich/doc/src/ITH-16-EXP-3_Rev.2__EN_FR.docx</w:t>
        </w:r>
      </w:hyperlink>
      <w:r w:rsidR="00DA1D7D" w:rsidRPr="00DA1D7D">
        <w:rPr>
          <w:rFonts w:ascii="Arial" w:hAnsi="Arial" w:cs="Arial"/>
          <w:sz w:val="18"/>
          <w:lang w:val="en-GB"/>
        </w:rPr>
        <w:t>.</w:t>
      </w:r>
    </w:p>
  </w:footnote>
  <w:footnote w:id="3">
    <w:p w:rsidR="00E30A73" w:rsidRPr="00DA1D7D" w:rsidRDefault="00E30A73" w:rsidP="00463F01">
      <w:pPr>
        <w:pStyle w:val="FootnoteText"/>
        <w:spacing w:before="60" w:after="60"/>
        <w:ind w:left="567" w:hanging="567"/>
        <w:jc w:val="both"/>
        <w:rPr>
          <w:rFonts w:ascii="Arial" w:hAnsi="Arial" w:cs="Arial"/>
          <w:sz w:val="18"/>
          <w:lang w:val="en-GB"/>
        </w:rPr>
      </w:pPr>
      <w:r w:rsidRPr="00DA1D7D">
        <w:rPr>
          <w:rFonts w:ascii="Arial" w:hAnsi="Arial" w:cs="Arial"/>
          <w:sz w:val="18"/>
          <w:lang w:val="en-GB"/>
        </w:rPr>
        <w:footnoteRef/>
      </w:r>
      <w:r w:rsidRPr="00DA1D7D">
        <w:rPr>
          <w:rFonts w:ascii="Arial" w:hAnsi="Arial" w:cs="Arial"/>
          <w:sz w:val="18"/>
          <w:lang w:val="en-GB"/>
        </w:rPr>
        <w:t>.</w:t>
      </w:r>
      <w:r w:rsidRPr="00DA1D7D">
        <w:rPr>
          <w:rFonts w:ascii="Arial" w:hAnsi="Arial" w:cs="Arial"/>
          <w:sz w:val="18"/>
          <w:lang w:val="en-GB"/>
        </w:rPr>
        <w:tab/>
        <w:t xml:space="preserve">Brief biographies of the two facilitators can also be found in the list of participants available at </w:t>
      </w:r>
      <w:hyperlink r:id="rId6" w:history="1">
        <w:r w:rsidRPr="00DA1D7D">
          <w:rPr>
            <w:rStyle w:val="Hyperlink"/>
            <w:rFonts w:ascii="Arial" w:hAnsi="Arial" w:cs="Arial"/>
            <w:sz w:val="18"/>
            <w:lang w:val="en-GB"/>
          </w:rPr>
          <w:t>http://www.unesco.org/culture/ich/doc/src/ITH-16-EXP-3_Rev.2__EN_FR.docx</w:t>
        </w:r>
      </w:hyperlink>
      <w:r w:rsidR="00DA1D7D" w:rsidRPr="00DA1D7D">
        <w:rPr>
          <w:rFonts w:ascii="Arial" w:hAnsi="Arial" w:cs="Arial"/>
          <w:sz w:val="18"/>
          <w:lang w:val="en-GB"/>
        </w:rPr>
        <w:t>.</w:t>
      </w:r>
    </w:p>
  </w:footnote>
  <w:footnote w:id="4">
    <w:p w:rsidR="00E30A73" w:rsidRPr="004474A1" w:rsidRDefault="00E30A73" w:rsidP="00463F01">
      <w:pPr>
        <w:pStyle w:val="FootnoteText"/>
        <w:tabs>
          <w:tab w:val="left" w:pos="567"/>
        </w:tabs>
        <w:spacing w:before="60" w:after="60"/>
        <w:ind w:left="567" w:hanging="567"/>
        <w:jc w:val="both"/>
        <w:rPr>
          <w:rFonts w:ascii="Arial" w:hAnsi="Arial" w:cs="Arial"/>
          <w:sz w:val="18"/>
          <w:lang w:val="en-GB"/>
        </w:rPr>
      </w:pPr>
      <w:r w:rsidRPr="00DA1D7D">
        <w:rPr>
          <w:rStyle w:val="IntenseEmphasis"/>
          <w:snapToGrid w:val="0"/>
          <w:sz w:val="18"/>
          <w:lang w:val="en-GB" w:eastAsia="en-US"/>
        </w:rPr>
        <w:footnoteRef/>
      </w:r>
      <w:r w:rsidRPr="00DA1D7D">
        <w:rPr>
          <w:rStyle w:val="IntenseEmphasis"/>
          <w:snapToGrid w:val="0"/>
          <w:sz w:val="18"/>
          <w:lang w:val="en-GB" w:eastAsia="en-US"/>
        </w:rPr>
        <w:t>.</w:t>
      </w:r>
      <w:r w:rsidRPr="00DA1D7D">
        <w:rPr>
          <w:rStyle w:val="IntenseEmphasis"/>
          <w:snapToGrid w:val="0"/>
          <w:sz w:val="18"/>
          <w:lang w:val="en-GB" w:eastAsia="en-US"/>
        </w:rPr>
        <w:tab/>
      </w:r>
      <w:hyperlink r:id="rId7" w:history="1">
        <w:r w:rsidRPr="004474A1">
          <w:rPr>
            <w:rStyle w:val="Hyperlink"/>
            <w:rFonts w:ascii="Arial" w:hAnsi="Arial" w:cs="Arial"/>
            <w:snapToGrid w:val="0"/>
            <w:sz w:val="18"/>
            <w:lang w:val="en-GB" w:eastAsia="en-US"/>
          </w:rPr>
          <w:t>http://www.unesco.org/culture/ich/en/events/expert-meeting-on-developing-an-overall-results-framework-for-the-2003-convention-00581</w:t>
        </w:r>
      </w:hyperlink>
      <w:r w:rsidR="00DA1D7D" w:rsidRPr="004474A1">
        <w:rPr>
          <w:rStyle w:val="IntenseEmphasis"/>
          <w:snapToGrid w:val="0"/>
          <w:sz w:val="18"/>
          <w:lang w:val="en-GB" w:eastAsia="en-US"/>
        </w:rPr>
        <w:t>.</w:t>
      </w:r>
    </w:p>
  </w:footnote>
  <w:footnote w:id="5">
    <w:p w:rsidR="00E30A73" w:rsidRPr="0038139F" w:rsidRDefault="00E30A73" w:rsidP="00463F01">
      <w:pPr>
        <w:pStyle w:val="FootnoteText"/>
        <w:spacing w:before="60" w:after="60"/>
        <w:ind w:left="567" w:hanging="567"/>
        <w:jc w:val="both"/>
        <w:rPr>
          <w:rFonts w:ascii="Arial" w:hAnsi="Arial" w:cs="Arial"/>
          <w:lang w:val="en-GB"/>
        </w:rPr>
      </w:pPr>
      <w:r w:rsidRPr="00DA1D7D">
        <w:rPr>
          <w:rStyle w:val="FootnoteReference"/>
          <w:rFonts w:ascii="Arial" w:hAnsi="Arial" w:cs="Arial"/>
          <w:sz w:val="18"/>
          <w:vertAlign w:val="baseline"/>
          <w:lang w:val="en-GB"/>
        </w:rPr>
        <w:footnoteRef/>
      </w:r>
      <w:r w:rsidRPr="00DA1D7D">
        <w:rPr>
          <w:rFonts w:ascii="Arial" w:hAnsi="Arial" w:cs="Arial"/>
          <w:sz w:val="18"/>
          <w:lang w:val="en-GB"/>
        </w:rPr>
        <w:t>.</w:t>
      </w:r>
      <w:r w:rsidRPr="00DA1D7D">
        <w:rPr>
          <w:rFonts w:ascii="Arial" w:hAnsi="Arial" w:cs="Arial"/>
          <w:sz w:val="18"/>
          <w:lang w:val="en-GB"/>
        </w:rPr>
        <w:tab/>
        <w:t xml:space="preserve">UNEG Handbook for Conducting Evaluations of Normative Work in the UN System, 2013, para. 70, </w:t>
      </w:r>
      <w:hyperlink r:id="rId8" w:history="1">
        <w:r w:rsidRPr="00DA1D7D">
          <w:rPr>
            <w:rStyle w:val="Hyperlink"/>
            <w:rFonts w:ascii="Arial" w:hAnsi="Arial" w:cs="Arial"/>
            <w:snapToGrid w:val="0"/>
            <w:sz w:val="18"/>
            <w:lang w:val="en-GB" w:eastAsia="en-US"/>
          </w:rPr>
          <w:t>http://www.uneval.org/document/detail/1484</w:t>
        </w:r>
      </w:hyperlink>
      <w:r w:rsidRPr="00DA1D7D">
        <w:rPr>
          <w:rFonts w:ascii="Arial" w:hAnsi="Arial" w:cs="Arial"/>
          <w:sz w:val="18"/>
          <w:lang w:val="en-GB"/>
        </w:rPr>
        <w:t xml:space="preserve"> (available in English, French and Spanish).</w:t>
      </w:r>
    </w:p>
  </w:footnote>
  <w:footnote w:id="6">
    <w:p w:rsidR="00E30A73" w:rsidRPr="00DA1D7D" w:rsidRDefault="00E30A73" w:rsidP="00463F01">
      <w:pPr>
        <w:pStyle w:val="Footnote"/>
        <w:spacing w:before="60" w:after="60"/>
        <w:ind w:left="567" w:hanging="567"/>
        <w:jc w:val="both"/>
        <w:rPr>
          <w:rFonts w:ascii="Arial" w:hAnsi="Arial"/>
          <w:sz w:val="18"/>
          <w:lang w:val="en-GB"/>
        </w:rPr>
      </w:pPr>
      <w:r w:rsidRPr="00DA1D7D">
        <w:rPr>
          <w:rStyle w:val="FootnoteReference"/>
          <w:rFonts w:ascii="Arial" w:hAnsi="Arial"/>
          <w:sz w:val="18"/>
          <w:vertAlign w:val="baseline"/>
          <w:lang w:val="en-GB"/>
        </w:rPr>
        <w:footnoteRef/>
      </w:r>
      <w:r w:rsidRPr="00DA1D7D">
        <w:rPr>
          <w:rFonts w:ascii="Arial" w:hAnsi="Arial"/>
          <w:sz w:val="18"/>
          <w:lang w:val="en-GB"/>
        </w:rPr>
        <w:t>.</w:t>
      </w:r>
      <w:r w:rsidRPr="00DA1D7D">
        <w:rPr>
          <w:rFonts w:ascii="Arial" w:hAnsi="Arial"/>
          <w:sz w:val="18"/>
          <w:lang w:val="en-GB"/>
        </w:rPr>
        <w:tab/>
        <w:t xml:space="preserve">United Nations Development Group Results-based Management (RBM) Handbook (2011), </w:t>
      </w:r>
      <w:hyperlink r:id="rId9" w:history="1">
        <w:r w:rsidRPr="00DA1D7D">
          <w:rPr>
            <w:rStyle w:val="Hyperlink"/>
            <w:rFonts w:ascii="Arial" w:hAnsi="Arial"/>
            <w:sz w:val="18"/>
            <w:lang w:val="en-GB"/>
          </w:rPr>
          <w:t>https://undg.org/wp-content/uploads/2015/01/UNDG-RBM-Handbook-2012.pdf</w:t>
        </w:r>
      </w:hyperlink>
    </w:p>
  </w:footnote>
  <w:footnote w:id="7">
    <w:p w:rsidR="000A154D" w:rsidRPr="0038139F" w:rsidRDefault="000A154D" w:rsidP="000A154D">
      <w:pPr>
        <w:pStyle w:val="Footnote"/>
        <w:ind w:left="567" w:hanging="567"/>
        <w:jc w:val="both"/>
        <w:rPr>
          <w:rFonts w:ascii="Arial" w:hAnsi="Arial"/>
          <w:lang w:val="en-GB"/>
        </w:rPr>
      </w:pPr>
      <w:r w:rsidRPr="00DA1D7D">
        <w:rPr>
          <w:rFonts w:ascii="Arial" w:hAnsi="Arial"/>
          <w:sz w:val="18"/>
          <w:lang w:val="en-GB"/>
        </w:rPr>
        <w:footnoteRef/>
      </w:r>
      <w:r w:rsidRPr="00DA1D7D">
        <w:rPr>
          <w:rFonts w:ascii="Arial" w:hAnsi="Arial"/>
          <w:sz w:val="18"/>
          <w:lang w:val="en-GB"/>
        </w:rPr>
        <w:t xml:space="preserve">. </w:t>
      </w:r>
      <w:r w:rsidRPr="00DA1D7D">
        <w:rPr>
          <w:rFonts w:ascii="Arial" w:hAnsi="Arial"/>
          <w:sz w:val="18"/>
          <w:lang w:val="en-GB"/>
        </w:rPr>
        <w:tab/>
        <w:t xml:space="preserve">A results map, as used here, is similar in many ways to a multi-level ‘logframe’, but is not just a table for reporting compliance with predetermined and fixed requirements – it is intended as a more flexible </w:t>
      </w:r>
      <w:r w:rsidR="009631BB" w:rsidRPr="00DA1D7D">
        <w:rPr>
          <w:rFonts w:ascii="Arial" w:hAnsi="Arial"/>
          <w:sz w:val="18"/>
          <w:lang w:val="en-GB"/>
        </w:rPr>
        <w:t>tool that</w:t>
      </w:r>
      <w:r w:rsidRPr="00DA1D7D">
        <w:rPr>
          <w:rFonts w:ascii="Arial" w:hAnsi="Arial"/>
          <w:sz w:val="18"/>
          <w:lang w:val="en-GB"/>
        </w:rPr>
        <w:t xml:space="preserve"> allows for ongoing updating and </w:t>
      </w:r>
      <w:r w:rsidR="009631BB" w:rsidRPr="00DA1D7D">
        <w:rPr>
          <w:rFonts w:ascii="Arial" w:hAnsi="Arial"/>
          <w:sz w:val="18"/>
          <w:lang w:val="en-GB"/>
        </w:rPr>
        <w:t>amendment</w:t>
      </w:r>
      <w:r w:rsidRPr="00DA1D7D">
        <w:rPr>
          <w:rFonts w:ascii="Arial" w:hAnsi="Arial"/>
          <w:sz w:val="18"/>
          <w:lang w:val="en-GB"/>
        </w:rPr>
        <w:t>.</w:t>
      </w:r>
    </w:p>
  </w:footnote>
  <w:footnote w:id="8">
    <w:p w:rsidR="00E30A73" w:rsidRPr="00DA1D7D" w:rsidRDefault="00E30A73" w:rsidP="000E2F4E">
      <w:pPr>
        <w:pStyle w:val="Footnote"/>
        <w:spacing w:before="60" w:after="60"/>
        <w:ind w:left="567" w:hanging="567"/>
        <w:jc w:val="both"/>
        <w:rPr>
          <w:rFonts w:ascii="Arial" w:hAnsi="Arial"/>
          <w:sz w:val="18"/>
          <w:szCs w:val="18"/>
          <w:lang w:val="en-GB"/>
        </w:rPr>
      </w:pPr>
      <w:r w:rsidRPr="00DA1D7D">
        <w:rPr>
          <w:rFonts w:ascii="Arial" w:hAnsi="Arial"/>
          <w:sz w:val="18"/>
          <w:szCs w:val="18"/>
          <w:lang w:val="en-GB"/>
        </w:rPr>
        <w:footnoteRef/>
      </w:r>
      <w:r w:rsidRPr="00DA1D7D">
        <w:rPr>
          <w:rFonts w:ascii="Arial" w:hAnsi="Arial"/>
          <w:sz w:val="18"/>
          <w:szCs w:val="18"/>
          <w:lang w:val="en-GB"/>
        </w:rPr>
        <w:t>.</w:t>
      </w:r>
      <w:r w:rsidRPr="00DA1D7D">
        <w:rPr>
          <w:rFonts w:ascii="Arial" w:hAnsi="Arial"/>
          <w:sz w:val="18"/>
          <w:szCs w:val="18"/>
          <w:lang w:val="en-GB"/>
        </w:rPr>
        <w:tab/>
        <w:t>At its tenth session in Windhoek, Namibia, from 30 November to 4 December 2015, twelve ethical principles for safeguarding intangible cultural heritage were endorsed by Intergovernmental Committee (</w:t>
      </w:r>
      <w:hyperlink r:id="rId10" w:history="1">
        <w:r w:rsidRPr="00DA1D7D">
          <w:rPr>
            <w:rStyle w:val="Hyperlink"/>
            <w:rFonts w:ascii="Arial" w:hAnsi="Arial"/>
            <w:sz w:val="18"/>
            <w:szCs w:val="18"/>
            <w:lang w:val="en-GB"/>
          </w:rPr>
          <w:t>Decision 10.COM 15.a</w:t>
        </w:r>
      </w:hyperlink>
      <w:r w:rsidRPr="00DA1D7D">
        <w:rPr>
          <w:rFonts w:ascii="Arial" w:hAnsi="Arial"/>
          <w:sz w:val="18"/>
          <w:szCs w:val="18"/>
          <w:lang w:val="en-GB"/>
        </w:rPr>
        <w:t xml:space="preserve">): </w:t>
      </w:r>
      <w:hyperlink r:id="rId11" w:tgtFrame="_blank" w:history="1">
        <w:r w:rsidRPr="00DA1D7D">
          <w:rPr>
            <w:rStyle w:val="Hyperlink"/>
            <w:rFonts w:ascii="Arial" w:hAnsi="Arial"/>
            <w:bCs/>
            <w:color w:val="0872CB"/>
            <w:sz w:val="18"/>
            <w:szCs w:val="18"/>
            <w:lang w:val="en-GB"/>
          </w:rPr>
          <w:t>English</w:t>
        </w:r>
      </w:hyperlink>
      <w:r w:rsidRPr="00DA1D7D">
        <w:rPr>
          <w:rFonts w:ascii="Arial" w:hAnsi="Arial"/>
          <w:color w:val="414042"/>
          <w:sz w:val="18"/>
          <w:szCs w:val="18"/>
          <w:lang w:val="en-GB"/>
        </w:rPr>
        <w:t>|</w:t>
      </w:r>
      <w:hyperlink r:id="rId12" w:tgtFrame="_blank" w:history="1">
        <w:r w:rsidRPr="00DA1D7D">
          <w:rPr>
            <w:rStyle w:val="Hyperlink"/>
            <w:rFonts w:ascii="Arial" w:hAnsi="Arial"/>
            <w:bCs/>
            <w:color w:val="0872CB"/>
            <w:sz w:val="18"/>
            <w:szCs w:val="18"/>
            <w:lang w:val="en-GB"/>
          </w:rPr>
          <w:t>French</w:t>
        </w:r>
      </w:hyperlink>
      <w:r w:rsidRPr="00DA1D7D">
        <w:rPr>
          <w:rFonts w:ascii="Arial" w:hAnsi="Arial"/>
          <w:color w:val="414042"/>
          <w:sz w:val="18"/>
          <w:szCs w:val="18"/>
          <w:lang w:val="en-GB"/>
        </w:rPr>
        <w:t>|</w:t>
      </w:r>
      <w:hyperlink r:id="rId13" w:tgtFrame="_blank" w:history="1">
        <w:r w:rsidRPr="00DA1D7D">
          <w:rPr>
            <w:rStyle w:val="Hyperlink"/>
            <w:rFonts w:ascii="Arial" w:hAnsi="Arial"/>
            <w:bCs/>
            <w:color w:val="0872CB"/>
            <w:sz w:val="18"/>
            <w:szCs w:val="18"/>
            <w:lang w:val="en-GB"/>
          </w:rPr>
          <w:t>Spanish</w:t>
        </w:r>
      </w:hyperlink>
      <w:r w:rsidRPr="00DA1D7D">
        <w:rPr>
          <w:rFonts w:ascii="Arial" w:hAnsi="Arial"/>
          <w:color w:val="414042"/>
          <w:sz w:val="18"/>
          <w:szCs w:val="18"/>
          <w:lang w:val="en-GB"/>
        </w:rPr>
        <w:t>|</w:t>
      </w:r>
      <w:hyperlink r:id="rId14" w:tgtFrame="_blank" w:history="1">
        <w:r w:rsidRPr="00DA1D7D">
          <w:rPr>
            <w:rStyle w:val="Hyperlink"/>
            <w:rFonts w:ascii="Arial" w:hAnsi="Arial"/>
            <w:bCs/>
            <w:color w:val="0872CB"/>
            <w:sz w:val="18"/>
            <w:szCs w:val="18"/>
            <w:lang w:val="en-GB"/>
          </w:rPr>
          <w:t>Russian</w:t>
        </w:r>
      </w:hyperlink>
      <w:r w:rsidRPr="00DA1D7D">
        <w:rPr>
          <w:rFonts w:ascii="Arial" w:hAnsi="Arial"/>
          <w:color w:val="414042"/>
          <w:sz w:val="18"/>
          <w:szCs w:val="18"/>
          <w:lang w:val="en-GB"/>
        </w:rPr>
        <w:t>|</w:t>
      </w:r>
      <w:hyperlink r:id="rId15" w:tgtFrame="_blank" w:history="1">
        <w:r w:rsidRPr="00DA1D7D">
          <w:rPr>
            <w:rStyle w:val="Hyperlink"/>
            <w:rFonts w:ascii="Arial" w:hAnsi="Arial"/>
            <w:bCs/>
            <w:color w:val="0872CB"/>
            <w:sz w:val="18"/>
            <w:szCs w:val="18"/>
            <w:lang w:val="en-GB"/>
          </w:rPr>
          <w:t>Arabic</w:t>
        </w:r>
      </w:hyperlink>
      <w:r w:rsidRPr="00DA1D7D">
        <w:rPr>
          <w:rFonts w:ascii="Arial" w:hAnsi="Arial"/>
          <w:color w:val="414042"/>
          <w:sz w:val="18"/>
          <w:szCs w:val="18"/>
          <w:lang w:val="en-GB"/>
        </w:rPr>
        <w:t>|</w:t>
      </w:r>
      <w:hyperlink r:id="rId16" w:tgtFrame="_blank" w:history="1">
        <w:r w:rsidRPr="00DA1D7D">
          <w:rPr>
            <w:rStyle w:val="Hyperlink"/>
            <w:rFonts w:ascii="Arial" w:hAnsi="Arial"/>
            <w:bCs/>
            <w:color w:val="0872CB"/>
            <w:sz w:val="18"/>
            <w:szCs w:val="18"/>
            <w:lang w:val="en-GB"/>
          </w:rPr>
          <w:t>Chinese</w:t>
        </w:r>
      </w:hyperlink>
      <w:r w:rsidRPr="00DA1D7D">
        <w:rPr>
          <w:rFonts w:ascii="Arial" w:hAnsi="Arial"/>
          <w:sz w:val="18"/>
          <w:szCs w:val="18"/>
          <w:lang w:val="en-GB"/>
        </w:rPr>
        <w:t>.</w:t>
      </w:r>
    </w:p>
  </w:footnote>
  <w:footnote w:id="9">
    <w:p w:rsidR="00E30A73" w:rsidRPr="0038139F" w:rsidRDefault="00E30A73" w:rsidP="000E2F4E">
      <w:pPr>
        <w:spacing w:before="60" w:after="60"/>
        <w:ind w:left="567" w:hanging="567"/>
        <w:jc w:val="both"/>
        <w:rPr>
          <w:rFonts w:ascii="Arial" w:hAnsi="Arial" w:cs="Arial"/>
          <w:color w:val="414042"/>
          <w:sz w:val="20"/>
          <w:szCs w:val="20"/>
          <w:lang w:val="en-GB"/>
        </w:rPr>
      </w:pPr>
      <w:r w:rsidRPr="00DA1D7D">
        <w:rPr>
          <w:rStyle w:val="FootnoteReference"/>
          <w:rFonts w:ascii="Arial" w:hAnsi="Arial" w:cs="Arial"/>
          <w:sz w:val="18"/>
          <w:szCs w:val="18"/>
          <w:vertAlign w:val="baseline"/>
          <w:lang w:val="en-GB"/>
        </w:rPr>
        <w:footnoteRef/>
      </w:r>
      <w:r w:rsidRPr="00DA1D7D">
        <w:rPr>
          <w:rFonts w:ascii="Arial" w:hAnsi="Arial" w:cs="Arial"/>
          <w:sz w:val="18"/>
          <w:szCs w:val="18"/>
          <w:lang w:val="en-GB"/>
        </w:rPr>
        <w:t>.</w:t>
      </w:r>
      <w:r w:rsidRPr="00DA1D7D">
        <w:rPr>
          <w:rFonts w:ascii="Arial" w:hAnsi="Arial" w:cs="Arial"/>
          <w:sz w:val="18"/>
          <w:szCs w:val="18"/>
          <w:lang w:val="en-GB"/>
        </w:rPr>
        <w:tab/>
        <w:t xml:space="preserve">Current version, as amended by the sixth session of the General Assembly (June 2016) available at </w:t>
      </w:r>
      <w:hyperlink r:id="rId17" w:tgtFrame="_blank" w:history="1">
        <w:r w:rsidRPr="00DA1D7D">
          <w:rPr>
            <w:rStyle w:val="Hyperlink"/>
            <w:rFonts w:ascii="Arial" w:hAnsi="Arial" w:cs="Arial"/>
            <w:bCs/>
            <w:color w:val="0872CB"/>
            <w:sz w:val="18"/>
            <w:szCs w:val="18"/>
            <w:lang w:val="en-GB"/>
          </w:rPr>
          <w:t>English</w:t>
        </w:r>
      </w:hyperlink>
      <w:r w:rsidRPr="00DA1D7D">
        <w:rPr>
          <w:rFonts w:ascii="Arial" w:hAnsi="Arial" w:cs="Arial"/>
          <w:color w:val="414042"/>
          <w:sz w:val="18"/>
          <w:szCs w:val="18"/>
          <w:lang w:val="en-GB"/>
        </w:rPr>
        <w:t>|</w:t>
      </w:r>
      <w:hyperlink r:id="rId18" w:tgtFrame="_blank" w:history="1">
        <w:r w:rsidRPr="00DA1D7D">
          <w:rPr>
            <w:rStyle w:val="Hyperlink"/>
            <w:rFonts w:ascii="Arial" w:hAnsi="Arial" w:cs="Arial"/>
            <w:bCs/>
            <w:color w:val="0872CB"/>
            <w:sz w:val="18"/>
            <w:szCs w:val="18"/>
            <w:lang w:val="en-GB"/>
          </w:rPr>
          <w:t>French</w:t>
        </w:r>
      </w:hyperlink>
      <w:r w:rsidRPr="00DA1D7D">
        <w:rPr>
          <w:rFonts w:ascii="Arial" w:hAnsi="Arial" w:cs="Arial"/>
          <w:color w:val="414042"/>
          <w:sz w:val="18"/>
          <w:szCs w:val="18"/>
          <w:lang w:val="en-GB"/>
        </w:rPr>
        <w:t>|</w:t>
      </w:r>
      <w:hyperlink r:id="rId19" w:tgtFrame="_blank" w:history="1">
        <w:r w:rsidRPr="00DA1D7D">
          <w:rPr>
            <w:rStyle w:val="Hyperlink"/>
            <w:rFonts w:ascii="Arial" w:hAnsi="Arial" w:cs="Arial"/>
            <w:bCs/>
            <w:color w:val="0872CB"/>
            <w:sz w:val="18"/>
            <w:szCs w:val="18"/>
            <w:lang w:val="en-GB"/>
          </w:rPr>
          <w:t>Spanish</w:t>
        </w:r>
      </w:hyperlink>
      <w:r w:rsidRPr="00DA1D7D">
        <w:rPr>
          <w:rFonts w:ascii="Arial" w:hAnsi="Arial" w:cs="Arial"/>
          <w:color w:val="414042"/>
          <w:sz w:val="18"/>
          <w:szCs w:val="18"/>
          <w:lang w:val="en-GB"/>
        </w:rPr>
        <w:t>|</w:t>
      </w:r>
      <w:hyperlink r:id="rId20" w:tgtFrame="_blank" w:history="1">
        <w:r w:rsidRPr="00DA1D7D">
          <w:rPr>
            <w:rStyle w:val="Hyperlink"/>
            <w:rFonts w:ascii="Arial" w:hAnsi="Arial" w:cs="Arial"/>
            <w:bCs/>
            <w:color w:val="0872CB"/>
            <w:sz w:val="18"/>
            <w:szCs w:val="18"/>
            <w:lang w:val="en-GB"/>
          </w:rPr>
          <w:t>Russian</w:t>
        </w:r>
      </w:hyperlink>
      <w:r w:rsidRPr="00DA1D7D">
        <w:rPr>
          <w:rFonts w:ascii="Arial" w:hAnsi="Arial" w:cs="Arial"/>
          <w:color w:val="414042"/>
          <w:sz w:val="18"/>
          <w:szCs w:val="18"/>
          <w:lang w:val="en-GB"/>
        </w:rPr>
        <w:t>|</w:t>
      </w:r>
      <w:hyperlink r:id="rId21" w:tgtFrame="_blank" w:history="1">
        <w:r w:rsidRPr="00DA1D7D">
          <w:rPr>
            <w:rStyle w:val="Hyperlink"/>
            <w:rFonts w:ascii="Arial" w:hAnsi="Arial" w:cs="Arial"/>
            <w:bCs/>
            <w:color w:val="0872CB"/>
            <w:sz w:val="18"/>
            <w:szCs w:val="18"/>
            <w:lang w:val="en-GB"/>
          </w:rPr>
          <w:t>Arabic</w:t>
        </w:r>
      </w:hyperlink>
      <w:r w:rsidRPr="00DA1D7D">
        <w:rPr>
          <w:rFonts w:ascii="Arial" w:hAnsi="Arial" w:cs="Arial"/>
          <w:color w:val="414042"/>
          <w:sz w:val="18"/>
          <w:szCs w:val="18"/>
          <w:lang w:val="en-GB"/>
        </w:rPr>
        <w:t>|</w:t>
      </w:r>
      <w:hyperlink r:id="rId22" w:tgtFrame="_blank" w:history="1">
        <w:r w:rsidRPr="00DA1D7D">
          <w:rPr>
            <w:rStyle w:val="Hyperlink"/>
            <w:rFonts w:ascii="Arial" w:hAnsi="Arial" w:cs="Arial"/>
            <w:bCs/>
            <w:color w:val="0872CB"/>
            <w:sz w:val="18"/>
            <w:szCs w:val="18"/>
            <w:lang w:val="en-GB"/>
          </w:rPr>
          <w:t>Chinese</w:t>
        </w:r>
      </w:hyperlink>
      <w:r w:rsidRPr="00DA1D7D">
        <w:rPr>
          <w:rFonts w:ascii="Arial" w:hAnsi="Arial" w:cs="Arial"/>
          <w:sz w:val="18"/>
          <w:szCs w:val="18"/>
          <w:lang w:val="en-GB"/>
        </w:rPr>
        <w:t>.</w:t>
      </w:r>
    </w:p>
  </w:footnote>
  <w:footnote w:id="10">
    <w:p w:rsidR="00E30A73" w:rsidRPr="00DA1D7D" w:rsidRDefault="00E30A73" w:rsidP="0038139F">
      <w:pPr>
        <w:pStyle w:val="Footnote"/>
        <w:spacing w:before="60" w:after="60"/>
        <w:ind w:left="567" w:hanging="567"/>
        <w:jc w:val="both"/>
        <w:rPr>
          <w:sz w:val="18"/>
          <w:lang w:val="en-GB"/>
        </w:rPr>
      </w:pPr>
      <w:r w:rsidRPr="00DA1D7D">
        <w:rPr>
          <w:rFonts w:ascii="Arial" w:hAnsi="Arial"/>
          <w:sz w:val="18"/>
          <w:lang w:val="en-GB"/>
        </w:rPr>
        <w:footnoteRef/>
      </w:r>
      <w:r w:rsidRPr="00DA1D7D">
        <w:rPr>
          <w:rFonts w:ascii="Arial" w:hAnsi="Arial"/>
          <w:sz w:val="18"/>
          <w:lang w:val="en-GB"/>
        </w:rPr>
        <w:t xml:space="preserve">. </w:t>
      </w:r>
      <w:r w:rsidRPr="00DA1D7D">
        <w:rPr>
          <w:rFonts w:ascii="Arial" w:hAnsi="Arial"/>
          <w:sz w:val="18"/>
          <w:lang w:val="en-GB"/>
        </w:rPr>
        <w:tab/>
        <w:t>Valters, Craig. 2014. Theories of Change in International Development: Communication, Learning, or Accountability? The Asia Foundation, Justice and Security Research Programme. JSRP Paper 17.</w:t>
      </w:r>
    </w:p>
  </w:footnote>
  <w:footnote w:id="11">
    <w:p w:rsidR="00E30A73" w:rsidRPr="00DA1D7D" w:rsidRDefault="00E30A73" w:rsidP="00DA1D7D">
      <w:pPr>
        <w:pStyle w:val="Footnote"/>
        <w:spacing w:before="60" w:after="60"/>
        <w:ind w:left="567" w:hanging="567"/>
        <w:rPr>
          <w:rFonts w:ascii="Arial" w:hAnsi="Arial"/>
          <w:sz w:val="18"/>
          <w:lang w:val="en-GB"/>
        </w:rPr>
      </w:pPr>
      <w:r w:rsidRPr="00DA1D7D">
        <w:rPr>
          <w:rFonts w:ascii="Arial" w:hAnsi="Arial"/>
          <w:sz w:val="18"/>
          <w:lang w:val="en-GB"/>
        </w:rPr>
        <w:footnoteRef/>
      </w:r>
      <w:r w:rsidR="002503B8" w:rsidRPr="00DA1D7D">
        <w:rPr>
          <w:rFonts w:ascii="Arial" w:hAnsi="Arial"/>
          <w:sz w:val="18"/>
          <w:lang w:val="en-GB"/>
        </w:rPr>
        <w:t>.</w:t>
      </w:r>
      <w:r w:rsidRPr="00DA1D7D">
        <w:rPr>
          <w:rFonts w:ascii="Arial" w:hAnsi="Arial"/>
          <w:sz w:val="18"/>
          <w:lang w:val="en-GB"/>
        </w:rPr>
        <w:tab/>
        <w:t xml:space="preserve">UNESCO Culture for Development Indicators (CDIS) </w:t>
      </w:r>
      <w:hyperlink r:id="rId23" w:history="1">
        <w:r w:rsidRPr="00DA1D7D">
          <w:rPr>
            <w:rStyle w:val="Hyperlink"/>
            <w:rFonts w:ascii="Arial" w:hAnsi="Arial"/>
            <w:sz w:val="18"/>
            <w:lang w:val="en-GB"/>
          </w:rPr>
          <w:t>http://en.unesco.org/creativity/cdis</w:t>
        </w:r>
      </w:hyperlink>
    </w:p>
  </w:footnote>
  <w:footnote w:id="12">
    <w:p w:rsidR="00E30A73" w:rsidRPr="00DA1D7D" w:rsidRDefault="00E30A73" w:rsidP="00DA1D7D">
      <w:pPr>
        <w:pStyle w:val="Footnote"/>
        <w:spacing w:before="60" w:after="60"/>
        <w:ind w:left="567" w:hanging="567"/>
        <w:rPr>
          <w:rFonts w:ascii="Arial" w:hAnsi="Arial"/>
          <w:sz w:val="18"/>
          <w:lang w:val="en-GB"/>
        </w:rPr>
      </w:pPr>
      <w:r w:rsidRPr="00DA1D7D">
        <w:rPr>
          <w:rFonts w:ascii="Arial" w:hAnsi="Arial"/>
          <w:sz w:val="18"/>
          <w:lang w:val="en-GB"/>
        </w:rPr>
        <w:footnoteRef/>
      </w:r>
      <w:r w:rsidR="002503B8" w:rsidRPr="00DA1D7D">
        <w:rPr>
          <w:rFonts w:ascii="Arial" w:hAnsi="Arial"/>
          <w:sz w:val="18"/>
          <w:lang w:val="en-GB"/>
        </w:rPr>
        <w:t>.</w:t>
      </w:r>
      <w:r w:rsidRPr="00DA1D7D">
        <w:rPr>
          <w:rFonts w:ascii="Arial" w:hAnsi="Arial"/>
          <w:sz w:val="18"/>
          <w:lang w:val="en-GB"/>
        </w:rPr>
        <w:tab/>
        <w:t xml:space="preserve">See for example the Canadian Index of Wellbeing, </w:t>
      </w:r>
      <w:hyperlink r:id="rId24" w:history="1">
        <w:r w:rsidRPr="00DA1D7D">
          <w:rPr>
            <w:rStyle w:val="Hyperlink"/>
            <w:rFonts w:ascii="Arial" w:hAnsi="Arial"/>
            <w:sz w:val="18"/>
            <w:lang w:val="en-GB"/>
          </w:rPr>
          <w:t>https://uwaterloo.ca/canadian-index-wellbeing/</w:t>
        </w:r>
      </w:hyperlink>
    </w:p>
  </w:footnote>
  <w:footnote w:id="13">
    <w:p w:rsidR="00E30A73" w:rsidRPr="00B10F19" w:rsidRDefault="00E30A73" w:rsidP="00DA1D7D">
      <w:pPr>
        <w:pStyle w:val="Footnote"/>
        <w:spacing w:before="60" w:after="60"/>
        <w:ind w:left="567" w:hanging="567"/>
        <w:rPr>
          <w:rFonts w:ascii="Arial" w:hAnsi="Arial"/>
          <w:lang w:val="en-US"/>
        </w:rPr>
      </w:pPr>
      <w:r w:rsidRPr="00DA1D7D">
        <w:rPr>
          <w:rFonts w:ascii="Arial" w:hAnsi="Arial"/>
          <w:sz w:val="18"/>
          <w:lang w:val="en-GB"/>
        </w:rPr>
        <w:footnoteRef/>
      </w:r>
      <w:r w:rsidR="00DA1D7D">
        <w:rPr>
          <w:rFonts w:ascii="Arial" w:hAnsi="Arial"/>
          <w:sz w:val="18"/>
          <w:lang w:val="en-GB"/>
        </w:rPr>
        <w:t>.</w:t>
      </w:r>
      <w:r w:rsidRPr="00DA1D7D">
        <w:rPr>
          <w:rFonts w:ascii="Arial" w:hAnsi="Arial"/>
          <w:sz w:val="18"/>
          <w:lang w:val="en-GB"/>
        </w:rPr>
        <w:tab/>
        <w:t>See for example the Hong Kong Creat</w:t>
      </w:r>
      <w:r w:rsidR="00DA1D7D" w:rsidRPr="00DA1D7D">
        <w:rPr>
          <w:rFonts w:ascii="Arial" w:hAnsi="Arial"/>
          <w:sz w:val="18"/>
          <w:lang w:val="en-GB"/>
        </w:rPr>
        <w:t xml:space="preserve">ivity Index </w:t>
      </w:r>
      <w:hyperlink r:id="rId25" w:history="1">
        <w:r w:rsidRPr="00DA1D7D">
          <w:rPr>
            <w:rStyle w:val="Hyperlink"/>
            <w:rFonts w:ascii="Arial" w:hAnsi="Arial"/>
            <w:sz w:val="18"/>
            <w:lang w:val="en-GB"/>
          </w:rPr>
          <w:t>http://portal.unesco.org/culture/en/files/40795/12705619025HK_Creativity_Index.pdf/HK_Creativity+Index.pdf</w:t>
        </w:r>
      </w:hyperlink>
      <w:r w:rsidRPr="00DA1D7D">
        <w:rPr>
          <w:rFonts w:ascii="Arial" w:hAnsi="Arial"/>
          <w:sz w:val="18"/>
          <w:lang w:val="en-GB"/>
        </w:rPr>
        <w:t xml:space="preserve"> and OECD Social Cohesion Indicators </w:t>
      </w:r>
      <w:hyperlink r:id="rId26" w:history="1">
        <w:r w:rsidR="00B10F19" w:rsidRPr="00B10F19">
          <w:rPr>
            <w:rStyle w:val="Hyperlink"/>
            <w:rFonts w:ascii="Arial" w:hAnsi="Arial"/>
            <w:sz w:val="18"/>
            <w:lang w:val="en-US"/>
          </w:rPr>
          <w:t>http://www.oecd-ilibrary.org/social-issues-migration-health/society-at-a-glance-asia-pacific-2011/social-cohesion-indicators_9789264106154-11-en</w:t>
        </w:r>
      </w:hyperlink>
    </w:p>
  </w:footnote>
  <w:footnote w:id="14">
    <w:p w:rsidR="00E30A73" w:rsidRPr="00DA1D7D" w:rsidRDefault="00E30A73" w:rsidP="00DA1D7D">
      <w:pPr>
        <w:pStyle w:val="Footnote"/>
        <w:spacing w:before="60" w:after="60"/>
        <w:ind w:left="567" w:hanging="567"/>
        <w:rPr>
          <w:rFonts w:ascii="Arial" w:hAnsi="Arial"/>
          <w:sz w:val="18"/>
          <w:lang w:val="en-GB"/>
        </w:rPr>
      </w:pPr>
      <w:r w:rsidRPr="00DA1D7D">
        <w:rPr>
          <w:rFonts w:ascii="Arial" w:hAnsi="Arial"/>
          <w:sz w:val="18"/>
          <w:lang w:val="en-GB"/>
        </w:rPr>
        <w:footnoteRef/>
      </w:r>
      <w:r w:rsidR="002503B8" w:rsidRPr="00DA1D7D">
        <w:rPr>
          <w:rFonts w:ascii="Arial" w:hAnsi="Arial"/>
          <w:sz w:val="18"/>
          <w:lang w:val="en-GB"/>
        </w:rPr>
        <w:t>.</w:t>
      </w:r>
      <w:r w:rsidRPr="00DA1D7D">
        <w:rPr>
          <w:rFonts w:ascii="Arial" w:hAnsi="Arial"/>
          <w:sz w:val="18"/>
          <w:lang w:val="en-GB"/>
        </w:rPr>
        <w:tab/>
        <w:t xml:space="preserve">The Social Report 2016 – Te pūrongo oranga tangata </w:t>
      </w:r>
      <w:hyperlink r:id="rId27" w:history="1">
        <w:r w:rsidRPr="00DA1D7D">
          <w:rPr>
            <w:rStyle w:val="Hyperlink"/>
            <w:rFonts w:ascii="Arial" w:hAnsi="Arial"/>
            <w:sz w:val="18"/>
            <w:lang w:val="en-GB"/>
          </w:rPr>
          <w:t>http://socialreport.msd.govt.nz/cultural-identity/local-content-programming-on-new-zealand-television.html</w:t>
        </w:r>
      </w:hyperlink>
    </w:p>
  </w:footnote>
  <w:footnote w:id="15">
    <w:p w:rsidR="00E30A73" w:rsidRPr="00DA1D7D" w:rsidRDefault="00E30A73" w:rsidP="00DA1D7D">
      <w:pPr>
        <w:pStyle w:val="Footnote"/>
        <w:spacing w:before="60" w:after="60"/>
        <w:ind w:left="567" w:hanging="567"/>
        <w:rPr>
          <w:rFonts w:ascii="Arial" w:hAnsi="Arial"/>
          <w:sz w:val="18"/>
          <w:lang w:val="en-GB"/>
        </w:rPr>
      </w:pPr>
      <w:r w:rsidRPr="00DA1D7D">
        <w:rPr>
          <w:rFonts w:ascii="Arial" w:hAnsi="Arial"/>
          <w:sz w:val="18"/>
          <w:lang w:val="en-GB"/>
        </w:rPr>
        <w:footnoteRef/>
      </w:r>
      <w:r w:rsidR="00B10F19">
        <w:rPr>
          <w:rFonts w:ascii="Arial" w:hAnsi="Arial"/>
          <w:sz w:val="18"/>
          <w:lang w:val="en-GB"/>
        </w:rPr>
        <w:t>.</w:t>
      </w:r>
      <w:r w:rsidRPr="00DA1D7D">
        <w:rPr>
          <w:rFonts w:ascii="Arial" w:hAnsi="Arial"/>
          <w:sz w:val="18"/>
          <w:lang w:val="en-GB"/>
        </w:rPr>
        <w:tab/>
        <w:t xml:space="preserve">New Zealand Statistics: Maori Culture and identity </w:t>
      </w:r>
      <w:hyperlink r:id="rId28" w:anchor="cultureandid" w:history="1">
        <w:r w:rsidRPr="00DA1D7D">
          <w:rPr>
            <w:rStyle w:val="Hyperlink"/>
            <w:rFonts w:ascii="Arial" w:hAnsi="Arial"/>
            <w:sz w:val="18"/>
            <w:lang w:val="en-GB"/>
          </w:rPr>
          <w:t>http://www.stats.govt.nz/browse_for_stats/people_and_communities/maori.aspx#cultureandid</w:t>
        </w:r>
      </w:hyperlink>
    </w:p>
  </w:footnote>
  <w:footnote w:id="16">
    <w:p w:rsidR="00E30A73" w:rsidRPr="00DA1D7D" w:rsidRDefault="00E30A73" w:rsidP="00DA1D7D">
      <w:pPr>
        <w:pStyle w:val="Footnote"/>
        <w:spacing w:before="60" w:after="60"/>
        <w:ind w:left="567" w:hanging="567"/>
        <w:rPr>
          <w:rFonts w:ascii="Arial" w:hAnsi="Arial"/>
          <w:sz w:val="18"/>
          <w:lang w:val="en-GB"/>
        </w:rPr>
      </w:pPr>
      <w:r w:rsidRPr="00DA1D7D">
        <w:rPr>
          <w:rFonts w:ascii="Arial" w:hAnsi="Arial"/>
          <w:sz w:val="18"/>
          <w:lang w:val="en-GB"/>
        </w:rPr>
        <w:footnoteRef/>
      </w:r>
      <w:r w:rsidRPr="00DA1D7D">
        <w:rPr>
          <w:rFonts w:ascii="Arial" w:hAnsi="Arial"/>
          <w:sz w:val="18"/>
          <w:lang w:val="en-GB"/>
        </w:rPr>
        <w:t>.</w:t>
      </w:r>
      <w:r w:rsidR="00DA1D7D" w:rsidRPr="00DA1D7D">
        <w:rPr>
          <w:rFonts w:ascii="Arial" w:hAnsi="Arial"/>
          <w:sz w:val="18"/>
          <w:lang w:val="en-GB"/>
        </w:rPr>
        <w:tab/>
        <w:t>Ellen Woodley, et al. 2009.</w:t>
      </w:r>
      <w:r w:rsidRPr="00DA1D7D">
        <w:rPr>
          <w:rFonts w:ascii="Arial" w:hAnsi="Arial"/>
          <w:sz w:val="18"/>
          <w:lang w:val="en-GB"/>
        </w:rPr>
        <w:t xml:space="preserve"> Cultural indicators of Indigenous Peoples’ food and agro-ecological systems’, SARD Initiative paper, E/C.19/2009/CRP.</w:t>
      </w:r>
      <w:r w:rsidR="00B10F19">
        <w:rPr>
          <w:rFonts w:ascii="Arial" w:hAnsi="Arial"/>
          <w:sz w:val="18"/>
          <w:lang w:val="en-GB"/>
        </w:rPr>
        <w:t xml:space="preserve"> </w:t>
      </w:r>
      <w:r w:rsidRPr="00DA1D7D">
        <w:rPr>
          <w:rFonts w:ascii="Arial" w:hAnsi="Arial"/>
          <w:sz w:val="18"/>
          <w:lang w:val="en-GB"/>
        </w:rPr>
        <w:t xml:space="preserve">3 </w:t>
      </w:r>
      <w:hyperlink r:id="rId29" w:history="1">
        <w:r w:rsidRPr="00DA1D7D">
          <w:rPr>
            <w:rStyle w:val="Hyperlink"/>
            <w:rFonts w:ascii="Arial" w:hAnsi="Arial"/>
            <w:sz w:val="18"/>
            <w:lang w:val="en-GB"/>
          </w:rPr>
          <w:t>http://www.un.org/esa/socdev/unpfii/documents/E_%20C_19_2009_CRP3_en.pdf</w:t>
        </w:r>
      </w:hyperlink>
    </w:p>
  </w:footnote>
  <w:footnote w:id="17">
    <w:p w:rsidR="00E30A73" w:rsidRPr="00DA1D7D" w:rsidRDefault="00E30A73" w:rsidP="00DA1D7D">
      <w:pPr>
        <w:pStyle w:val="Footnote"/>
        <w:spacing w:before="60" w:after="60"/>
        <w:ind w:left="567" w:hanging="567"/>
        <w:rPr>
          <w:rFonts w:ascii="Arial" w:hAnsi="Arial"/>
          <w:sz w:val="18"/>
        </w:rPr>
      </w:pPr>
      <w:r w:rsidRPr="00DA1D7D">
        <w:rPr>
          <w:rFonts w:ascii="Arial" w:hAnsi="Arial"/>
          <w:sz w:val="18"/>
          <w:lang w:val="en-GB"/>
        </w:rPr>
        <w:footnoteRef/>
      </w:r>
      <w:r w:rsidR="00B10F19">
        <w:rPr>
          <w:rFonts w:ascii="Arial" w:hAnsi="Arial"/>
          <w:sz w:val="18"/>
          <w:lang w:val="en-GB"/>
        </w:rPr>
        <w:t>.</w:t>
      </w:r>
      <w:r w:rsidRPr="00DA1D7D">
        <w:rPr>
          <w:rFonts w:ascii="Arial" w:hAnsi="Arial"/>
          <w:sz w:val="18"/>
          <w:lang w:val="en-GB"/>
        </w:rPr>
        <w:tab/>
        <w:t xml:space="preserve">Convention on Biological Diversity, 2014. Indicators Relevant for Traditional Knowledge and Customary Sustainable Use, UNEP/CBD/WG8J/8/9. </w:t>
      </w:r>
      <w:hyperlink r:id="rId30" w:history="1">
        <w:r w:rsidRPr="004474A1">
          <w:rPr>
            <w:rStyle w:val="Hyperlink"/>
            <w:rFonts w:ascii="Arial" w:hAnsi="Arial"/>
            <w:sz w:val="18"/>
          </w:rPr>
          <w:t>https://www.cbd.int/kb/record/meetingDocument/99249?RecordType=meetingDocument</w:t>
        </w:r>
      </w:hyperlink>
    </w:p>
  </w:footnote>
  <w:footnote w:id="18">
    <w:p w:rsidR="00E30A73" w:rsidRPr="004474A1" w:rsidRDefault="00E30A73" w:rsidP="00A34B81">
      <w:pPr>
        <w:pStyle w:val="Footnote"/>
        <w:spacing w:before="60" w:after="60"/>
        <w:ind w:left="567" w:hanging="567"/>
        <w:rPr>
          <w:rFonts w:ascii="Arial" w:hAnsi="Arial"/>
          <w:sz w:val="18"/>
        </w:rPr>
      </w:pPr>
      <w:r w:rsidRPr="00DA1D7D">
        <w:rPr>
          <w:rStyle w:val="FootnoteReference"/>
          <w:rFonts w:ascii="Arial" w:hAnsi="Arial"/>
          <w:sz w:val="18"/>
          <w:vertAlign w:val="baseline"/>
          <w:lang w:val="en-GB"/>
        </w:rPr>
        <w:footnoteRef/>
      </w:r>
      <w:r w:rsidRPr="004474A1">
        <w:rPr>
          <w:rFonts w:ascii="Arial" w:hAnsi="Arial"/>
          <w:sz w:val="18"/>
        </w:rPr>
        <w:t>.</w:t>
      </w:r>
      <w:r w:rsidRPr="004474A1">
        <w:rPr>
          <w:rFonts w:ascii="Arial" w:hAnsi="Arial"/>
          <w:sz w:val="18"/>
        </w:rPr>
        <w:tab/>
        <w:t>Operational Directives, paragraph 97.</w:t>
      </w:r>
    </w:p>
  </w:footnote>
  <w:footnote w:id="19">
    <w:p w:rsidR="007D15A9" w:rsidRPr="00DA1D7D" w:rsidRDefault="007D15A9" w:rsidP="007D15A9">
      <w:pPr>
        <w:pStyle w:val="Footnote"/>
        <w:spacing w:before="60" w:after="60"/>
        <w:ind w:left="567" w:hanging="567"/>
        <w:rPr>
          <w:sz w:val="18"/>
          <w:lang w:val="en-GB"/>
        </w:rPr>
      </w:pPr>
      <w:r w:rsidRPr="00DA1D7D">
        <w:rPr>
          <w:rFonts w:ascii="Arial" w:hAnsi="Arial"/>
          <w:sz w:val="18"/>
          <w:lang w:val="en-GB"/>
        </w:rPr>
        <w:footnoteRef/>
      </w:r>
      <w:r w:rsidRPr="00DA1D7D">
        <w:rPr>
          <w:rFonts w:ascii="Arial" w:hAnsi="Arial"/>
          <w:sz w:val="18"/>
          <w:lang w:val="en-GB"/>
        </w:rPr>
        <w:t>.</w:t>
      </w:r>
      <w:r w:rsidRPr="00DA1D7D">
        <w:rPr>
          <w:rFonts w:ascii="Arial" w:hAnsi="Arial"/>
          <w:sz w:val="18"/>
          <w:lang w:val="en-GB"/>
        </w:rPr>
        <w:tab/>
        <w:t>Operational Directives, paragraph 94.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A73" w:rsidRPr="00C23A97" w:rsidRDefault="00E30A73">
    <w:pPr>
      <w:pStyle w:val="Header"/>
      <w:rPr>
        <w:rFonts w:ascii="Arial" w:hAnsi="Arial" w:cs="Arial"/>
        <w:lang w:val="en-GB"/>
      </w:rPr>
    </w:pPr>
    <w:r>
      <w:rPr>
        <w:rFonts w:ascii="Arial" w:hAnsi="Arial" w:cs="Arial"/>
        <w:sz w:val="20"/>
        <w:szCs w:val="20"/>
        <w:lang w:val="en-GB"/>
      </w:rPr>
      <w:t>ITH/16/11.COM</w:t>
    </w:r>
    <w:r w:rsidRPr="00C23A97">
      <w:rPr>
        <w:rFonts w:ascii="Arial" w:hAnsi="Arial" w:cs="Arial"/>
        <w:sz w:val="20"/>
        <w:szCs w:val="20"/>
        <w:lang w:val="en-GB"/>
      </w:rPr>
      <w:t>/</w:t>
    </w:r>
    <w:r>
      <w:rPr>
        <w:rFonts w:ascii="Arial" w:hAnsi="Arial" w:cs="Arial"/>
        <w:sz w:val="20"/>
        <w:szCs w:val="20"/>
        <w:lang w:val="en-GB"/>
      </w:rPr>
      <w:t>14</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4E7B29">
      <w:rPr>
        <w:rStyle w:val="PageNumber"/>
        <w:rFonts w:ascii="Arial" w:hAnsi="Arial" w:cs="Arial"/>
        <w:noProof/>
        <w:sz w:val="20"/>
        <w:szCs w:val="20"/>
        <w:lang w:val="en-GB"/>
      </w:rPr>
      <w:t>4</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A73" w:rsidRPr="0063300C" w:rsidRDefault="00E30A73" w:rsidP="0063300C">
    <w:pPr>
      <w:pStyle w:val="Header"/>
      <w:jc w:val="right"/>
      <w:rPr>
        <w:rFonts w:ascii="Arial" w:hAnsi="Arial" w:cs="Arial"/>
        <w:lang w:val="en-GB"/>
      </w:rPr>
    </w:pPr>
    <w:r>
      <w:rPr>
        <w:rFonts w:ascii="Arial" w:hAnsi="Arial" w:cs="Arial"/>
        <w:sz w:val="20"/>
        <w:szCs w:val="20"/>
        <w:lang w:val="en-GB"/>
      </w:rPr>
      <w:t>ITH/16/11.COM</w:t>
    </w:r>
    <w:r w:rsidRPr="0063300C">
      <w:rPr>
        <w:rFonts w:ascii="Arial" w:hAnsi="Arial" w:cs="Arial"/>
        <w:sz w:val="20"/>
        <w:szCs w:val="20"/>
        <w:lang w:val="en-GB"/>
      </w:rPr>
      <w:t>/</w:t>
    </w:r>
    <w:r>
      <w:rPr>
        <w:rFonts w:ascii="Arial" w:hAnsi="Arial" w:cs="Arial"/>
        <w:sz w:val="20"/>
        <w:szCs w:val="20"/>
        <w:lang w:val="en-GB"/>
      </w:rPr>
      <w:t>14</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4E7B29">
      <w:rPr>
        <w:rStyle w:val="PageNumber"/>
        <w:rFonts w:ascii="Arial" w:hAnsi="Arial" w:cs="Arial"/>
        <w:noProof/>
        <w:sz w:val="20"/>
        <w:szCs w:val="20"/>
        <w:lang w:val="en-GB"/>
      </w:rPr>
      <w:t>5</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A73" w:rsidRPr="00F32C23" w:rsidRDefault="008422C6">
    <w:pPr>
      <w:pStyle w:val="Header"/>
      <w:rPr>
        <w:lang w:val="en-GB"/>
      </w:rPr>
    </w:pPr>
    <w:r>
      <w:rPr>
        <w:noProof/>
      </w:rPr>
      <w:drawing>
        <wp:anchor distT="0" distB="0" distL="114300" distR="114300" simplePos="0" relativeHeight="251657728" behindDoc="0" locked="0" layoutInCell="1" allowOverlap="1">
          <wp:simplePos x="0" y="0"/>
          <wp:positionH relativeFrom="column">
            <wp:posOffset>-567690</wp:posOffset>
          </wp:positionH>
          <wp:positionV relativeFrom="page">
            <wp:posOffset>255905</wp:posOffset>
          </wp:positionV>
          <wp:extent cx="2228400" cy="1368000"/>
          <wp:effectExtent l="0" t="0" r="635" b="3810"/>
          <wp:wrapNone/>
          <wp:docPr id="4"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400" cy="136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0A73" w:rsidRPr="00F30DC6" w:rsidRDefault="00E30A73" w:rsidP="00655736">
    <w:pPr>
      <w:pStyle w:val="Header"/>
      <w:spacing w:after="520"/>
      <w:jc w:val="right"/>
      <w:rPr>
        <w:rFonts w:ascii="Arial" w:hAnsi="Arial" w:cs="Arial"/>
        <w:b/>
        <w:sz w:val="44"/>
        <w:szCs w:val="44"/>
        <w:lang w:val="en-GB"/>
      </w:rPr>
    </w:pPr>
    <w:r>
      <w:rPr>
        <w:rFonts w:ascii="Arial" w:hAnsi="Arial" w:cs="Arial"/>
        <w:b/>
        <w:sz w:val="44"/>
        <w:szCs w:val="44"/>
        <w:lang w:val="en-GB"/>
      </w:rPr>
      <w:t>11</w:t>
    </w:r>
    <w:r w:rsidRPr="00F30DC6">
      <w:rPr>
        <w:rFonts w:ascii="Arial" w:hAnsi="Arial" w:cs="Arial"/>
        <w:b/>
        <w:sz w:val="44"/>
        <w:szCs w:val="44"/>
        <w:lang w:val="en-GB"/>
      </w:rPr>
      <w:t xml:space="preserve"> COM</w:t>
    </w:r>
  </w:p>
  <w:p w:rsidR="00E30A73" w:rsidRPr="009D5428" w:rsidRDefault="00E30A73" w:rsidP="00655736">
    <w:pPr>
      <w:jc w:val="right"/>
      <w:rPr>
        <w:rFonts w:ascii="Arial" w:hAnsi="Arial" w:cs="Arial"/>
        <w:b/>
        <w:sz w:val="22"/>
        <w:szCs w:val="22"/>
        <w:lang w:val="en-GB"/>
      </w:rPr>
    </w:pPr>
    <w:r>
      <w:rPr>
        <w:rFonts w:ascii="Arial" w:hAnsi="Arial" w:cs="Arial"/>
        <w:b/>
        <w:sz w:val="22"/>
        <w:szCs w:val="22"/>
        <w:lang w:val="en-GB"/>
      </w:rPr>
      <w:t>ITH/16</w:t>
    </w:r>
    <w:r w:rsidRPr="009D5428">
      <w:rPr>
        <w:rFonts w:ascii="Arial" w:hAnsi="Arial" w:cs="Arial"/>
        <w:b/>
        <w:sz w:val="22"/>
        <w:szCs w:val="22"/>
        <w:lang w:val="en-GB"/>
      </w:rPr>
      <w:t>/</w:t>
    </w:r>
    <w:r>
      <w:rPr>
        <w:rFonts w:ascii="Arial" w:hAnsi="Arial" w:cs="Arial"/>
        <w:b/>
        <w:sz w:val="22"/>
        <w:szCs w:val="22"/>
        <w:lang w:val="en-GB"/>
      </w:rPr>
      <w:t>11</w:t>
    </w:r>
    <w:r w:rsidRPr="009D5428">
      <w:rPr>
        <w:rFonts w:ascii="Arial" w:hAnsi="Arial" w:cs="Arial"/>
        <w:b/>
        <w:sz w:val="22"/>
        <w:szCs w:val="22"/>
        <w:lang w:val="en-GB"/>
      </w:rPr>
      <w:t>.COM/</w:t>
    </w:r>
    <w:r>
      <w:rPr>
        <w:rFonts w:ascii="Arial" w:hAnsi="Arial" w:cs="Arial"/>
        <w:b/>
        <w:sz w:val="22"/>
        <w:szCs w:val="22"/>
        <w:lang w:val="en-GB"/>
      </w:rPr>
      <w:t>14</w:t>
    </w:r>
  </w:p>
  <w:p w:rsidR="00E30A73" w:rsidRPr="00F32C23" w:rsidRDefault="00E30A73" w:rsidP="00655736">
    <w:pPr>
      <w:jc w:val="right"/>
      <w:rPr>
        <w:rFonts w:ascii="Arial" w:hAnsi="Arial" w:cs="Arial"/>
        <w:b/>
        <w:sz w:val="22"/>
        <w:szCs w:val="22"/>
        <w:lang w:val="en-GB"/>
      </w:rPr>
    </w:pPr>
    <w:r w:rsidRPr="009D5428">
      <w:rPr>
        <w:rFonts w:ascii="Arial" w:hAnsi="Arial" w:cs="Arial"/>
        <w:b/>
        <w:sz w:val="22"/>
        <w:szCs w:val="22"/>
        <w:lang w:val="en-GB"/>
      </w:rPr>
      <w:t xml:space="preserve">Paris, </w:t>
    </w:r>
    <w:r w:rsidR="007A3A2C">
      <w:rPr>
        <w:rFonts w:ascii="Arial" w:hAnsi="Arial" w:cs="Arial"/>
        <w:b/>
        <w:sz w:val="22"/>
        <w:szCs w:val="22"/>
        <w:lang w:val="en-GB"/>
      </w:rPr>
      <w:t>31 October</w:t>
    </w:r>
    <w:r w:rsidRPr="00F32C23">
      <w:rPr>
        <w:rFonts w:ascii="Arial" w:hAnsi="Arial" w:cs="Arial"/>
        <w:b/>
        <w:sz w:val="22"/>
        <w:szCs w:val="22"/>
        <w:lang w:val="en-GB"/>
      </w:rPr>
      <w:t xml:space="preserve"> </w:t>
    </w:r>
    <w:r>
      <w:rPr>
        <w:rFonts w:ascii="Arial" w:hAnsi="Arial" w:cs="Arial"/>
        <w:b/>
        <w:sz w:val="22"/>
        <w:szCs w:val="22"/>
        <w:lang w:val="en-GB"/>
      </w:rPr>
      <w:t>2016</w:t>
    </w:r>
  </w:p>
  <w:p w:rsidR="00E30A73" w:rsidRPr="00F32C23" w:rsidRDefault="00E30A73" w:rsidP="004E1D2C">
    <w:pPr>
      <w:jc w:val="right"/>
      <w:rPr>
        <w:lang w:val="en-GB"/>
      </w:rPr>
    </w:pPr>
    <w:r w:rsidRPr="00F32C23">
      <w:rPr>
        <w:rFonts w:ascii="Arial" w:hAnsi="Arial" w:cs="Arial"/>
        <w:b/>
        <w:sz w:val="22"/>
        <w:szCs w:val="22"/>
        <w:lang w:val="en-GB"/>
      </w:rPr>
      <w:t xml:space="preserve">Original: </w:t>
    </w:r>
    <w:r>
      <w:rPr>
        <w:rFonts w:ascii="Arial" w:hAnsi="Arial" w:cs="Arial"/>
        <w:b/>
        <w:sz w:val="22"/>
        <w:szCs w:val="22"/>
        <w:lang w:val="en-GB"/>
      </w:rPr>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1D60"/>
    <w:multiLevelType w:val="multilevel"/>
    <w:tmpl w:val="69869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03B594B"/>
    <w:multiLevelType w:val="hybridMultilevel"/>
    <w:tmpl w:val="D12AB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35F07BFE"/>
    <w:multiLevelType w:val="hybridMultilevel"/>
    <w:tmpl w:val="4F0CEF32"/>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8CE778A"/>
    <w:multiLevelType w:val="hybridMultilevel"/>
    <w:tmpl w:val="A9A0FB06"/>
    <w:lvl w:ilvl="0" w:tplc="CB6A3862">
      <w:start w:val="1"/>
      <w:numFmt w:val="decimal"/>
      <w:pStyle w:val="List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7A4DB1"/>
    <w:multiLevelType w:val="hybridMultilevel"/>
    <w:tmpl w:val="3006DECA"/>
    <w:lvl w:ilvl="0" w:tplc="2A3EDD4C">
      <w:start w:val="1"/>
      <w:numFmt w:val="decimal"/>
      <w:pStyle w:val="COMParaDecision"/>
      <w:lvlText w:val="%1."/>
      <w:lvlJc w:val="left"/>
      <w:pPr>
        <w:ind w:left="360" w:hanging="360"/>
      </w:pPr>
      <w:rPr>
        <w:rFonts w:hint="default"/>
        <w:b w:val="0"/>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AD96E3AE"/>
    <w:lvl w:ilvl="0" w:tplc="8B1631E6">
      <w:start w:val="1"/>
      <w:numFmt w:val="upperLetter"/>
      <w:pStyle w:val="Heading4"/>
      <w:lvlText w:val="%1."/>
      <w:lvlJc w:val="left"/>
      <w:pPr>
        <w:ind w:left="36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FDD15A0"/>
    <w:multiLevelType w:val="hybridMultilevel"/>
    <w:tmpl w:val="7F02D574"/>
    <w:lvl w:ilvl="0" w:tplc="040C0017">
      <w:start w:val="1"/>
      <w:numFmt w:val="lowerLetter"/>
      <w:lvlText w:val="%1)"/>
      <w:lvlJc w:val="left"/>
      <w:pPr>
        <w:ind w:left="360" w:hanging="360"/>
      </w:pPr>
      <w:rPr>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1"/>
  </w:num>
  <w:num w:numId="2">
    <w:abstractNumId w:val="4"/>
  </w:num>
  <w:num w:numId="3">
    <w:abstractNumId w:val="6"/>
  </w:num>
  <w:num w:numId="4">
    <w:abstractNumId w:val="7"/>
  </w:num>
  <w:num w:numId="5">
    <w:abstractNumId w:val="5"/>
  </w:num>
  <w:num w:numId="6">
    <w:abstractNumId w:val="2"/>
  </w:num>
  <w:num w:numId="7">
    <w:abstractNumId w:val="8"/>
  </w:num>
  <w:num w:numId="8">
    <w:abstractNumId w:val="3"/>
  </w:num>
  <w:num w:numId="9">
    <w:abstractNumId w:val="6"/>
    <w:lvlOverride w:ilvl="0">
      <w:startOverride w:val="1"/>
    </w:lvlOverride>
  </w:num>
  <w:num w:numId="10">
    <w:abstractNumId w:val="0"/>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lvlOverride w:ilvl="0">
      <w:startOverride w:val="9"/>
    </w:lvlOverride>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42"/>
    <w:rsid w:val="000001C4"/>
    <w:rsid w:val="000021F3"/>
    <w:rsid w:val="000048ED"/>
    <w:rsid w:val="0000768B"/>
    <w:rsid w:val="00024768"/>
    <w:rsid w:val="00026646"/>
    <w:rsid w:val="00031D2D"/>
    <w:rsid w:val="00041A66"/>
    <w:rsid w:val="000458FA"/>
    <w:rsid w:val="0005176E"/>
    <w:rsid w:val="000636AF"/>
    <w:rsid w:val="000712D8"/>
    <w:rsid w:val="000765F7"/>
    <w:rsid w:val="00077AB7"/>
    <w:rsid w:val="00081CD8"/>
    <w:rsid w:val="00084576"/>
    <w:rsid w:val="000A154D"/>
    <w:rsid w:val="000A7F0E"/>
    <w:rsid w:val="000B1C8F"/>
    <w:rsid w:val="000C0D61"/>
    <w:rsid w:val="000C1616"/>
    <w:rsid w:val="000E2F4E"/>
    <w:rsid w:val="000E37EE"/>
    <w:rsid w:val="000E573B"/>
    <w:rsid w:val="000F3A3F"/>
    <w:rsid w:val="00101D34"/>
    <w:rsid w:val="00102557"/>
    <w:rsid w:val="00114930"/>
    <w:rsid w:val="00136753"/>
    <w:rsid w:val="00164D56"/>
    <w:rsid w:val="00167B10"/>
    <w:rsid w:val="00170DB8"/>
    <w:rsid w:val="0017402F"/>
    <w:rsid w:val="0017513A"/>
    <w:rsid w:val="00180598"/>
    <w:rsid w:val="001960FC"/>
    <w:rsid w:val="00196C1B"/>
    <w:rsid w:val="001A3FD0"/>
    <w:rsid w:val="001B0F73"/>
    <w:rsid w:val="001B5180"/>
    <w:rsid w:val="001C2DB7"/>
    <w:rsid w:val="001C45C1"/>
    <w:rsid w:val="001C4685"/>
    <w:rsid w:val="001D5C04"/>
    <w:rsid w:val="001E2ECD"/>
    <w:rsid w:val="001F26CF"/>
    <w:rsid w:val="0020646B"/>
    <w:rsid w:val="00222A2D"/>
    <w:rsid w:val="00223029"/>
    <w:rsid w:val="00234745"/>
    <w:rsid w:val="002407AF"/>
    <w:rsid w:val="00242A73"/>
    <w:rsid w:val="002503B8"/>
    <w:rsid w:val="00250EE7"/>
    <w:rsid w:val="002654C1"/>
    <w:rsid w:val="0027466B"/>
    <w:rsid w:val="002838A5"/>
    <w:rsid w:val="00285BB4"/>
    <w:rsid w:val="00294E1A"/>
    <w:rsid w:val="002A47C9"/>
    <w:rsid w:val="002C09E3"/>
    <w:rsid w:val="002C12F8"/>
    <w:rsid w:val="002C391D"/>
    <w:rsid w:val="002D7EB2"/>
    <w:rsid w:val="002E5C90"/>
    <w:rsid w:val="00300507"/>
    <w:rsid w:val="003147E4"/>
    <w:rsid w:val="00314FD5"/>
    <w:rsid w:val="00336423"/>
    <w:rsid w:val="00343808"/>
    <w:rsid w:val="00344B58"/>
    <w:rsid w:val="0034539A"/>
    <w:rsid w:val="003454B4"/>
    <w:rsid w:val="00345CB4"/>
    <w:rsid w:val="00352B84"/>
    <w:rsid w:val="003549A1"/>
    <w:rsid w:val="00375D42"/>
    <w:rsid w:val="00377AB8"/>
    <w:rsid w:val="0038139F"/>
    <w:rsid w:val="003B35F7"/>
    <w:rsid w:val="003C21D4"/>
    <w:rsid w:val="003D069C"/>
    <w:rsid w:val="003D7646"/>
    <w:rsid w:val="003E3A6A"/>
    <w:rsid w:val="003E5DEF"/>
    <w:rsid w:val="003F113A"/>
    <w:rsid w:val="003F3E63"/>
    <w:rsid w:val="00407480"/>
    <w:rsid w:val="00414643"/>
    <w:rsid w:val="00415022"/>
    <w:rsid w:val="00420AE7"/>
    <w:rsid w:val="0042257F"/>
    <w:rsid w:val="00432215"/>
    <w:rsid w:val="004330FA"/>
    <w:rsid w:val="004351D2"/>
    <w:rsid w:val="00435296"/>
    <w:rsid w:val="00437FBE"/>
    <w:rsid w:val="004421E5"/>
    <w:rsid w:val="004474A1"/>
    <w:rsid w:val="00452284"/>
    <w:rsid w:val="00455188"/>
    <w:rsid w:val="00457C8E"/>
    <w:rsid w:val="00463F01"/>
    <w:rsid w:val="00477E67"/>
    <w:rsid w:val="00484212"/>
    <w:rsid w:val="004856CA"/>
    <w:rsid w:val="0048603B"/>
    <w:rsid w:val="00487E67"/>
    <w:rsid w:val="0049102F"/>
    <w:rsid w:val="0049477B"/>
    <w:rsid w:val="0049705E"/>
    <w:rsid w:val="004A2576"/>
    <w:rsid w:val="004A34A0"/>
    <w:rsid w:val="004B52AF"/>
    <w:rsid w:val="004B5640"/>
    <w:rsid w:val="004C558C"/>
    <w:rsid w:val="004D375A"/>
    <w:rsid w:val="004D3819"/>
    <w:rsid w:val="004D3F80"/>
    <w:rsid w:val="004E1D2C"/>
    <w:rsid w:val="004E7B29"/>
    <w:rsid w:val="004E7BAD"/>
    <w:rsid w:val="005008A8"/>
    <w:rsid w:val="00513969"/>
    <w:rsid w:val="00526B7B"/>
    <w:rsid w:val="005308CE"/>
    <w:rsid w:val="0053695B"/>
    <w:rsid w:val="005611EC"/>
    <w:rsid w:val="00570D65"/>
    <w:rsid w:val="0057439C"/>
    <w:rsid w:val="005815B1"/>
    <w:rsid w:val="005850E1"/>
    <w:rsid w:val="00585A1E"/>
    <w:rsid w:val="0059614F"/>
    <w:rsid w:val="005B0127"/>
    <w:rsid w:val="005B7A35"/>
    <w:rsid w:val="005C4B73"/>
    <w:rsid w:val="005C4D87"/>
    <w:rsid w:val="005D5EF0"/>
    <w:rsid w:val="005E1804"/>
    <w:rsid w:val="005E1D2B"/>
    <w:rsid w:val="005E7074"/>
    <w:rsid w:val="005F2BAF"/>
    <w:rsid w:val="005F3A5A"/>
    <w:rsid w:val="005F63D9"/>
    <w:rsid w:val="00600D93"/>
    <w:rsid w:val="00605989"/>
    <w:rsid w:val="00621E69"/>
    <w:rsid w:val="00623E45"/>
    <w:rsid w:val="00630575"/>
    <w:rsid w:val="00630B2C"/>
    <w:rsid w:val="0063300C"/>
    <w:rsid w:val="00643307"/>
    <w:rsid w:val="00654469"/>
    <w:rsid w:val="00655736"/>
    <w:rsid w:val="00662576"/>
    <w:rsid w:val="00663B58"/>
    <w:rsid w:val="00663B8D"/>
    <w:rsid w:val="0066583E"/>
    <w:rsid w:val="00682397"/>
    <w:rsid w:val="00696C8D"/>
    <w:rsid w:val="006A2AC2"/>
    <w:rsid w:val="006A3617"/>
    <w:rsid w:val="006A555A"/>
    <w:rsid w:val="006B3F2B"/>
    <w:rsid w:val="006C6360"/>
    <w:rsid w:val="006E1F20"/>
    <w:rsid w:val="006E46E4"/>
    <w:rsid w:val="006F1072"/>
    <w:rsid w:val="00700FE0"/>
    <w:rsid w:val="00712DB9"/>
    <w:rsid w:val="00714F60"/>
    <w:rsid w:val="00717DA5"/>
    <w:rsid w:val="00721717"/>
    <w:rsid w:val="00723F98"/>
    <w:rsid w:val="007277D0"/>
    <w:rsid w:val="0073153B"/>
    <w:rsid w:val="00737DC6"/>
    <w:rsid w:val="00743F11"/>
    <w:rsid w:val="00744484"/>
    <w:rsid w:val="0074690E"/>
    <w:rsid w:val="00747566"/>
    <w:rsid w:val="007514B4"/>
    <w:rsid w:val="00755ED5"/>
    <w:rsid w:val="00757651"/>
    <w:rsid w:val="0076394D"/>
    <w:rsid w:val="007703EE"/>
    <w:rsid w:val="00773188"/>
    <w:rsid w:val="0077578F"/>
    <w:rsid w:val="007773D7"/>
    <w:rsid w:val="00780124"/>
    <w:rsid w:val="00781B0F"/>
    <w:rsid w:val="00783782"/>
    <w:rsid w:val="00784B8C"/>
    <w:rsid w:val="007879E1"/>
    <w:rsid w:val="007A1B55"/>
    <w:rsid w:val="007A3A2C"/>
    <w:rsid w:val="007A537D"/>
    <w:rsid w:val="007A723B"/>
    <w:rsid w:val="007B07E1"/>
    <w:rsid w:val="007C1A8B"/>
    <w:rsid w:val="007C56E5"/>
    <w:rsid w:val="007D15A9"/>
    <w:rsid w:val="007D7CAE"/>
    <w:rsid w:val="007E0423"/>
    <w:rsid w:val="007E36FE"/>
    <w:rsid w:val="00812CD2"/>
    <w:rsid w:val="008153C7"/>
    <w:rsid w:val="00821554"/>
    <w:rsid w:val="00823A11"/>
    <w:rsid w:val="0082474D"/>
    <w:rsid w:val="0083613B"/>
    <w:rsid w:val="0083621B"/>
    <w:rsid w:val="008422C6"/>
    <w:rsid w:val="0085405E"/>
    <w:rsid w:val="0085414A"/>
    <w:rsid w:val="0086269D"/>
    <w:rsid w:val="008635D9"/>
    <w:rsid w:val="0086543A"/>
    <w:rsid w:val="008724E5"/>
    <w:rsid w:val="00884A9D"/>
    <w:rsid w:val="0088512B"/>
    <w:rsid w:val="008A2B2D"/>
    <w:rsid w:val="008A4E1E"/>
    <w:rsid w:val="008A6E3F"/>
    <w:rsid w:val="008A7E50"/>
    <w:rsid w:val="008C296C"/>
    <w:rsid w:val="008D4305"/>
    <w:rsid w:val="008E1A85"/>
    <w:rsid w:val="00910C22"/>
    <w:rsid w:val="0091370F"/>
    <w:rsid w:val="009163A7"/>
    <w:rsid w:val="00922F08"/>
    <w:rsid w:val="00927367"/>
    <w:rsid w:val="009278EF"/>
    <w:rsid w:val="00946D0B"/>
    <w:rsid w:val="00954056"/>
    <w:rsid w:val="00955877"/>
    <w:rsid w:val="009631BB"/>
    <w:rsid w:val="00964A33"/>
    <w:rsid w:val="00966FDE"/>
    <w:rsid w:val="0097679D"/>
    <w:rsid w:val="00980DE0"/>
    <w:rsid w:val="009850F9"/>
    <w:rsid w:val="009A18CD"/>
    <w:rsid w:val="009C0A25"/>
    <w:rsid w:val="009C13B9"/>
    <w:rsid w:val="009D5428"/>
    <w:rsid w:val="009E74B7"/>
    <w:rsid w:val="009F6EF4"/>
    <w:rsid w:val="00A00A59"/>
    <w:rsid w:val="00A03C9E"/>
    <w:rsid w:val="00A067ED"/>
    <w:rsid w:val="00A11A53"/>
    <w:rsid w:val="00A12558"/>
    <w:rsid w:val="00A13903"/>
    <w:rsid w:val="00A31216"/>
    <w:rsid w:val="00A34B81"/>
    <w:rsid w:val="00A34ED5"/>
    <w:rsid w:val="00A402F8"/>
    <w:rsid w:val="00A42005"/>
    <w:rsid w:val="00A45DBF"/>
    <w:rsid w:val="00A608A5"/>
    <w:rsid w:val="00A755A2"/>
    <w:rsid w:val="00A815D1"/>
    <w:rsid w:val="00AA6660"/>
    <w:rsid w:val="00AB2C36"/>
    <w:rsid w:val="00AB2C65"/>
    <w:rsid w:val="00AB6DDE"/>
    <w:rsid w:val="00AB70B6"/>
    <w:rsid w:val="00AC1816"/>
    <w:rsid w:val="00AC710B"/>
    <w:rsid w:val="00AD1A86"/>
    <w:rsid w:val="00AD4175"/>
    <w:rsid w:val="00AE103E"/>
    <w:rsid w:val="00AF0A07"/>
    <w:rsid w:val="00AF21DD"/>
    <w:rsid w:val="00AF4AEC"/>
    <w:rsid w:val="00AF625E"/>
    <w:rsid w:val="00B051A9"/>
    <w:rsid w:val="00B076F7"/>
    <w:rsid w:val="00B10F19"/>
    <w:rsid w:val="00B14AAC"/>
    <w:rsid w:val="00B47825"/>
    <w:rsid w:val="00B538D8"/>
    <w:rsid w:val="00B64FAF"/>
    <w:rsid w:val="00B66007"/>
    <w:rsid w:val="00B94F9D"/>
    <w:rsid w:val="00BB04AF"/>
    <w:rsid w:val="00BD1C92"/>
    <w:rsid w:val="00BD35B9"/>
    <w:rsid w:val="00BD52C9"/>
    <w:rsid w:val="00BD6BB0"/>
    <w:rsid w:val="00BE6354"/>
    <w:rsid w:val="00C07493"/>
    <w:rsid w:val="00C138D1"/>
    <w:rsid w:val="00C23A97"/>
    <w:rsid w:val="00C27476"/>
    <w:rsid w:val="00C32715"/>
    <w:rsid w:val="00C43FC4"/>
    <w:rsid w:val="00C52AB6"/>
    <w:rsid w:val="00C6265D"/>
    <w:rsid w:val="00C64855"/>
    <w:rsid w:val="00C70EA7"/>
    <w:rsid w:val="00C70EF4"/>
    <w:rsid w:val="00C7516E"/>
    <w:rsid w:val="00C75770"/>
    <w:rsid w:val="00C9242A"/>
    <w:rsid w:val="00CA336B"/>
    <w:rsid w:val="00CA4BFD"/>
    <w:rsid w:val="00CA56BB"/>
    <w:rsid w:val="00CB0542"/>
    <w:rsid w:val="00CB663C"/>
    <w:rsid w:val="00CC1A29"/>
    <w:rsid w:val="00CD0C0B"/>
    <w:rsid w:val="00CF3ACF"/>
    <w:rsid w:val="00CF3EAB"/>
    <w:rsid w:val="00D00B2B"/>
    <w:rsid w:val="00D14A41"/>
    <w:rsid w:val="00D21B1E"/>
    <w:rsid w:val="00D241FE"/>
    <w:rsid w:val="00D24877"/>
    <w:rsid w:val="00D37333"/>
    <w:rsid w:val="00D45E1C"/>
    <w:rsid w:val="00D46017"/>
    <w:rsid w:val="00D46B3E"/>
    <w:rsid w:val="00D52064"/>
    <w:rsid w:val="00D57961"/>
    <w:rsid w:val="00D64AA6"/>
    <w:rsid w:val="00D70808"/>
    <w:rsid w:val="00D8250F"/>
    <w:rsid w:val="00D82531"/>
    <w:rsid w:val="00D940E5"/>
    <w:rsid w:val="00D95C4C"/>
    <w:rsid w:val="00DA1D7D"/>
    <w:rsid w:val="00DA36ED"/>
    <w:rsid w:val="00DB1C60"/>
    <w:rsid w:val="00DC3974"/>
    <w:rsid w:val="00DC6686"/>
    <w:rsid w:val="00DE34F1"/>
    <w:rsid w:val="00DE6160"/>
    <w:rsid w:val="00DF240A"/>
    <w:rsid w:val="00DF4942"/>
    <w:rsid w:val="00DF5D56"/>
    <w:rsid w:val="00E12781"/>
    <w:rsid w:val="00E13F27"/>
    <w:rsid w:val="00E244E1"/>
    <w:rsid w:val="00E26C7A"/>
    <w:rsid w:val="00E3023C"/>
    <w:rsid w:val="00E30A73"/>
    <w:rsid w:val="00E3728B"/>
    <w:rsid w:val="00E627B1"/>
    <w:rsid w:val="00E70169"/>
    <w:rsid w:val="00E75CC2"/>
    <w:rsid w:val="00E86BC6"/>
    <w:rsid w:val="00E9376C"/>
    <w:rsid w:val="00E93BD9"/>
    <w:rsid w:val="00EA335E"/>
    <w:rsid w:val="00EA528C"/>
    <w:rsid w:val="00EA5715"/>
    <w:rsid w:val="00EA580C"/>
    <w:rsid w:val="00EA68A3"/>
    <w:rsid w:val="00EB3392"/>
    <w:rsid w:val="00EB6577"/>
    <w:rsid w:val="00EC6F8D"/>
    <w:rsid w:val="00EE0541"/>
    <w:rsid w:val="00EE0E30"/>
    <w:rsid w:val="00EE487D"/>
    <w:rsid w:val="00EE49F4"/>
    <w:rsid w:val="00EF34E2"/>
    <w:rsid w:val="00EF3A93"/>
    <w:rsid w:val="00F1449C"/>
    <w:rsid w:val="00F22A78"/>
    <w:rsid w:val="00F25657"/>
    <w:rsid w:val="00F30DC6"/>
    <w:rsid w:val="00F32C23"/>
    <w:rsid w:val="00F34B0F"/>
    <w:rsid w:val="00F35C2F"/>
    <w:rsid w:val="00F421A6"/>
    <w:rsid w:val="00F44DA9"/>
    <w:rsid w:val="00F53DE9"/>
    <w:rsid w:val="00F576CB"/>
    <w:rsid w:val="00F6398D"/>
    <w:rsid w:val="00F7035D"/>
    <w:rsid w:val="00F71A02"/>
    <w:rsid w:val="00F91755"/>
    <w:rsid w:val="00F97448"/>
    <w:rsid w:val="00FA0D63"/>
    <w:rsid w:val="00FA2337"/>
    <w:rsid w:val="00FA2D33"/>
    <w:rsid w:val="00FA3ABC"/>
    <w:rsid w:val="00FD1226"/>
    <w:rsid w:val="00FE6D33"/>
    <w:rsid w:val="00FF483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403FD91"/>
  <w15:docId w15:val="{540A4F7E-664D-4CB5-A849-4BA6FD0A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lang w:eastAsia="fr-FR"/>
    </w:rPr>
  </w:style>
  <w:style w:type="paragraph" w:styleId="Heading1">
    <w:name w:val="heading 1"/>
    <w:basedOn w:val="Normal"/>
    <w:next w:val="Normal"/>
    <w:link w:val="Heading1Char"/>
    <w:uiPriority w:val="9"/>
    <w:qFormat/>
    <w:rsid w:val="00585A1E"/>
    <w:pPr>
      <w:keepNext/>
      <w:keepLines/>
      <w:spacing w:before="240"/>
      <w:jc w:val="both"/>
      <w:outlineLvl w:val="0"/>
    </w:pPr>
    <w:rPr>
      <w:rFonts w:ascii="Cambria" w:hAnsi="Cambria"/>
      <w:color w:val="365F91"/>
      <w:sz w:val="32"/>
      <w:szCs w:val="32"/>
      <w:lang w:val="en-US" w:eastAsia="en-US"/>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585A1E"/>
    <w:pPr>
      <w:keepNext/>
      <w:keepLines/>
      <w:numPr>
        <w:numId w:val="4"/>
      </w:numPr>
      <w:tabs>
        <w:tab w:val="left" w:pos="567"/>
      </w:tabs>
      <w:snapToGrid w:val="0"/>
      <w:spacing w:before="240" w:after="12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lang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585A1E"/>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eastAsia="fr-FR"/>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00507"/>
    <w:pPr>
      <w:numPr>
        <w:numId w:val="3"/>
      </w:numPr>
      <w:autoSpaceDE w:val="0"/>
      <w:autoSpaceDN w:val="0"/>
      <w:adjustRightInd w:val="0"/>
      <w:spacing w:after="120"/>
      <w:jc w:val="both"/>
    </w:pPr>
    <w:rPr>
      <w:rFonts w:ascii="Arial" w:eastAsia="SimSun" w:hAnsi="Arial" w:cs="Arial"/>
      <w:sz w:val="22"/>
      <w:szCs w:val="22"/>
      <w:lang w:val="en-GB"/>
    </w:rPr>
  </w:style>
  <w:style w:type="character" w:styleId="Hyperlink">
    <w:name w:val="Hyperlink"/>
    <w:uiPriority w:val="99"/>
    <w:unhideWhenUsed/>
    <w:rsid w:val="00300507"/>
    <w:rPr>
      <w:color w:val="0000FF"/>
      <w:u w:val="single"/>
    </w:rPr>
  </w:style>
  <w:style w:type="paragraph" w:styleId="FootnoteText">
    <w:name w:val="footnote text"/>
    <w:basedOn w:val="Normal"/>
    <w:link w:val="FootnoteTextChar"/>
    <w:uiPriority w:val="99"/>
    <w:unhideWhenUsed/>
    <w:rsid w:val="00300507"/>
    <w:rPr>
      <w:sz w:val="20"/>
      <w:szCs w:val="20"/>
    </w:rPr>
  </w:style>
  <w:style w:type="character" w:customStyle="1" w:styleId="FootnoteTextChar">
    <w:name w:val="Footnote Text Char"/>
    <w:link w:val="FootnoteText"/>
    <w:uiPriority w:val="99"/>
    <w:rsid w:val="00300507"/>
    <w:rPr>
      <w:rFonts w:ascii="Times New Roman" w:eastAsia="Times New Roman" w:hAnsi="Times New Roman"/>
    </w:rPr>
  </w:style>
  <w:style w:type="character" w:styleId="FootnoteReference">
    <w:name w:val="footnote reference"/>
    <w:uiPriority w:val="99"/>
    <w:semiHidden/>
    <w:unhideWhenUsed/>
    <w:rsid w:val="00300507"/>
    <w:rPr>
      <w:vertAlign w:val="superscript"/>
    </w:rPr>
  </w:style>
  <w:style w:type="character" w:customStyle="1" w:styleId="hps">
    <w:name w:val="hps"/>
    <w:rsid w:val="00605989"/>
  </w:style>
  <w:style w:type="character" w:styleId="FollowedHyperlink">
    <w:name w:val="FollowedHyperlink"/>
    <w:uiPriority w:val="99"/>
    <w:semiHidden/>
    <w:unhideWhenUsed/>
    <w:rsid w:val="00BD6BB0"/>
    <w:rPr>
      <w:color w:val="800080"/>
      <w:u w:val="single"/>
    </w:rPr>
  </w:style>
  <w:style w:type="paragraph" w:styleId="ListParagraph">
    <w:name w:val="List Paragraph"/>
    <w:basedOn w:val="Normal"/>
    <w:uiPriority w:val="34"/>
    <w:qFormat/>
    <w:rsid w:val="00FA3ABC"/>
    <w:pPr>
      <w:numPr>
        <w:numId w:val="5"/>
      </w:numPr>
      <w:spacing w:before="120"/>
      <w:ind w:left="397" w:hanging="397"/>
      <w:jc w:val="both"/>
    </w:pPr>
    <w:rPr>
      <w:rFonts w:ascii="Calibri" w:hAnsi="Calibri"/>
      <w:lang w:val="en-GB" w:eastAsia="en-US"/>
    </w:rPr>
  </w:style>
  <w:style w:type="character" w:styleId="IntenseEmphasis">
    <w:name w:val="Intense Emphasis"/>
    <w:aliases w:val="Texte"/>
    <w:uiPriority w:val="21"/>
    <w:rsid w:val="00663B58"/>
    <w:rPr>
      <w:rFonts w:ascii="Arial" w:hAnsi="Arial" w:cs="Arial"/>
      <w:sz w:val="22"/>
    </w:rPr>
  </w:style>
  <w:style w:type="paragraph" w:customStyle="1" w:styleId="Introparagraph">
    <w:name w:val="Intro paragraph"/>
    <w:basedOn w:val="Marge"/>
    <w:link w:val="IntroparagraphChar"/>
    <w:qFormat/>
    <w:rsid w:val="00663B58"/>
    <w:pPr>
      <w:tabs>
        <w:tab w:val="left" w:pos="709"/>
      </w:tabs>
      <w:autoSpaceDE w:val="0"/>
      <w:autoSpaceDN w:val="0"/>
      <w:adjustRightInd w:val="0"/>
      <w:spacing w:before="240"/>
    </w:pPr>
  </w:style>
  <w:style w:type="character" w:customStyle="1" w:styleId="IntroparagraphChar">
    <w:name w:val="Intro paragraph Char"/>
    <w:link w:val="Introparagraph"/>
    <w:rsid w:val="00663B58"/>
    <w:rPr>
      <w:rFonts w:ascii="Arial" w:eastAsia="Times New Roman" w:hAnsi="Arial"/>
      <w:snapToGrid w:val="0"/>
      <w:sz w:val="22"/>
      <w:szCs w:val="24"/>
      <w:lang w:eastAsia="en-US"/>
    </w:rPr>
  </w:style>
  <w:style w:type="paragraph" w:customStyle="1" w:styleId="Footnote">
    <w:name w:val="Footnote"/>
    <w:basedOn w:val="EndnoteText"/>
    <w:link w:val="FootnoteChar"/>
    <w:qFormat/>
    <w:rsid w:val="00E12781"/>
    <w:pPr>
      <w:ind w:left="709" w:hanging="709"/>
    </w:pPr>
    <w:rPr>
      <w:rFonts w:ascii="Calibri" w:hAnsi="Calibri" w:cs="Arial"/>
    </w:rPr>
  </w:style>
  <w:style w:type="character" w:customStyle="1" w:styleId="FootnoteChar">
    <w:name w:val="Footnote Char"/>
    <w:aliases w:val="No Spacing Char,Title Ed Char"/>
    <w:link w:val="Footnote"/>
    <w:rsid w:val="00E12781"/>
    <w:rPr>
      <w:rFonts w:ascii="Calibri" w:eastAsia="Times New Roman" w:hAnsi="Calibri" w:cs="Arial"/>
    </w:rPr>
  </w:style>
  <w:style w:type="paragraph" w:styleId="EndnoteText">
    <w:name w:val="endnote text"/>
    <w:basedOn w:val="Normal"/>
    <w:link w:val="EndnoteTextChar"/>
    <w:uiPriority w:val="99"/>
    <w:semiHidden/>
    <w:unhideWhenUsed/>
    <w:rsid w:val="00E12781"/>
    <w:rPr>
      <w:sz w:val="20"/>
      <w:szCs w:val="20"/>
    </w:rPr>
  </w:style>
  <w:style w:type="character" w:customStyle="1" w:styleId="EndnoteTextChar">
    <w:name w:val="Endnote Text Char"/>
    <w:link w:val="EndnoteText"/>
    <w:uiPriority w:val="99"/>
    <w:semiHidden/>
    <w:rsid w:val="00E12781"/>
    <w:rPr>
      <w:rFonts w:ascii="Times New Roman" w:eastAsia="Times New Roman" w:hAnsi="Times New Roman"/>
    </w:rPr>
  </w:style>
  <w:style w:type="paragraph" w:customStyle="1" w:styleId="Default">
    <w:name w:val="Default"/>
    <w:rsid w:val="00CC1A29"/>
    <w:pPr>
      <w:autoSpaceDE w:val="0"/>
      <w:autoSpaceDN w:val="0"/>
      <w:adjustRightInd w:val="0"/>
    </w:pPr>
    <w:rPr>
      <w:rFonts w:ascii="Times New Roman" w:hAnsi="Times New Roman"/>
      <w:color w:val="000000"/>
      <w:sz w:val="24"/>
      <w:szCs w:val="24"/>
      <w:lang w:eastAsia="fr-FR"/>
    </w:rPr>
  </w:style>
  <w:style w:type="character" w:styleId="CommentReference">
    <w:name w:val="annotation reference"/>
    <w:uiPriority w:val="99"/>
    <w:semiHidden/>
    <w:unhideWhenUsed/>
    <w:rsid w:val="009278EF"/>
    <w:rPr>
      <w:sz w:val="16"/>
      <w:szCs w:val="16"/>
    </w:rPr>
  </w:style>
  <w:style w:type="paragraph" w:styleId="CommentText">
    <w:name w:val="annotation text"/>
    <w:basedOn w:val="Normal"/>
    <w:link w:val="CommentTextChar"/>
    <w:uiPriority w:val="99"/>
    <w:semiHidden/>
    <w:unhideWhenUsed/>
    <w:rsid w:val="009278EF"/>
    <w:rPr>
      <w:sz w:val="20"/>
      <w:szCs w:val="20"/>
    </w:rPr>
  </w:style>
  <w:style w:type="character" w:customStyle="1" w:styleId="CommentTextChar">
    <w:name w:val="Comment Text Char"/>
    <w:link w:val="CommentText"/>
    <w:uiPriority w:val="99"/>
    <w:semiHidden/>
    <w:rsid w:val="009278E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278EF"/>
    <w:rPr>
      <w:b/>
      <w:bCs/>
    </w:rPr>
  </w:style>
  <w:style w:type="character" w:customStyle="1" w:styleId="CommentSubjectChar">
    <w:name w:val="Comment Subject Char"/>
    <w:link w:val="CommentSubject"/>
    <w:uiPriority w:val="99"/>
    <w:semiHidden/>
    <w:rsid w:val="009278EF"/>
    <w:rPr>
      <w:rFonts w:ascii="Times New Roman" w:eastAsia="Times New Roman" w:hAnsi="Times New Roman"/>
      <w:b/>
      <w:bCs/>
    </w:rPr>
  </w:style>
  <w:style w:type="paragraph" w:styleId="Caption">
    <w:name w:val="caption"/>
    <w:basedOn w:val="Normal"/>
    <w:next w:val="Normal"/>
    <w:uiPriority w:val="35"/>
    <w:unhideWhenUsed/>
    <w:qFormat/>
    <w:rsid w:val="0038139F"/>
    <w:pPr>
      <w:spacing w:after="200"/>
    </w:pPr>
    <w:rPr>
      <w:i/>
      <w:iCs/>
      <w:color w:val="1F497D"/>
      <w:sz w:val="18"/>
      <w:szCs w:val="18"/>
    </w:rPr>
  </w:style>
  <w:style w:type="character" w:customStyle="1" w:styleId="Heading1Char">
    <w:name w:val="Heading 1 Char"/>
    <w:link w:val="Heading1"/>
    <w:uiPriority w:val="9"/>
    <w:rsid w:val="00585A1E"/>
    <w:rPr>
      <w:rFonts w:ascii="Cambria" w:eastAsia="Times New Roman" w:hAnsi="Cambria" w:cs="Times New Roman"/>
      <w:color w:val="365F91"/>
      <w:sz w:val="32"/>
      <w:szCs w:val="32"/>
      <w:lang w:val="en-US" w:eastAsia="en-US"/>
    </w:rPr>
  </w:style>
  <w:style w:type="paragraph" w:styleId="Revision">
    <w:name w:val="Revision"/>
    <w:hidden/>
    <w:uiPriority w:val="99"/>
    <w:semiHidden/>
    <w:rsid w:val="000001C4"/>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5438">
      <w:bodyDiv w:val="1"/>
      <w:marLeft w:val="0"/>
      <w:marRight w:val="0"/>
      <w:marTop w:val="0"/>
      <w:marBottom w:val="0"/>
      <w:divBdr>
        <w:top w:val="none" w:sz="0" w:space="0" w:color="auto"/>
        <w:left w:val="none" w:sz="0" w:space="0" w:color="auto"/>
        <w:bottom w:val="none" w:sz="0" w:space="0" w:color="auto"/>
        <w:right w:val="none" w:sz="0" w:space="0" w:color="auto"/>
      </w:divBdr>
      <w:divsChild>
        <w:div w:id="941180653">
          <w:marLeft w:val="547"/>
          <w:marRight w:val="0"/>
          <w:marTop w:val="0"/>
          <w:marBottom w:val="0"/>
          <w:divBdr>
            <w:top w:val="none" w:sz="0" w:space="0" w:color="auto"/>
            <w:left w:val="none" w:sz="0" w:space="0" w:color="auto"/>
            <w:bottom w:val="none" w:sz="0" w:space="0" w:color="auto"/>
            <w:right w:val="none" w:sz="0" w:space="0" w:color="auto"/>
          </w:divBdr>
        </w:div>
      </w:divsChild>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944849950">
      <w:bodyDiv w:val="1"/>
      <w:marLeft w:val="0"/>
      <w:marRight w:val="0"/>
      <w:marTop w:val="0"/>
      <w:marBottom w:val="0"/>
      <w:divBdr>
        <w:top w:val="none" w:sz="0" w:space="0" w:color="auto"/>
        <w:left w:val="none" w:sz="0" w:space="0" w:color="auto"/>
        <w:bottom w:val="none" w:sz="0" w:space="0" w:color="auto"/>
        <w:right w:val="none" w:sz="0" w:space="0" w:color="auto"/>
      </w:divBdr>
      <w:divsChild>
        <w:div w:id="908803595">
          <w:marLeft w:val="547"/>
          <w:marRight w:val="0"/>
          <w:marTop w:val="0"/>
          <w:marBottom w:val="0"/>
          <w:divBdr>
            <w:top w:val="none" w:sz="0" w:space="0" w:color="auto"/>
            <w:left w:val="none" w:sz="0" w:space="0" w:color="auto"/>
            <w:bottom w:val="none" w:sz="0" w:space="0" w:color="auto"/>
            <w:right w:val="none" w:sz="0" w:space="0" w:color="auto"/>
          </w:divBdr>
        </w:div>
      </w:divsChild>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86725087">
      <w:bodyDiv w:val="1"/>
      <w:marLeft w:val="0"/>
      <w:marRight w:val="0"/>
      <w:marTop w:val="0"/>
      <w:marBottom w:val="0"/>
      <w:divBdr>
        <w:top w:val="none" w:sz="0" w:space="0" w:color="auto"/>
        <w:left w:val="none" w:sz="0" w:space="0" w:color="auto"/>
        <w:bottom w:val="none" w:sz="0" w:space="0" w:color="auto"/>
        <w:right w:val="none" w:sz="0" w:space="0" w:color="auto"/>
      </w:divBdr>
      <w:divsChild>
        <w:div w:id="1033385442">
          <w:marLeft w:val="0"/>
          <w:marRight w:val="0"/>
          <w:marTop w:val="0"/>
          <w:marBottom w:val="0"/>
          <w:divBdr>
            <w:top w:val="none" w:sz="0" w:space="0" w:color="auto"/>
            <w:left w:val="none" w:sz="0" w:space="0" w:color="auto"/>
            <w:bottom w:val="none" w:sz="0" w:space="0" w:color="auto"/>
            <w:right w:val="none" w:sz="0" w:space="0" w:color="auto"/>
          </w:divBdr>
          <w:divsChild>
            <w:div w:id="2040424133">
              <w:marLeft w:val="0"/>
              <w:marRight w:val="0"/>
              <w:marTop w:val="0"/>
              <w:marBottom w:val="0"/>
              <w:divBdr>
                <w:top w:val="none" w:sz="0" w:space="0" w:color="auto"/>
                <w:left w:val="none" w:sz="0" w:space="0" w:color="auto"/>
                <w:bottom w:val="none" w:sz="0" w:space="0" w:color="auto"/>
                <w:right w:val="none" w:sz="0" w:space="0" w:color="auto"/>
              </w:divBdr>
              <w:divsChild>
                <w:div w:id="8460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4917">
      <w:bodyDiv w:val="1"/>
      <w:marLeft w:val="0"/>
      <w:marRight w:val="0"/>
      <w:marTop w:val="0"/>
      <w:marBottom w:val="0"/>
      <w:divBdr>
        <w:top w:val="none" w:sz="0" w:space="0" w:color="auto"/>
        <w:left w:val="none" w:sz="0" w:space="0" w:color="auto"/>
        <w:bottom w:val="none" w:sz="0" w:space="0" w:color="auto"/>
        <w:right w:val="none" w:sz="0" w:space="0" w:color="auto"/>
      </w:divBdr>
      <w:divsChild>
        <w:div w:id="1112670637">
          <w:marLeft w:val="547"/>
          <w:marRight w:val="0"/>
          <w:marTop w:val="0"/>
          <w:marBottom w:val="0"/>
          <w:divBdr>
            <w:top w:val="none" w:sz="0" w:space="0" w:color="auto"/>
            <w:left w:val="none" w:sz="0" w:space="0" w:color="auto"/>
            <w:bottom w:val="none" w:sz="0" w:space="0" w:color="auto"/>
            <w:right w:val="none" w:sz="0" w:space="0" w:color="auto"/>
          </w:divBdr>
        </w:div>
      </w:divsChild>
    </w:div>
    <w:div w:id="1260717041">
      <w:bodyDiv w:val="1"/>
      <w:marLeft w:val="0"/>
      <w:marRight w:val="0"/>
      <w:marTop w:val="0"/>
      <w:marBottom w:val="0"/>
      <w:divBdr>
        <w:top w:val="none" w:sz="0" w:space="0" w:color="auto"/>
        <w:left w:val="none" w:sz="0" w:space="0" w:color="auto"/>
        <w:bottom w:val="none" w:sz="0" w:space="0" w:color="auto"/>
        <w:right w:val="none" w:sz="0" w:space="0" w:color="auto"/>
      </w:divBdr>
      <w:divsChild>
        <w:div w:id="753628330">
          <w:marLeft w:val="547"/>
          <w:marRight w:val="0"/>
          <w:marTop w:val="0"/>
          <w:marBottom w:val="0"/>
          <w:divBdr>
            <w:top w:val="none" w:sz="0" w:space="0" w:color="auto"/>
            <w:left w:val="none" w:sz="0" w:space="0" w:color="auto"/>
            <w:bottom w:val="none" w:sz="0" w:space="0" w:color="auto"/>
            <w:right w:val="none" w:sz="0" w:space="0" w:color="auto"/>
          </w:divBdr>
        </w:div>
      </w:divsChild>
    </w:div>
    <w:div w:id="1329090308">
      <w:bodyDiv w:val="1"/>
      <w:marLeft w:val="0"/>
      <w:marRight w:val="0"/>
      <w:marTop w:val="0"/>
      <w:marBottom w:val="0"/>
      <w:divBdr>
        <w:top w:val="none" w:sz="0" w:space="0" w:color="auto"/>
        <w:left w:val="none" w:sz="0" w:space="0" w:color="auto"/>
        <w:bottom w:val="none" w:sz="0" w:space="0" w:color="auto"/>
        <w:right w:val="none" w:sz="0" w:space="0" w:color="auto"/>
      </w:divBdr>
      <w:divsChild>
        <w:div w:id="277182311">
          <w:marLeft w:val="547"/>
          <w:marRight w:val="0"/>
          <w:marTop w:val="0"/>
          <w:marBottom w:val="0"/>
          <w:divBdr>
            <w:top w:val="none" w:sz="0" w:space="0" w:color="auto"/>
            <w:left w:val="none" w:sz="0" w:space="0" w:color="auto"/>
            <w:bottom w:val="none" w:sz="0" w:space="0" w:color="auto"/>
            <w:right w:val="none" w:sz="0" w:space="0" w:color="auto"/>
          </w:divBdr>
        </w:div>
      </w:divsChild>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80230728">
      <w:bodyDiv w:val="1"/>
      <w:marLeft w:val="0"/>
      <w:marRight w:val="0"/>
      <w:marTop w:val="0"/>
      <w:marBottom w:val="0"/>
      <w:divBdr>
        <w:top w:val="none" w:sz="0" w:space="0" w:color="auto"/>
        <w:left w:val="none" w:sz="0" w:space="0" w:color="auto"/>
        <w:bottom w:val="none" w:sz="0" w:space="0" w:color="auto"/>
        <w:right w:val="none" w:sz="0" w:space="0" w:color="auto"/>
      </w:divBdr>
      <w:divsChild>
        <w:div w:id="794521604">
          <w:marLeft w:val="547"/>
          <w:marRight w:val="0"/>
          <w:marTop w:val="0"/>
          <w:marBottom w:val="0"/>
          <w:divBdr>
            <w:top w:val="none" w:sz="0" w:space="0" w:color="auto"/>
            <w:left w:val="none" w:sz="0" w:space="0" w:color="auto"/>
            <w:bottom w:val="none" w:sz="0" w:space="0" w:color="auto"/>
            <w:right w:val="none" w:sz="0" w:space="0" w:color="auto"/>
          </w:divBdr>
        </w:div>
      </w:divsChild>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92955715">
      <w:bodyDiv w:val="1"/>
      <w:marLeft w:val="0"/>
      <w:marRight w:val="0"/>
      <w:marTop w:val="0"/>
      <w:marBottom w:val="0"/>
      <w:divBdr>
        <w:top w:val="none" w:sz="0" w:space="0" w:color="auto"/>
        <w:left w:val="none" w:sz="0" w:space="0" w:color="auto"/>
        <w:bottom w:val="none" w:sz="0" w:space="0" w:color="auto"/>
        <w:right w:val="none" w:sz="0" w:space="0" w:color="auto"/>
      </w:divBdr>
      <w:divsChild>
        <w:div w:id="1767580834">
          <w:marLeft w:val="547"/>
          <w:marRight w:val="0"/>
          <w:marTop w:val="0"/>
          <w:marBottom w:val="0"/>
          <w:divBdr>
            <w:top w:val="none" w:sz="0" w:space="0" w:color="auto"/>
            <w:left w:val="none" w:sz="0" w:space="0" w:color="auto"/>
            <w:bottom w:val="none" w:sz="0" w:space="0" w:color="auto"/>
            <w:right w:val="none" w:sz="0" w:space="0" w:color="auto"/>
          </w:divBdr>
        </w:div>
      </w:divsChild>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82298985">
      <w:bodyDiv w:val="1"/>
      <w:marLeft w:val="0"/>
      <w:marRight w:val="0"/>
      <w:marTop w:val="0"/>
      <w:marBottom w:val="0"/>
      <w:divBdr>
        <w:top w:val="none" w:sz="0" w:space="0" w:color="auto"/>
        <w:left w:val="none" w:sz="0" w:space="0" w:color="auto"/>
        <w:bottom w:val="none" w:sz="0" w:space="0" w:color="auto"/>
        <w:right w:val="none" w:sz="0" w:space="0" w:color="auto"/>
      </w:divBdr>
      <w:divsChild>
        <w:div w:id="1434321676">
          <w:marLeft w:val="547"/>
          <w:marRight w:val="0"/>
          <w:marTop w:val="0"/>
          <w:marBottom w:val="0"/>
          <w:divBdr>
            <w:top w:val="none" w:sz="0" w:space="0" w:color="auto"/>
            <w:left w:val="none" w:sz="0" w:space="0" w:color="auto"/>
            <w:bottom w:val="none" w:sz="0" w:space="0" w:color="auto"/>
            <w:right w:val="none" w:sz="0" w:space="0" w:color="auto"/>
          </w:divBdr>
        </w:div>
      </w:divsChild>
    </w:div>
    <w:div w:id="2095080633">
      <w:bodyDiv w:val="1"/>
      <w:marLeft w:val="0"/>
      <w:marRight w:val="0"/>
      <w:marTop w:val="0"/>
      <w:marBottom w:val="0"/>
      <w:divBdr>
        <w:top w:val="none" w:sz="0" w:space="0" w:color="auto"/>
        <w:left w:val="none" w:sz="0" w:space="0" w:color="auto"/>
        <w:bottom w:val="none" w:sz="0" w:space="0" w:color="auto"/>
        <w:right w:val="none" w:sz="0" w:space="0" w:color="auto"/>
      </w:divBdr>
      <w:divsChild>
        <w:div w:id="1641036464">
          <w:marLeft w:val="547"/>
          <w:marRight w:val="0"/>
          <w:marTop w:val="0"/>
          <w:marBottom w:val="0"/>
          <w:divBdr>
            <w:top w:val="none" w:sz="0" w:space="0" w:color="auto"/>
            <w:left w:val="none" w:sz="0" w:space="0" w:color="auto"/>
            <w:bottom w:val="none" w:sz="0" w:space="0" w:color="auto"/>
            <w:right w:val="none" w:sz="0" w:space="0" w:color="auto"/>
          </w:divBdr>
        </w:div>
      </w:divsChild>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en/Decisions/8.COM/5.c.1" TargetMode="External"/><Relationship Id="rId13" Type="http://schemas.openxmlformats.org/officeDocument/2006/relationships/hyperlink" Target="http://www.unesco.org/culture/ich/en/events/expert-meeting-on-developing-an-overall-results-framework-for-the-2003-convention-00581" TargetMode="External"/><Relationship Id="rId18" Type="http://schemas.openxmlformats.org/officeDocument/2006/relationships/diagramColors" Target="diagrams/colors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nesco.org/culture/ich/en/Decisions/9.COM/13.e" TargetMode="External"/><Relationship Id="rId7" Type="http://schemas.openxmlformats.org/officeDocument/2006/relationships/endnotes" Target="endnotes.xml"/><Relationship Id="rId12" Type="http://schemas.openxmlformats.org/officeDocument/2006/relationships/hyperlink" Target="http://www.unesco.org/culture/ich/en/Decisions/10.COM/9" TargetMode="External"/><Relationship Id="rId17" Type="http://schemas.openxmlformats.org/officeDocument/2006/relationships/diagramQuickStyle" Target="diagrams/quickStyle1.xml"/><Relationship Id="rId25" Type="http://schemas.openxmlformats.org/officeDocument/2006/relationships/hyperlink" Target="http://www.unesco.org/culture/ich/doc/src/ITH-16-11.COM_1.BUR-Decisions-EN.docx"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www.unesco.org/culture/ich/en/Decisions/10.COM/6.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culture/ich/en/Decisions/9.COM/13.e" TargetMode="External"/><Relationship Id="rId24" Type="http://schemas.openxmlformats.org/officeDocument/2006/relationships/hyperlink" Target="http://www.unesco.org/culture/ich/fr/decisions/10.COM/9?dec=decisions&amp;ref_decision=10.COM"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www.unesco.org/culture/ich/en/Decisions/9.COM/13.e" TargetMode="External"/><Relationship Id="rId28" Type="http://schemas.openxmlformats.org/officeDocument/2006/relationships/header" Target="header3.xml"/><Relationship Id="rId10" Type="http://schemas.openxmlformats.org/officeDocument/2006/relationships/hyperlink" Target="http://www.unesco.org/culture/ich/en/Decisions/8.COM/5.c.1"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www.unesco.org/culture/ich/en/d&#233;cisions/10.COM/9?dec=decisions&amp;ref_decision=10.COM" TargetMode="External"/><Relationship Id="rId14" Type="http://schemas.openxmlformats.org/officeDocument/2006/relationships/image" Target="media/image1.png"/><Relationship Id="rId22" Type="http://schemas.openxmlformats.org/officeDocument/2006/relationships/hyperlink" Target="http://www.unesco.org/culture/ich/en/Decisions/8.COM/5.c.1"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neval.org/document/detail/1484" TargetMode="External"/><Relationship Id="rId13" Type="http://schemas.openxmlformats.org/officeDocument/2006/relationships/hyperlink" Target="http://www.unesco.org/culture/ich/doc/src/2003_Convention-Ethical_principles-ES.pdf" TargetMode="External"/><Relationship Id="rId18" Type="http://schemas.openxmlformats.org/officeDocument/2006/relationships/hyperlink" Target="http://www.unesco.org/culture/ich/doc/src/ICH-Operational_Directives-6.GA-PDF-FR.pdf" TargetMode="External"/><Relationship Id="rId26" Type="http://schemas.openxmlformats.org/officeDocument/2006/relationships/hyperlink" Target="http://www.oecd-ilibrary.org/social-issues-migration-health/society-at-a-glance-asia-pacific-2011/social-cohesion-indicators_9789264106154-11-en" TargetMode="External"/><Relationship Id="rId3" Type="http://schemas.openxmlformats.org/officeDocument/2006/relationships/hyperlink" Target="http://unesdoc.unesco.org/images/0022/002230/223095s.pdf" TargetMode="External"/><Relationship Id="rId21" Type="http://schemas.openxmlformats.org/officeDocument/2006/relationships/hyperlink" Target="http://www.unesco.org/culture/ich/doc/src/ICH-Operational_Directives-6.GA-AR.docx" TargetMode="External"/><Relationship Id="rId7" Type="http://schemas.openxmlformats.org/officeDocument/2006/relationships/hyperlink" Target="http://www.unesco.org/culture/ich/en/events/expert-meeting-on-developing-an-overall-results-framework-for-the-2003-convention-00581" TargetMode="External"/><Relationship Id="rId12" Type="http://schemas.openxmlformats.org/officeDocument/2006/relationships/hyperlink" Target="http://www.unesco.org/culture/ich/doc/src/2003_Convention-Ethical_principles-FR.docx" TargetMode="External"/><Relationship Id="rId17" Type="http://schemas.openxmlformats.org/officeDocument/2006/relationships/hyperlink" Target="http://www.unesco.org/culture/ich/doc/src/ICH-Operational_Directives-6.GA-PDF-EN.pdf" TargetMode="External"/><Relationship Id="rId25" Type="http://schemas.openxmlformats.org/officeDocument/2006/relationships/hyperlink" Target="http://portal.unesco.org/culture/en/files/40795/12705619025HK_Creativity_Index.pdf/HK_Creativity+Index.pdf" TargetMode="External"/><Relationship Id="rId2" Type="http://schemas.openxmlformats.org/officeDocument/2006/relationships/hyperlink" Target="http://unesdoc.unesco.org/images/0022/002230/223095f.pdf" TargetMode="External"/><Relationship Id="rId16" Type="http://schemas.openxmlformats.org/officeDocument/2006/relationships/hyperlink" Target="http://www.unesco.org/culture/ich/doc/src/2003_Convention-Ethical_principles-ZH.pdf" TargetMode="External"/><Relationship Id="rId20" Type="http://schemas.openxmlformats.org/officeDocument/2006/relationships/hyperlink" Target="http://www.unesco.org/culture/ich/doc/src/ICH-Operational_Directives-6.GA-RU.doc" TargetMode="External"/><Relationship Id="rId29" Type="http://schemas.openxmlformats.org/officeDocument/2006/relationships/hyperlink" Target="http://www.un.org/esa/socdev/unpfii/documents/E_%20C_19_2009_CRP3_en.pdf" TargetMode="External"/><Relationship Id="rId1" Type="http://schemas.openxmlformats.org/officeDocument/2006/relationships/hyperlink" Target="http://unesdoc.unesco.org/images/0022/002230/223095e.pdf" TargetMode="External"/><Relationship Id="rId6" Type="http://schemas.openxmlformats.org/officeDocument/2006/relationships/hyperlink" Target="http://www.unesco.org/culture/ich/doc/src/ITH-16-EXP-3_Rev.2__EN_FR.docx" TargetMode="External"/><Relationship Id="rId11" Type="http://schemas.openxmlformats.org/officeDocument/2006/relationships/hyperlink" Target="http://www.unesco.org/culture/ich/doc/src/2003_Convention-Ethical_principles-EN.docx" TargetMode="External"/><Relationship Id="rId24" Type="http://schemas.openxmlformats.org/officeDocument/2006/relationships/hyperlink" Target="https://uwaterloo.ca/canadian-index-wellbeing/" TargetMode="External"/><Relationship Id="rId5" Type="http://schemas.openxmlformats.org/officeDocument/2006/relationships/hyperlink" Target="http://www.unesco.org/culture/ich/doc/src/ITH-16-EXP-3_Rev.2__EN_FR.docx" TargetMode="External"/><Relationship Id="rId15" Type="http://schemas.openxmlformats.org/officeDocument/2006/relationships/hyperlink" Target="http://www.unesco.org/culture/ich/doc/src/2003_Convention-Ethical_principles-AR.pdf" TargetMode="External"/><Relationship Id="rId23" Type="http://schemas.openxmlformats.org/officeDocument/2006/relationships/hyperlink" Target="http://en.unesco.org/creativity/cdis" TargetMode="External"/><Relationship Id="rId28" Type="http://schemas.openxmlformats.org/officeDocument/2006/relationships/hyperlink" Target="http://www.stats.govt.nz/browse_for_stats/people_and_communities/maori.aspx" TargetMode="External"/><Relationship Id="rId10" Type="http://schemas.openxmlformats.org/officeDocument/2006/relationships/hyperlink" Target="http://www.unesco.org/culture/ich/en/Decisions/10.COM/15.a" TargetMode="External"/><Relationship Id="rId19" Type="http://schemas.openxmlformats.org/officeDocument/2006/relationships/hyperlink" Target="http://www.unesco.org/culture/ich/doc/src/ICH-Operational_Directives-6.GA-ES.doc" TargetMode="External"/><Relationship Id="rId4" Type="http://schemas.openxmlformats.org/officeDocument/2006/relationships/hyperlink" Target="http://unesdoc.unesco.org/images/0022/002230/223095a.pdf" TargetMode="External"/><Relationship Id="rId9" Type="http://schemas.openxmlformats.org/officeDocument/2006/relationships/hyperlink" Target="https://undg.org/wp-content/uploads/2015/01/UNDG-RBM-Handbook-2012.pdf" TargetMode="External"/><Relationship Id="rId14" Type="http://schemas.openxmlformats.org/officeDocument/2006/relationships/hyperlink" Target="http://www.unesco.org/culture/ich/doc/src/2003_Convention-Ethical_principles-RU.pdf" TargetMode="External"/><Relationship Id="rId22" Type="http://schemas.openxmlformats.org/officeDocument/2006/relationships/hyperlink" Target="http://www.unesco.org/culture/ich/doc/src/ICH-Operational_Directives-6.GA-ZH.docx" TargetMode="External"/><Relationship Id="rId27" Type="http://schemas.openxmlformats.org/officeDocument/2006/relationships/hyperlink" Target="http://socialreport.msd.govt.nz/cultural-identity/local-content-programming-on-new-zealand-television.html" TargetMode="External"/><Relationship Id="rId30" Type="http://schemas.openxmlformats.org/officeDocument/2006/relationships/hyperlink" Target="https://www.cbd.int/kb/record/meetingDocument/99249?RecordType=meetingDocu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3584AA-EA25-B840-8973-222E5A3DD745}" type="doc">
      <dgm:prSet loTypeId="urn:microsoft.com/office/officeart/2005/8/layout/hProcess9" loCatId="" qsTypeId="urn:microsoft.com/office/officeart/2005/8/quickstyle/simple4" qsCatId="simple" csTypeId="urn:microsoft.com/office/officeart/2005/8/colors/accent1_2" csCatId="accent1" phldr="1"/>
      <dgm:spPr/>
    </dgm:pt>
    <dgm:pt modelId="{32987F67-5C0C-F748-B82B-8E7248061989}">
      <dgm:prSet phldrT="[Text]" custT="1"/>
      <dgm:spPr>
        <a:xfrm>
          <a:off x="1308" y="582930"/>
          <a:ext cx="787535" cy="7772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000" b="1" dirty="0">
              <a:solidFill>
                <a:sysClr val="window" lastClr="FFFFFF"/>
              </a:solidFill>
              <a:latin typeface="Arial" panose="020B0604020202020204" pitchFamily="34" charset="0"/>
              <a:ea typeface="+mn-ea"/>
              <a:cs typeface="Arial" panose="020B0604020202020204" pitchFamily="34" charset="0"/>
            </a:rPr>
            <a:t>Inputs</a:t>
          </a:r>
        </a:p>
      </dgm:t>
    </dgm:pt>
    <dgm:pt modelId="{B3514E56-EA3D-5A40-B508-4AEAB4FD0059}" type="parTrans" cxnId="{C0461C51-7D65-9144-9015-E37B80B5FCF6}">
      <dgm:prSet/>
      <dgm:spPr/>
      <dgm:t>
        <a:bodyPr/>
        <a:lstStyle/>
        <a:p>
          <a:pPr algn="ctr"/>
          <a:endParaRPr lang="en-US"/>
        </a:p>
      </dgm:t>
    </dgm:pt>
    <dgm:pt modelId="{57DD31B1-1954-9D44-81AB-787F9A988393}" type="sibTrans" cxnId="{C0461C51-7D65-9144-9015-E37B80B5FCF6}">
      <dgm:prSet/>
      <dgm:spPr/>
      <dgm:t>
        <a:bodyPr/>
        <a:lstStyle/>
        <a:p>
          <a:pPr algn="ctr"/>
          <a:endParaRPr lang="en-US"/>
        </a:p>
      </dgm:t>
    </dgm:pt>
    <dgm:pt modelId="{C6D3FFBB-0247-9C41-AF67-910B59D53167}">
      <dgm:prSet phldrT="[Text]" custT="1"/>
      <dgm:spPr>
        <a:xfrm>
          <a:off x="920100" y="582930"/>
          <a:ext cx="787535" cy="7772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000" b="1" dirty="0">
              <a:solidFill>
                <a:sysClr val="window" lastClr="FFFFFF"/>
              </a:solidFill>
              <a:latin typeface="Arial" panose="020B0604020202020204" pitchFamily="34" charset="0"/>
              <a:ea typeface="+mn-ea"/>
              <a:cs typeface="Arial" panose="020B0604020202020204" pitchFamily="34" charset="0"/>
            </a:rPr>
            <a:t>Activities</a:t>
          </a:r>
        </a:p>
      </dgm:t>
    </dgm:pt>
    <dgm:pt modelId="{357F6D5E-BE83-9C48-AA7A-84097544E859}" type="parTrans" cxnId="{7C7204A5-0602-FA48-BB6D-52AD60D9E308}">
      <dgm:prSet/>
      <dgm:spPr/>
      <dgm:t>
        <a:bodyPr/>
        <a:lstStyle/>
        <a:p>
          <a:pPr algn="ctr"/>
          <a:endParaRPr lang="en-US"/>
        </a:p>
      </dgm:t>
    </dgm:pt>
    <dgm:pt modelId="{542F976C-5CC9-BE44-A8C3-FA7466A28FEF}" type="sibTrans" cxnId="{7C7204A5-0602-FA48-BB6D-52AD60D9E308}">
      <dgm:prSet/>
      <dgm:spPr/>
      <dgm:t>
        <a:bodyPr/>
        <a:lstStyle/>
        <a:p>
          <a:pPr algn="ctr"/>
          <a:endParaRPr lang="en-US"/>
        </a:p>
      </dgm:t>
    </dgm:pt>
    <dgm:pt modelId="{7AB66809-6A3A-5944-8337-3F2103AF6DA4}">
      <dgm:prSet phldrT="[Text]" custT="1"/>
      <dgm:spPr>
        <a:xfrm>
          <a:off x="1838892" y="582930"/>
          <a:ext cx="787535" cy="7772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000" b="1" dirty="0">
              <a:solidFill>
                <a:sysClr val="window" lastClr="FFFFFF"/>
              </a:solidFill>
              <a:latin typeface="Arial" panose="020B0604020202020204" pitchFamily="34" charset="0"/>
              <a:ea typeface="+mn-ea"/>
              <a:cs typeface="Arial" panose="020B0604020202020204" pitchFamily="34" charset="0"/>
            </a:rPr>
            <a:t>Outputs</a:t>
          </a:r>
        </a:p>
      </dgm:t>
    </dgm:pt>
    <dgm:pt modelId="{E90AF6FD-B0DC-0C41-B7A0-C6A8A862ACA5}" type="parTrans" cxnId="{21FCFCB2-7027-7147-A214-CE387DB223E6}">
      <dgm:prSet/>
      <dgm:spPr/>
      <dgm:t>
        <a:bodyPr/>
        <a:lstStyle/>
        <a:p>
          <a:pPr algn="ctr"/>
          <a:endParaRPr lang="en-US"/>
        </a:p>
      </dgm:t>
    </dgm:pt>
    <dgm:pt modelId="{ED149A4B-CE45-A243-A8B7-68293E176EBA}" type="sibTrans" cxnId="{21FCFCB2-7027-7147-A214-CE387DB223E6}">
      <dgm:prSet/>
      <dgm:spPr/>
      <dgm:t>
        <a:bodyPr/>
        <a:lstStyle/>
        <a:p>
          <a:pPr algn="ctr"/>
          <a:endParaRPr lang="en-US"/>
        </a:p>
      </dgm:t>
    </dgm:pt>
    <dgm:pt modelId="{E89EFC95-0A22-2B4A-B097-ED94E2A399D1}">
      <dgm:prSet phldrT="[Text]" custT="1"/>
      <dgm:spPr>
        <a:xfrm>
          <a:off x="2757683" y="582930"/>
          <a:ext cx="787535" cy="7772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000" b="1" dirty="0">
              <a:solidFill>
                <a:sysClr val="window" lastClr="FFFFFF"/>
              </a:solidFill>
              <a:latin typeface="Arial" panose="020B0604020202020204" pitchFamily="34" charset="0"/>
              <a:ea typeface="+mn-ea"/>
              <a:cs typeface="Arial" panose="020B0604020202020204" pitchFamily="34" charset="0"/>
            </a:rPr>
            <a:t>Outcomes</a:t>
          </a:r>
        </a:p>
      </dgm:t>
    </dgm:pt>
    <dgm:pt modelId="{1BFDA69A-C133-2443-9860-AD357C9DAEE6}" type="parTrans" cxnId="{B4CAB387-FBBF-AE46-8E9C-5A1AB56F1669}">
      <dgm:prSet/>
      <dgm:spPr/>
      <dgm:t>
        <a:bodyPr/>
        <a:lstStyle/>
        <a:p>
          <a:pPr algn="ctr"/>
          <a:endParaRPr lang="en-US"/>
        </a:p>
      </dgm:t>
    </dgm:pt>
    <dgm:pt modelId="{4B0146CE-028B-9849-8229-DB56D30A5ED4}" type="sibTrans" cxnId="{B4CAB387-FBBF-AE46-8E9C-5A1AB56F1669}">
      <dgm:prSet/>
      <dgm:spPr/>
      <dgm:t>
        <a:bodyPr/>
        <a:lstStyle/>
        <a:p>
          <a:pPr algn="ctr"/>
          <a:endParaRPr lang="en-US"/>
        </a:p>
      </dgm:t>
    </dgm:pt>
    <dgm:pt modelId="{AAC4EA18-7000-0045-A0C0-1B7C3B976627}">
      <dgm:prSet phldrT="[Text]" custT="1"/>
      <dgm:spPr>
        <a:xfrm>
          <a:off x="3676475" y="582930"/>
          <a:ext cx="787535" cy="7772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000" b="1" dirty="0">
              <a:solidFill>
                <a:sysClr val="window" lastClr="FFFFFF"/>
              </a:solidFill>
              <a:latin typeface="Arial" panose="020B0604020202020204" pitchFamily="34" charset="0"/>
              <a:ea typeface="+mn-ea"/>
              <a:cs typeface="Arial" panose="020B0604020202020204" pitchFamily="34" charset="0"/>
            </a:rPr>
            <a:t>Impacts</a:t>
          </a:r>
        </a:p>
      </dgm:t>
    </dgm:pt>
    <dgm:pt modelId="{536C15F1-D197-7E4F-8F18-268797165830}" type="parTrans" cxnId="{ED461FEE-BC05-D74B-8A5F-9E6974FAEE54}">
      <dgm:prSet/>
      <dgm:spPr/>
      <dgm:t>
        <a:bodyPr/>
        <a:lstStyle/>
        <a:p>
          <a:pPr algn="ctr"/>
          <a:endParaRPr lang="en-US"/>
        </a:p>
      </dgm:t>
    </dgm:pt>
    <dgm:pt modelId="{F43B74A3-9E56-3841-9C31-E3CF393EDE6D}" type="sibTrans" cxnId="{ED461FEE-BC05-D74B-8A5F-9E6974FAEE54}">
      <dgm:prSet/>
      <dgm:spPr/>
      <dgm:t>
        <a:bodyPr/>
        <a:lstStyle/>
        <a:p>
          <a:pPr algn="ctr"/>
          <a:endParaRPr lang="en-US"/>
        </a:p>
      </dgm:t>
    </dgm:pt>
    <dgm:pt modelId="{1CA551B2-7462-4348-B0FB-653A4D7598C3}" type="pres">
      <dgm:prSet presAssocID="{F83584AA-EA25-B840-8973-222E5A3DD745}" presName="CompostProcess" presStyleCnt="0">
        <dgm:presLayoutVars>
          <dgm:dir/>
          <dgm:resizeHandles val="exact"/>
        </dgm:presLayoutVars>
      </dgm:prSet>
      <dgm:spPr/>
    </dgm:pt>
    <dgm:pt modelId="{C5F43187-3B11-AA4A-9C80-A434248B9278}" type="pres">
      <dgm:prSet presAssocID="{F83584AA-EA25-B840-8973-222E5A3DD745}" presName="arrow" presStyleLbl="bgShp" presStyleIdx="0" presStyleCnt="1"/>
      <dgm:spPr>
        <a:xfrm>
          <a:off x="334898" y="0"/>
          <a:ext cx="3795522" cy="1943100"/>
        </a:xfrm>
        <a:prstGeom prst="rightArrow">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gm:spPr>
    </dgm:pt>
    <dgm:pt modelId="{B091D1CB-1CE5-C144-A213-7BD9D703E421}" type="pres">
      <dgm:prSet presAssocID="{F83584AA-EA25-B840-8973-222E5A3DD745}" presName="linearProcess" presStyleCnt="0"/>
      <dgm:spPr/>
    </dgm:pt>
    <dgm:pt modelId="{D43A7B87-C052-334C-89B0-A731E1C300D0}" type="pres">
      <dgm:prSet presAssocID="{32987F67-5C0C-F748-B82B-8E7248061989}" presName="textNode" presStyleLbl="node1" presStyleIdx="0" presStyleCnt="5">
        <dgm:presLayoutVars>
          <dgm:bulletEnabled val="1"/>
        </dgm:presLayoutVars>
      </dgm:prSet>
      <dgm:spPr/>
      <dgm:t>
        <a:bodyPr/>
        <a:lstStyle/>
        <a:p>
          <a:endParaRPr lang="fr-FR"/>
        </a:p>
      </dgm:t>
    </dgm:pt>
    <dgm:pt modelId="{7E371448-B639-FE4B-895D-4F034E4F0321}" type="pres">
      <dgm:prSet presAssocID="{57DD31B1-1954-9D44-81AB-787F9A988393}" presName="sibTrans" presStyleCnt="0"/>
      <dgm:spPr/>
    </dgm:pt>
    <dgm:pt modelId="{8114102F-D1C9-9B49-98D4-DC68F79C31E7}" type="pres">
      <dgm:prSet presAssocID="{C6D3FFBB-0247-9C41-AF67-910B59D53167}" presName="textNode" presStyleLbl="node1" presStyleIdx="1" presStyleCnt="5">
        <dgm:presLayoutVars>
          <dgm:bulletEnabled val="1"/>
        </dgm:presLayoutVars>
      </dgm:prSet>
      <dgm:spPr/>
      <dgm:t>
        <a:bodyPr/>
        <a:lstStyle/>
        <a:p>
          <a:endParaRPr lang="fr-FR"/>
        </a:p>
      </dgm:t>
    </dgm:pt>
    <dgm:pt modelId="{080A87A8-6650-DE4A-8B4F-E63F83ACCCE6}" type="pres">
      <dgm:prSet presAssocID="{542F976C-5CC9-BE44-A8C3-FA7466A28FEF}" presName="sibTrans" presStyleCnt="0"/>
      <dgm:spPr/>
    </dgm:pt>
    <dgm:pt modelId="{F8DCD799-358C-114B-A310-2FC9EC0F3EF7}" type="pres">
      <dgm:prSet presAssocID="{7AB66809-6A3A-5944-8337-3F2103AF6DA4}" presName="textNode" presStyleLbl="node1" presStyleIdx="2" presStyleCnt="5">
        <dgm:presLayoutVars>
          <dgm:bulletEnabled val="1"/>
        </dgm:presLayoutVars>
      </dgm:prSet>
      <dgm:spPr/>
      <dgm:t>
        <a:bodyPr/>
        <a:lstStyle/>
        <a:p>
          <a:endParaRPr lang="fr-FR"/>
        </a:p>
      </dgm:t>
    </dgm:pt>
    <dgm:pt modelId="{45E48250-502C-3B45-8F61-707EA29F62C7}" type="pres">
      <dgm:prSet presAssocID="{ED149A4B-CE45-A243-A8B7-68293E176EBA}" presName="sibTrans" presStyleCnt="0"/>
      <dgm:spPr/>
    </dgm:pt>
    <dgm:pt modelId="{2CE90C3E-2905-E347-8413-86F643554895}" type="pres">
      <dgm:prSet presAssocID="{E89EFC95-0A22-2B4A-B097-ED94E2A399D1}" presName="textNode" presStyleLbl="node1" presStyleIdx="3" presStyleCnt="5">
        <dgm:presLayoutVars>
          <dgm:bulletEnabled val="1"/>
        </dgm:presLayoutVars>
      </dgm:prSet>
      <dgm:spPr/>
      <dgm:t>
        <a:bodyPr/>
        <a:lstStyle/>
        <a:p>
          <a:endParaRPr lang="fr-FR"/>
        </a:p>
      </dgm:t>
    </dgm:pt>
    <dgm:pt modelId="{056D90A6-CEB7-554C-9152-103ACDE9BDFB}" type="pres">
      <dgm:prSet presAssocID="{4B0146CE-028B-9849-8229-DB56D30A5ED4}" presName="sibTrans" presStyleCnt="0"/>
      <dgm:spPr/>
    </dgm:pt>
    <dgm:pt modelId="{065B1BD7-B7E2-D047-98E2-14DA5E364A55}" type="pres">
      <dgm:prSet presAssocID="{AAC4EA18-7000-0045-A0C0-1B7C3B976627}" presName="textNode" presStyleLbl="node1" presStyleIdx="4" presStyleCnt="5">
        <dgm:presLayoutVars>
          <dgm:bulletEnabled val="1"/>
        </dgm:presLayoutVars>
      </dgm:prSet>
      <dgm:spPr/>
      <dgm:t>
        <a:bodyPr/>
        <a:lstStyle/>
        <a:p>
          <a:endParaRPr lang="fr-FR"/>
        </a:p>
      </dgm:t>
    </dgm:pt>
  </dgm:ptLst>
  <dgm:cxnLst>
    <dgm:cxn modelId="{C73A9B52-42B0-4564-A499-BA3F2A24E44B}" type="presOf" srcId="{32987F67-5C0C-F748-B82B-8E7248061989}" destId="{D43A7B87-C052-334C-89B0-A731E1C300D0}" srcOrd="0" destOrd="0" presId="urn:microsoft.com/office/officeart/2005/8/layout/hProcess9"/>
    <dgm:cxn modelId="{B4CAB387-FBBF-AE46-8E9C-5A1AB56F1669}" srcId="{F83584AA-EA25-B840-8973-222E5A3DD745}" destId="{E89EFC95-0A22-2B4A-B097-ED94E2A399D1}" srcOrd="3" destOrd="0" parTransId="{1BFDA69A-C133-2443-9860-AD357C9DAEE6}" sibTransId="{4B0146CE-028B-9849-8229-DB56D30A5ED4}"/>
    <dgm:cxn modelId="{16537428-1B37-4CF3-828A-FD2F03AAF310}" type="presOf" srcId="{7AB66809-6A3A-5944-8337-3F2103AF6DA4}" destId="{F8DCD799-358C-114B-A310-2FC9EC0F3EF7}" srcOrd="0" destOrd="0" presId="urn:microsoft.com/office/officeart/2005/8/layout/hProcess9"/>
    <dgm:cxn modelId="{7C7204A5-0602-FA48-BB6D-52AD60D9E308}" srcId="{F83584AA-EA25-B840-8973-222E5A3DD745}" destId="{C6D3FFBB-0247-9C41-AF67-910B59D53167}" srcOrd="1" destOrd="0" parTransId="{357F6D5E-BE83-9C48-AA7A-84097544E859}" sibTransId="{542F976C-5CC9-BE44-A8C3-FA7466A28FEF}"/>
    <dgm:cxn modelId="{C0461C51-7D65-9144-9015-E37B80B5FCF6}" srcId="{F83584AA-EA25-B840-8973-222E5A3DD745}" destId="{32987F67-5C0C-F748-B82B-8E7248061989}" srcOrd="0" destOrd="0" parTransId="{B3514E56-EA3D-5A40-B508-4AEAB4FD0059}" sibTransId="{57DD31B1-1954-9D44-81AB-787F9A988393}"/>
    <dgm:cxn modelId="{ED461FEE-BC05-D74B-8A5F-9E6974FAEE54}" srcId="{F83584AA-EA25-B840-8973-222E5A3DD745}" destId="{AAC4EA18-7000-0045-A0C0-1B7C3B976627}" srcOrd="4" destOrd="0" parTransId="{536C15F1-D197-7E4F-8F18-268797165830}" sibTransId="{F43B74A3-9E56-3841-9C31-E3CF393EDE6D}"/>
    <dgm:cxn modelId="{FB648965-CF0D-4B0F-9444-E7D57006F18E}" type="presOf" srcId="{C6D3FFBB-0247-9C41-AF67-910B59D53167}" destId="{8114102F-D1C9-9B49-98D4-DC68F79C31E7}" srcOrd="0" destOrd="0" presId="urn:microsoft.com/office/officeart/2005/8/layout/hProcess9"/>
    <dgm:cxn modelId="{21FCFCB2-7027-7147-A214-CE387DB223E6}" srcId="{F83584AA-EA25-B840-8973-222E5A3DD745}" destId="{7AB66809-6A3A-5944-8337-3F2103AF6DA4}" srcOrd="2" destOrd="0" parTransId="{E90AF6FD-B0DC-0C41-B7A0-C6A8A862ACA5}" sibTransId="{ED149A4B-CE45-A243-A8B7-68293E176EBA}"/>
    <dgm:cxn modelId="{AD75504E-4C90-4E16-B318-FC280C057B52}" type="presOf" srcId="{E89EFC95-0A22-2B4A-B097-ED94E2A399D1}" destId="{2CE90C3E-2905-E347-8413-86F643554895}" srcOrd="0" destOrd="0" presId="urn:microsoft.com/office/officeart/2005/8/layout/hProcess9"/>
    <dgm:cxn modelId="{EA355569-AB57-406C-97A4-AEF557C8E964}" type="presOf" srcId="{F83584AA-EA25-B840-8973-222E5A3DD745}" destId="{1CA551B2-7462-4348-B0FB-653A4D7598C3}" srcOrd="0" destOrd="0" presId="urn:microsoft.com/office/officeart/2005/8/layout/hProcess9"/>
    <dgm:cxn modelId="{306B9BB0-1591-47DB-81B8-15519E337EE5}" type="presOf" srcId="{AAC4EA18-7000-0045-A0C0-1B7C3B976627}" destId="{065B1BD7-B7E2-D047-98E2-14DA5E364A55}" srcOrd="0" destOrd="0" presId="urn:microsoft.com/office/officeart/2005/8/layout/hProcess9"/>
    <dgm:cxn modelId="{5E7140E7-529E-435E-AE24-79632CFE2B27}" type="presParOf" srcId="{1CA551B2-7462-4348-B0FB-653A4D7598C3}" destId="{C5F43187-3B11-AA4A-9C80-A434248B9278}" srcOrd="0" destOrd="0" presId="urn:microsoft.com/office/officeart/2005/8/layout/hProcess9"/>
    <dgm:cxn modelId="{33C32D61-02D0-4EAE-B63C-FAA09CC7C3CA}" type="presParOf" srcId="{1CA551B2-7462-4348-B0FB-653A4D7598C3}" destId="{B091D1CB-1CE5-C144-A213-7BD9D703E421}" srcOrd="1" destOrd="0" presId="urn:microsoft.com/office/officeart/2005/8/layout/hProcess9"/>
    <dgm:cxn modelId="{63D8F3F4-758C-4C54-94BF-F6BA876F08F0}" type="presParOf" srcId="{B091D1CB-1CE5-C144-A213-7BD9D703E421}" destId="{D43A7B87-C052-334C-89B0-A731E1C300D0}" srcOrd="0" destOrd="0" presId="urn:microsoft.com/office/officeart/2005/8/layout/hProcess9"/>
    <dgm:cxn modelId="{F5624396-216F-4211-8A75-C57E8D565365}" type="presParOf" srcId="{B091D1CB-1CE5-C144-A213-7BD9D703E421}" destId="{7E371448-B639-FE4B-895D-4F034E4F0321}" srcOrd="1" destOrd="0" presId="urn:microsoft.com/office/officeart/2005/8/layout/hProcess9"/>
    <dgm:cxn modelId="{FD72D8DE-5C5E-415A-B024-7561F7F84A6A}" type="presParOf" srcId="{B091D1CB-1CE5-C144-A213-7BD9D703E421}" destId="{8114102F-D1C9-9B49-98D4-DC68F79C31E7}" srcOrd="2" destOrd="0" presId="urn:microsoft.com/office/officeart/2005/8/layout/hProcess9"/>
    <dgm:cxn modelId="{F2B388BD-D5D6-4787-A4CC-74E4F25D5818}" type="presParOf" srcId="{B091D1CB-1CE5-C144-A213-7BD9D703E421}" destId="{080A87A8-6650-DE4A-8B4F-E63F83ACCCE6}" srcOrd="3" destOrd="0" presId="urn:microsoft.com/office/officeart/2005/8/layout/hProcess9"/>
    <dgm:cxn modelId="{7FCCC4BE-7FB9-4264-859F-92D9FCB3825E}" type="presParOf" srcId="{B091D1CB-1CE5-C144-A213-7BD9D703E421}" destId="{F8DCD799-358C-114B-A310-2FC9EC0F3EF7}" srcOrd="4" destOrd="0" presId="urn:microsoft.com/office/officeart/2005/8/layout/hProcess9"/>
    <dgm:cxn modelId="{2C5D381A-7539-4B33-8DED-C64DE3BDD04D}" type="presParOf" srcId="{B091D1CB-1CE5-C144-A213-7BD9D703E421}" destId="{45E48250-502C-3B45-8F61-707EA29F62C7}" srcOrd="5" destOrd="0" presId="urn:microsoft.com/office/officeart/2005/8/layout/hProcess9"/>
    <dgm:cxn modelId="{BADB9EBC-EED4-4555-BA36-19E6F49CAA8F}" type="presParOf" srcId="{B091D1CB-1CE5-C144-A213-7BD9D703E421}" destId="{2CE90C3E-2905-E347-8413-86F643554895}" srcOrd="6" destOrd="0" presId="urn:microsoft.com/office/officeart/2005/8/layout/hProcess9"/>
    <dgm:cxn modelId="{EB240AA2-7554-4D21-8446-8E8B70CFA290}" type="presParOf" srcId="{B091D1CB-1CE5-C144-A213-7BD9D703E421}" destId="{056D90A6-CEB7-554C-9152-103ACDE9BDFB}" srcOrd="7" destOrd="0" presId="urn:microsoft.com/office/officeart/2005/8/layout/hProcess9"/>
    <dgm:cxn modelId="{F4A730A4-0014-4A18-BD6F-B8B6EF4ED3E8}" type="presParOf" srcId="{B091D1CB-1CE5-C144-A213-7BD9D703E421}" destId="{065B1BD7-B7E2-D047-98E2-14DA5E364A55}" srcOrd="8"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F43187-3B11-AA4A-9C80-A434248B9278}">
      <dsp:nvSpPr>
        <dsp:cNvPr id="0" name=""/>
        <dsp:cNvSpPr/>
      </dsp:nvSpPr>
      <dsp:spPr>
        <a:xfrm>
          <a:off x="335184" y="0"/>
          <a:ext cx="3798760" cy="1944370"/>
        </a:xfrm>
        <a:prstGeom prst="rightArrow">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D43A7B87-C052-334C-89B0-A731E1C300D0}">
      <dsp:nvSpPr>
        <dsp:cNvPr id="0" name=""/>
        <dsp:cNvSpPr/>
      </dsp:nvSpPr>
      <dsp:spPr>
        <a:xfrm>
          <a:off x="1309" y="583310"/>
          <a:ext cx="788207" cy="777748"/>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dirty="0">
              <a:solidFill>
                <a:sysClr val="window" lastClr="FFFFFF"/>
              </a:solidFill>
              <a:latin typeface="Arial" panose="020B0604020202020204" pitchFamily="34" charset="0"/>
              <a:ea typeface="+mn-ea"/>
              <a:cs typeface="Arial" panose="020B0604020202020204" pitchFamily="34" charset="0"/>
            </a:rPr>
            <a:t>Inputs</a:t>
          </a:r>
        </a:p>
      </dsp:txBody>
      <dsp:txXfrm>
        <a:off x="39276" y="621277"/>
        <a:ext cx="712273" cy="701814"/>
      </dsp:txXfrm>
    </dsp:sp>
    <dsp:sp modelId="{8114102F-D1C9-9B49-98D4-DC68F79C31E7}">
      <dsp:nvSpPr>
        <dsp:cNvPr id="0" name=""/>
        <dsp:cNvSpPr/>
      </dsp:nvSpPr>
      <dsp:spPr>
        <a:xfrm>
          <a:off x="920885" y="583310"/>
          <a:ext cx="788207" cy="777748"/>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dirty="0">
              <a:solidFill>
                <a:sysClr val="window" lastClr="FFFFFF"/>
              </a:solidFill>
              <a:latin typeface="Arial" panose="020B0604020202020204" pitchFamily="34" charset="0"/>
              <a:ea typeface="+mn-ea"/>
              <a:cs typeface="Arial" panose="020B0604020202020204" pitchFamily="34" charset="0"/>
            </a:rPr>
            <a:t>Activities</a:t>
          </a:r>
        </a:p>
      </dsp:txBody>
      <dsp:txXfrm>
        <a:off x="958852" y="621277"/>
        <a:ext cx="712273" cy="701814"/>
      </dsp:txXfrm>
    </dsp:sp>
    <dsp:sp modelId="{F8DCD799-358C-114B-A310-2FC9EC0F3EF7}">
      <dsp:nvSpPr>
        <dsp:cNvPr id="0" name=""/>
        <dsp:cNvSpPr/>
      </dsp:nvSpPr>
      <dsp:spPr>
        <a:xfrm>
          <a:off x="1840461" y="583310"/>
          <a:ext cx="788207" cy="777748"/>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dirty="0">
              <a:solidFill>
                <a:sysClr val="window" lastClr="FFFFFF"/>
              </a:solidFill>
              <a:latin typeface="Arial" panose="020B0604020202020204" pitchFamily="34" charset="0"/>
              <a:ea typeface="+mn-ea"/>
              <a:cs typeface="Arial" panose="020B0604020202020204" pitchFamily="34" charset="0"/>
            </a:rPr>
            <a:t>Outputs</a:t>
          </a:r>
        </a:p>
      </dsp:txBody>
      <dsp:txXfrm>
        <a:off x="1878428" y="621277"/>
        <a:ext cx="712273" cy="701814"/>
      </dsp:txXfrm>
    </dsp:sp>
    <dsp:sp modelId="{2CE90C3E-2905-E347-8413-86F643554895}">
      <dsp:nvSpPr>
        <dsp:cNvPr id="0" name=""/>
        <dsp:cNvSpPr/>
      </dsp:nvSpPr>
      <dsp:spPr>
        <a:xfrm>
          <a:off x="2760036" y="583310"/>
          <a:ext cx="788207" cy="777748"/>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dirty="0">
              <a:solidFill>
                <a:sysClr val="window" lastClr="FFFFFF"/>
              </a:solidFill>
              <a:latin typeface="Arial" panose="020B0604020202020204" pitchFamily="34" charset="0"/>
              <a:ea typeface="+mn-ea"/>
              <a:cs typeface="Arial" panose="020B0604020202020204" pitchFamily="34" charset="0"/>
            </a:rPr>
            <a:t>Outcomes</a:t>
          </a:r>
        </a:p>
      </dsp:txBody>
      <dsp:txXfrm>
        <a:off x="2798003" y="621277"/>
        <a:ext cx="712273" cy="701814"/>
      </dsp:txXfrm>
    </dsp:sp>
    <dsp:sp modelId="{065B1BD7-B7E2-D047-98E2-14DA5E364A55}">
      <dsp:nvSpPr>
        <dsp:cNvPr id="0" name=""/>
        <dsp:cNvSpPr/>
      </dsp:nvSpPr>
      <dsp:spPr>
        <a:xfrm>
          <a:off x="3679612" y="583310"/>
          <a:ext cx="788207" cy="777748"/>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dirty="0">
              <a:solidFill>
                <a:sysClr val="window" lastClr="FFFFFF"/>
              </a:solidFill>
              <a:latin typeface="Arial" panose="020B0604020202020204" pitchFamily="34" charset="0"/>
              <a:ea typeface="+mn-ea"/>
              <a:cs typeface="Arial" panose="020B0604020202020204" pitchFamily="34" charset="0"/>
            </a:rPr>
            <a:t>Impacts</a:t>
          </a:r>
        </a:p>
      </dsp:txBody>
      <dsp:txXfrm>
        <a:off x="3717579" y="621277"/>
        <a:ext cx="712273" cy="70181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0D487-3E8D-4E01-BB2B-F4512A9F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42</TotalTime>
  <Pages>12</Pages>
  <Words>5613</Words>
  <Characters>30877</Characters>
  <Application>Microsoft Office Word</Application>
  <DocSecurity>0</DocSecurity>
  <Lines>257</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36418</CharactersWithSpaces>
  <SharedDoc>false</SharedDoc>
  <HLinks>
    <vt:vector size="216" baseType="variant">
      <vt:variant>
        <vt:i4>1376263</vt:i4>
      </vt:variant>
      <vt:variant>
        <vt:i4>15</vt:i4>
      </vt:variant>
      <vt:variant>
        <vt:i4>0</vt:i4>
      </vt:variant>
      <vt:variant>
        <vt:i4>5</vt:i4>
      </vt:variant>
      <vt:variant>
        <vt:lpwstr>http://www.unesco.org/culture/ich/en/Decisions/9.COM/13.e</vt:lpwstr>
      </vt:variant>
      <vt:variant>
        <vt:lpwstr/>
      </vt:variant>
      <vt:variant>
        <vt:i4>4980818</vt:i4>
      </vt:variant>
      <vt:variant>
        <vt:i4>12</vt:i4>
      </vt:variant>
      <vt:variant>
        <vt:i4>0</vt:i4>
      </vt:variant>
      <vt:variant>
        <vt:i4>5</vt:i4>
      </vt:variant>
      <vt:variant>
        <vt:lpwstr>http://www.unesco.org/culture/ich/en/Decisions/10.COM/6.a</vt:lpwstr>
      </vt:variant>
      <vt:variant>
        <vt:lpwstr/>
      </vt:variant>
      <vt:variant>
        <vt:i4>6750304</vt:i4>
      </vt:variant>
      <vt:variant>
        <vt:i4>9</vt:i4>
      </vt:variant>
      <vt:variant>
        <vt:i4>0</vt:i4>
      </vt:variant>
      <vt:variant>
        <vt:i4>5</vt:i4>
      </vt:variant>
      <vt:variant>
        <vt:lpwstr>http://www.unesco.org/culture/ich/en/events/expert-meeting-on-developing-an-overall-results-framework-for-the-2003-convention-00581</vt:lpwstr>
      </vt:variant>
      <vt:variant>
        <vt:lpwstr/>
      </vt:variant>
      <vt:variant>
        <vt:i4>6422628</vt:i4>
      </vt:variant>
      <vt:variant>
        <vt:i4>6</vt:i4>
      </vt:variant>
      <vt:variant>
        <vt:i4>0</vt:i4>
      </vt:variant>
      <vt:variant>
        <vt:i4>5</vt:i4>
      </vt:variant>
      <vt:variant>
        <vt:lpwstr>http://www.unesco.org/culture/ich/en/Decisions/10.COM/9</vt:lpwstr>
      </vt:variant>
      <vt:variant>
        <vt:lpwstr/>
      </vt:variant>
      <vt:variant>
        <vt:i4>1376263</vt:i4>
      </vt:variant>
      <vt:variant>
        <vt:i4>3</vt:i4>
      </vt:variant>
      <vt:variant>
        <vt:i4>0</vt:i4>
      </vt:variant>
      <vt:variant>
        <vt:i4>5</vt:i4>
      </vt:variant>
      <vt:variant>
        <vt:lpwstr>http://www.unesco.org/culture/ich/en/Decisions/9.COM/13.e</vt:lpwstr>
      </vt:variant>
      <vt:variant>
        <vt:lpwstr/>
      </vt:variant>
      <vt:variant>
        <vt:i4>7077940</vt:i4>
      </vt:variant>
      <vt:variant>
        <vt:i4>0</vt:i4>
      </vt:variant>
      <vt:variant>
        <vt:i4>0</vt:i4>
      </vt:variant>
      <vt:variant>
        <vt:i4>5</vt:i4>
      </vt:variant>
      <vt:variant>
        <vt:lpwstr>http://www.unesco.org/culture/ich/en/Decisions/8.COM/5.c.1</vt:lpwstr>
      </vt:variant>
      <vt:variant>
        <vt:lpwstr/>
      </vt:variant>
      <vt:variant>
        <vt:i4>7471214</vt:i4>
      </vt:variant>
      <vt:variant>
        <vt:i4>87</vt:i4>
      </vt:variant>
      <vt:variant>
        <vt:i4>0</vt:i4>
      </vt:variant>
      <vt:variant>
        <vt:i4>5</vt:i4>
      </vt:variant>
      <vt:variant>
        <vt:lpwstr>https://www.cbd.int/kb/record/meetingDocument/99249?RecordType=meetingDocument</vt:lpwstr>
      </vt:variant>
      <vt:variant>
        <vt:lpwstr/>
      </vt:variant>
      <vt:variant>
        <vt:i4>262254</vt:i4>
      </vt:variant>
      <vt:variant>
        <vt:i4>84</vt:i4>
      </vt:variant>
      <vt:variant>
        <vt:i4>0</vt:i4>
      </vt:variant>
      <vt:variant>
        <vt:i4>5</vt:i4>
      </vt:variant>
      <vt:variant>
        <vt:lpwstr>http://www.un.org/esa/socdev/unpfii/documents/E_ C_19_2009_CRP3_en.pdf</vt:lpwstr>
      </vt:variant>
      <vt:variant>
        <vt:lpwstr/>
      </vt:variant>
      <vt:variant>
        <vt:i4>2359336</vt:i4>
      </vt:variant>
      <vt:variant>
        <vt:i4>81</vt:i4>
      </vt:variant>
      <vt:variant>
        <vt:i4>0</vt:i4>
      </vt:variant>
      <vt:variant>
        <vt:i4>5</vt:i4>
      </vt:variant>
      <vt:variant>
        <vt:lpwstr>http://www.stats.govt.nz/browse_for_stats/people_and_communities/maori.aspx</vt:lpwstr>
      </vt:variant>
      <vt:variant>
        <vt:lpwstr>cultureandid</vt:lpwstr>
      </vt:variant>
      <vt:variant>
        <vt:i4>3342375</vt:i4>
      </vt:variant>
      <vt:variant>
        <vt:i4>78</vt:i4>
      </vt:variant>
      <vt:variant>
        <vt:i4>0</vt:i4>
      </vt:variant>
      <vt:variant>
        <vt:i4>5</vt:i4>
      </vt:variant>
      <vt:variant>
        <vt:lpwstr>http://socialreport.msd.govt.nz/cultural-identity/local-content-programming-on-new-zealand-television.html</vt:lpwstr>
      </vt:variant>
      <vt:variant>
        <vt:lpwstr/>
      </vt:variant>
      <vt:variant>
        <vt:i4>1572865</vt:i4>
      </vt:variant>
      <vt:variant>
        <vt:i4>75</vt:i4>
      </vt:variant>
      <vt:variant>
        <vt:i4>0</vt:i4>
      </vt:variant>
      <vt:variant>
        <vt:i4>5</vt:i4>
      </vt:variant>
      <vt:variant>
        <vt:lpwstr>http://www.oecd-ilibrary.org/docserver/download/8111081ec011.pdf?expires=1472630653&amp;id=id&amp;accname=guest&amp;checksum=1BD52C80AAA1E037950024393D2041AB</vt:lpwstr>
      </vt:variant>
      <vt:variant>
        <vt:lpwstr/>
      </vt:variant>
      <vt:variant>
        <vt:i4>7536735</vt:i4>
      </vt:variant>
      <vt:variant>
        <vt:i4>72</vt:i4>
      </vt:variant>
      <vt:variant>
        <vt:i4>0</vt:i4>
      </vt:variant>
      <vt:variant>
        <vt:i4>5</vt:i4>
      </vt:variant>
      <vt:variant>
        <vt:lpwstr>http://portal.unesco.org/culture/en/files/40795/12705619025HK_Creativity_Index.pdf/HK_Creativity+Index.pdf</vt:lpwstr>
      </vt:variant>
      <vt:variant>
        <vt:lpwstr/>
      </vt:variant>
      <vt:variant>
        <vt:i4>7209083</vt:i4>
      </vt:variant>
      <vt:variant>
        <vt:i4>69</vt:i4>
      </vt:variant>
      <vt:variant>
        <vt:i4>0</vt:i4>
      </vt:variant>
      <vt:variant>
        <vt:i4>5</vt:i4>
      </vt:variant>
      <vt:variant>
        <vt:lpwstr>https://uwaterloo.ca/canadian-index-wellbeing/</vt:lpwstr>
      </vt:variant>
      <vt:variant>
        <vt:lpwstr/>
      </vt:variant>
      <vt:variant>
        <vt:i4>5373959</vt:i4>
      </vt:variant>
      <vt:variant>
        <vt:i4>66</vt:i4>
      </vt:variant>
      <vt:variant>
        <vt:i4>0</vt:i4>
      </vt:variant>
      <vt:variant>
        <vt:i4>5</vt:i4>
      </vt:variant>
      <vt:variant>
        <vt:lpwstr>http://en.unesco.org/creativity/cdis</vt:lpwstr>
      </vt:variant>
      <vt:variant>
        <vt:lpwstr/>
      </vt:variant>
      <vt:variant>
        <vt:i4>2162690</vt:i4>
      </vt:variant>
      <vt:variant>
        <vt:i4>63</vt:i4>
      </vt:variant>
      <vt:variant>
        <vt:i4>0</vt:i4>
      </vt:variant>
      <vt:variant>
        <vt:i4>5</vt:i4>
      </vt:variant>
      <vt:variant>
        <vt:lpwstr>http://www.unesco.org/culture/ich/doc/src/ICH-Operational_Directives-6.GA-ZH.docx</vt:lpwstr>
      </vt:variant>
      <vt:variant>
        <vt:lpwstr/>
      </vt:variant>
      <vt:variant>
        <vt:i4>3866649</vt:i4>
      </vt:variant>
      <vt:variant>
        <vt:i4>60</vt:i4>
      </vt:variant>
      <vt:variant>
        <vt:i4>0</vt:i4>
      </vt:variant>
      <vt:variant>
        <vt:i4>5</vt:i4>
      </vt:variant>
      <vt:variant>
        <vt:lpwstr>http://www.unesco.org/culture/ich/doc/src/ICH-Operational_Directives-6.GA-AR.docx</vt:lpwstr>
      </vt:variant>
      <vt:variant>
        <vt:lpwstr/>
      </vt:variant>
      <vt:variant>
        <vt:i4>3932170</vt:i4>
      </vt:variant>
      <vt:variant>
        <vt:i4>57</vt:i4>
      </vt:variant>
      <vt:variant>
        <vt:i4>0</vt:i4>
      </vt:variant>
      <vt:variant>
        <vt:i4>5</vt:i4>
      </vt:variant>
      <vt:variant>
        <vt:lpwstr>http://www.unesco.org/culture/ich/doc/src/ICH-Operational_Directives-6.GA-RU.doc</vt:lpwstr>
      </vt:variant>
      <vt:variant>
        <vt:lpwstr/>
      </vt:variant>
      <vt:variant>
        <vt:i4>3801117</vt:i4>
      </vt:variant>
      <vt:variant>
        <vt:i4>54</vt:i4>
      </vt:variant>
      <vt:variant>
        <vt:i4>0</vt:i4>
      </vt:variant>
      <vt:variant>
        <vt:i4>5</vt:i4>
      </vt:variant>
      <vt:variant>
        <vt:lpwstr>http://www.unesco.org/culture/ich/doc/src/ICH-Operational_Directives-6.GA-ES.doc</vt:lpwstr>
      </vt:variant>
      <vt:variant>
        <vt:lpwstr/>
      </vt:variant>
      <vt:variant>
        <vt:i4>6488067</vt:i4>
      </vt:variant>
      <vt:variant>
        <vt:i4>51</vt:i4>
      </vt:variant>
      <vt:variant>
        <vt:i4>0</vt:i4>
      </vt:variant>
      <vt:variant>
        <vt:i4>5</vt:i4>
      </vt:variant>
      <vt:variant>
        <vt:lpwstr>http://www.unesco.org/culture/ich/doc/src/ICH-Operational_Directives-6.GA-PDF-FR.pdf</vt:lpwstr>
      </vt:variant>
      <vt:variant>
        <vt:lpwstr/>
      </vt:variant>
      <vt:variant>
        <vt:i4>8323072</vt:i4>
      </vt:variant>
      <vt:variant>
        <vt:i4>48</vt:i4>
      </vt:variant>
      <vt:variant>
        <vt:i4>0</vt:i4>
      </vt:variant>
      <vt:variant>
        <vt:i4>5</vt:i4>
      </vt:variant>
      <vt:variant>
        <vt:lpwstr>http://www.unesco.org/culture/ich/doc/src/ICH-Operational_Directives-6.GA-PDF-EN.pdf</vt:lpwstr>
      </vt:variant>
      <vt:variant>
        <vt:lpwstr/>
      </vt:variant>
      <vt:variant>
        <vt:i4>131158</vt:i4>
      </vt:variant>
      <vt:variant>
        <vt:i4>45</vt:i4>
      </vt:variant>
      <vt:variant>
        <vt:i4>0</vt:i4>
      </vt:variant>
      <vt:variant>
        <vt:i4>5</vt:i4>
      </vt:variant>
      <vt:variant>
        <vt:lpwstr>http://www.unesco.org/culture/ich/doc/src/2003_Convention-Ethical_principles-ZH.pdf</vt:lpwstr>
      </vt:variant>
      <vt:variant>
        <vt:lpwstr/>
      </vt:variant>
      <vt:variant>
        <vt:i4>1638476</vt:i4>
      </vt:variant>
      <vt:variant>
        <vt:i4>42</vt:i4>
      </vt:variant>
      <vt:variant>
        <vt:i4>0</vt:i4>
      </vt:variant>
      <vt:variant>
        <vt:i4>5</vt:i4>
      </vt:variant>
      <vt:variant>
        <vt:lpwstr>http://www.unesco.org/culture/ich/doc/src/2003_Convention-Ethical_principles-AR.pdf</vt:lpwstr>
      </vt:variant>
      <vt:variant>
        <vt:lpwstr/>
      </vt:variant>
      <vt:variant>
        <vt:i4>655435</vt:i4>
      </vt:variant>
      <vt:variant>
        <vt:i4>39</vt:i4>
      </vt:variant>
      <vt:variant>
        <vt:i4>0</vt:i4>
      </vt:variant>
      <vt:variant>
        <vt:i4>5</vt:i4>
      </vt:variant>
      <vt:variant>
        <vt:lpwstr>http://www.unesco.org/culture/ich/doc/src/2003_Convention-Ethical_principles-RU.pdf</vt:lpwstr>
      </vt:variant>
      <vt:variant>
        <vt:lpwstr/>
      </vt:variant>
      <vt:variant>
        <vt:i4>1900621</vt:i4>
      </vt:variant>
      <vt:variant>
        <vt:i4>36</vt:i4>
      </vt:variant>
      <vt:variant>
        <vt:i4>0</vt:i4>
      </vt:variant>
      <vt:variant>
        <vt:i4>5</vt:i4>
      </vt:variant>
      <vt:variant>
        <vt:lpwstr>http://www.unesco.org/culture/ich/doc/src/2003_Convention-Ethical_principles-ES.pdf</vt:lpwstr>
      </vt:variant>
      <vt:variant>
        <vt:lpwstr/>
      </vt:variant>
      <vt:variant>
        <vt:i4>7143483</vt:i4>
      </vt:variant>
      <vt:variant>
        <vt:i4>33</vt:i4>
      </vt:variant>
      <vt:variant>
        <vt:i4>0</vt:i4>
      </vt:variant>
      <vt:variant>
        <vt:i4>5</vt:i4>
      </vt:variant>
      <vt:variant>
        <vt:lpwstr>http://www.unesco.org/culture/ich/doc/src/2003_Convention-Ethical_principles-FR.docx</vt:lpwstr>
      </vt:variant>
      <vt:variant>
        <vt:lpwstr/>
      </vt:variant>
      <vt:variant>
        <vt:i4>7208999</vt:i4>
      </vt:variant>
      <vt:variant>
        <vt:i4>30</vt:i4>
      </vt:variant>
      <vt:variant>
        <vt:i4>0</vt:i4>
      </vt:variant>
      <vt:variant>
        <vt:i4>5</vt:i4>
      </vt:variant>
      <vt:variant>
        <vt:lpwstr>http://www.unesco.org/culture/ich/doc/src/2003_Convention-Ethical_principles-EN.docx</vt:lpwstr>
      </vt:variant>
      <vt:variant>
        <vt:lpwstr/>
      </vt:variant>
      <vt:variant>
        <vt:i4>3539067</vt:i4>
      </vt:variant>
      <vt:variant>
        <vt:i4>27</vt:i4>
      </vt:variant>
      <vt:variant>
        <vt:i4>0</vt:i4>
      </vt:variant>
      <vt:variant>
        <vt:i4>5</vt:i4>
      </vt:variant>
      <vt:variant>
        <vt:lpwstr>http://www.unesco.org/culture/ich/en/Decisions/10.COM/15.a</vt:lpwstr>
      </vt:variant>
      <vt:variant>
        <vt:lpwstr/>
      </vt:variant>
      <vt:variant>
        <vt:i4>7995491</vt:i4>
      </vt:variant>
      <vt:variant>
        <vt:i4>24</vt:i4>
      </vt:variant>
      <vt:variant>
        <vt:i4>0</vt:i4>
      </vt:variant>
      <vt:variant>
        <vt:i4>5</vt:i4>
      </vt:variant>
      <vt:variant>
        <vt:lpwstr>https://undg.org/wp-content/uploads/2015/01/UNDG-RBM-Handbook-2012.pdf</vt:lpwstr>
      </vt:variant>
      <vt:variant>
        <vt:lpwstr/>
      </vt:variant>
      <vt:variant>
        <vt:i4>7602278</vt:i4>
      </vt:variant>
      <vt:variant>
        <vt:i4>21</vt:i4>
      </vt:variant>
      <vt:variant>
        <vt:i4>0</vt:i4>
      </vt:variant>
      <vt:variant>
        <vt:i4>5</vt:i4>
      </vt:variant>
      <vt:variant>
        <vt:lpwstr>http://www.uneval.org/document/detail/1484</vt:lpwstr>
      </vt:variant>
      <vt:variant>
        <vt:lpwstr/>
      </vt:variant>
      <vt:variant>
        <vt:i4>6750304</vt:i4>
      </vt:variant>
      <vt:variant>
        <vt:i4>18</vt:i4>
      </vt:variant>
      <vt:variant>
        <vt:i4>0</vt:i4>
      </vt:variant>
      <vt:variant>
        <vt:i4>5</vt:i4>
      </vt:variant>
      <vt:variant>
        <vt:lpwstr>http://www.unesco.org/culture/ich/en/events/expert-meeting-on-developing-an-overall-results-framework-for-the-2003-convention-00581</vt:lpwstr>
      </vt:variant>
      <vt:variant>
        <vt:lpwstr/>
      </vt:variant>
      <vt:variant>
        <vt:i4>3604591</vt:i4>
      </vt:variant>
      <vt:variant>
        <vt:i4>15</vt:i4>
      </vt:variant>
      <vt:variant>
        <vt:i4>0</vt:i4>
      </vt:variant>
      <vt:variant>
        <vt:i4>5</vt:i4>
      </vt:variant>
      <vt:variant>
        <vt:lpwstr>http://www.unesco.org/culture/ich/doc/src/ITH-16-EXP-3_Rev.2__EN_FR.docx</vt:lpwstr>
      </vt:variant>
      <vt:variant>
        <vt:lpwstr/>
      </vt:variant>
      <vt:variant>
        <vt:i4>3604591</vt:i4>
      </vt:variant>
      <vt:variant>
        <vt:i4>12</vt:i4>
      </vt:variant>
      <vt:variant>
        <vt:i4>0</vt:i4>
      </vt:variant>
      <vt:variant>
        <vt:i4>5</vt:i4>
      </vt:variant>
      <vt:variant>
        <vt:lpwstr>http://www.unesco.org/culture/ich/doc/src/ITH-16-EXP-3_Rev.2__EN_FR.docx</vt:lpwstr>
      </vt:variant>
      <vt:variant>
        <vt:lpwstr/>
      </vt:variant>
      <vt:variant>
        <vt:i4>1376268</vt:i4>
      </vt:variant>
      <vt:variant>
        <vt:i4>9</vt:i4>
      </vt:variant>
      <vt:variant>
        <vt:i4>0</vt:i4>
      </vt:variant>
      <vt:variant>
        <vt:i4>5</vt:i4>
      </vt:variant>
      <vt:variant>
        <vt:lpwstr>http://unesdoc.unesco.org/images/0022/002230/223095a.pdf</vt:lpwstr>
      </vt:variant>
      <vt:variant>
        <vt:lpwstr/>
      </vt:variant>
      <vt:variant>
        <vt:i4>458764</vt:i4>
      </vt:variant>
      <vt:variant>
        <vt:i4>6</vt:i4>
      </vt:variant>
      <vt:variant>
        <vt:i4>0</vt:i4>
      </vt:variant>
      <vt:variant>
        <vt:i4>5</vt:i4>
      </vt:variant>
      <vt:variant>
        <vt:lpwstr>http://unesdoc.unesco.org/images/0022/002230/223095s.pdf</vt:lpwstr>
      </vt:variant>
      <vt:variant>
        <vt:lpwstr/>
      </vt:variant>
      <vt:variant>
        <vt:i4>1179660</vt:i4>
      </vt:variant>
      <vt:variant>
        <vt:i4>3</vt:i4>
      </vt:variant>
      <vt:variant>
        <vt:i4>0</vt:i4>
      </vt:variant>
      <vt:variant>
        <vt:i4>5</vt:i4>
      </vt:variant>
      <vt:variant>
        <vt:lpwstr>http://unesdoc.unesco.org/images/0022/002230/223095f.pdf</vt:lpwstr>
      </vt:variant>
      <vt:variant>
        <vt:lpwstr/>
      </vt:variant>
      <vt:variant>
        <vt:i4>1114124</vt:i4>
      </vt:variant>
      <vt:variant>
        <vt:i4>0</vt:i4>
      </vt:variant>
      <vt:variant>
        <vt:i4>0</vt:i4>
      </vt:variant>
      <vt:variant>
        <vt:i4>5</vt:i4>
      </vt:variant>
      <vt:variant>
        <vt:lpwstr>http://unesdoc.unesco.org/images/0022/002230/223095e.pdf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Delsol, Christine</dc:creator>
  <cp:keywords/>
  <cp:lastModifiedBy>Constantinou, Elena</cp:lastModifiedBy>
  <cp:revision>8</cp:revision>
  <cp:lastPrinted>2016-10-18T10:20:00Z</cp:lastPrinted>
  <dcterms:created xsi:type="dcterms:W3CDTF">2016-10-31T14:05:00Z</dcterms:created>
  <dcterms:modified xsi:type="dcterms:W3CDTF">2016-10-31T16:22:00Z</dcterms:modified>
</cp:coreProperties>
</file>