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FD632C" w:rsidRDefault="00EC6F8D" w:rsidP="00EC6F8D">
      <w:pPr>
        <w:spacing w:before="1440"/>
        <w:jc w:val="center"/>
        <w:rPr>
          <w:rFonts w:ascii="Arial" w:hAnsi="Arial" w:cs="Arial"/>
          <w:b/>
          <w:sz w:val="22"/>
          <w:szCs w:val="22"/>
        </w:rPr>
      </w:pPr>
      <w:r w:rsidRPr="00FD632C">
        <w:rPr>
          <w:rFonts w:ascii="Arial" w:hAnsi="Arial"/>
          <w:b/>
          <w:sz w:val="22"/>
        </w:rPr>
        <w:t>CONVENTION POUR LA SAUVEGARDE</w:t>
      </w:r>
      <w:r w:rsidRPr="00FD632C">
        <w:rPr>
          <w:rFonts w:ascii="Arial" w:hAnsi="Arial" w:cs="Arial"/>
          <w:b/>
          <w:sz w:val="22"/>
          <w:szCs w:val="22"/>
        </w:rPr>
        <w:br/>
      </w:r>
      <w:r w:rsidRPr="00FD632C">
        <w:rPr>
          <w:rFonts w:ascii="Arial" w:hAnsi="Arial"/>
          <w:b/>
          <w:sz w:val="22"/>
        </w:rPr>
        <w:t>DU PATRIMOINE CULTUREL IMMATÉRIEL</w:t>
      </w:r>
    </w:p>
    <w:p w:rsidR="00EC6F8D" w:rsidRPr="00FD632C" w:rsidRDefault="00460927" w:rsidP="00EC6F8D">
      <w:pPr>
        <w:spacing w:before="1200"/>
        <w:jc w:val="center"/>
        <w:rPr>
          <w:rFonts w:ascii="Arial" w:hAnsi="Arial" w:cs="Arial"/>
          <w:b/>
          <w:sz w:val="22"/>
          <w:szCs w:val="22"/>
        </w:rPr>
      </w:pPr>
      <w:r>
        <w:rPr>
          <w:rFonts w:ascii="Arial" w:hAnsi="Arial"/>
          <w:b/>
          <w:sz w:val="22"/>
        </w:rPr>
        <w:t>COMITÉ INTERGOUVERNEMENTAL DE</w:t>
      </w:r>
      <w:r w:rsidR="00EC6F8D" w:rsidRPr="00FD632C">
        <w:rPr>
          <w:rFonts w:ascii="Arial" w:hAnsi="Arial" w:cs="Arial"/>
          <w:b/>
          <w:sz w:val="22"/>
          <w:szCs w:val="22"/>
        </w:rPr>
        <w:br/>
      </w:r>
      <w:r w:rsidR="00EC6F8D" w:rsidRPr="00FD632C">
        <w:rPr>
          <w:rFonts w:ascii="Arial" w:hAnsi="Arial"/>
          <w:b/>
          <w:sz w:val="22"/>
        </w:rPr>
        <w:t>SAUVEGARDE DU PATRIMOINE CULTUREL IMMATÉRIEL</w:t>
      </w:r>
    </w:p>
    <w:p w:rsidR="00EC6F8D" w:rsidRPr="00FD632C" w:rsidRDefault="00CB0542" w:rsidP="00AF2597">
      <w:pPr>
        <w:spacing w:before="840" w:after="0"/>
        <w:jc w:val="center"/>
        <w:rPr>
          <w:rFonts w:ascii="Arial" w:hAnsi="Arial" w:cs="Arial"/>
          <w:b/>
          <w:sz w:val="22"/>
          <w:szCs w:val="22"/>
        </w:rPr>
      </w:pPr>
      <w:r w:rsidRPr="00FD632C">
        <w:rPr>
          <w:rFonts w:ascii="Arial" w:hAnsi="Arial"/>
          <w:b/>
          <w:sz w:val="22"/>
        </w:rPr>
        <w:t>Onzième session</w:t>
      </w:r>
    </w:p>
    <w:p w:rsidR="009D5428" w:rsidRPr="00460927" w:rsidRDefault="00460927" w:rsidP="00AF2597">
      <w:pPr>
        <w:spacing w:before="0" w:after="0"/>
        <w:jc w:val="center"/>
        <w:rPr>
          <w:rFonts w:ascii="Arial" w:eastAsia="Malgun Gothic" w:hAnsi="Arial" w:cs="Arial"/>
          <w:b/>
          <w:sz w:val="22"/>
          <w:szCs w:val="22"/>
          <w:lang w:eastAsia="ko-KR"/>
        </w:rPr>
      </w:pPr>
      <w:r>
        <w:rPr>
          <w:rFonts w:ascii="Arial" w:hAnsi="Arial"/>
          <w:b/>
          <w:sz w:val="22"/>
        </w:rPr>
        <w:t>Addis-Abeba, Éthiopie</w:t>
      </w:r>
    </w:p>
    <w:p w:rsidR="00EC6F8D" w:rsidRPr="00FD632C" w:rsidRDefault="00CB0542" w:rsidP="00AF2597">
      <w:pPr>
        <w:spacing w:before="0" w:after="0"/>
        <w:jc w:val="center"/>
        <w:rPr>
          <w:rFonts w:ascii="Arial" w:hAnsi="Arial" w:cs="Arial"/>
          <w:b/>
          <w:sz w:val="22"/>
          <w:szCs w:val="22"/>
        </w:rPr>
      </w:pPr>
      <w:r w:rsidRPr="00FD632C">
        <w:rPr>
          <w:rFonts w:ascii="Arial" w:hAnsi="Arial"/>
          <w:b/>
          <w:sz w:val="22"/>
        </w:rPr>
        <w:t>28 novembre – 2 décembre 2016</w:t>
      </w:r>
    </w:p>
    <w:p w:rsidR="00EC6F8D" w:rsidRPr="00FD632C" w:rsidRDefault="00460927" w:rsidP="00EC6F8D">
      <w:pPr>
        <w:pStyle w:val="Sansinterligne2"/>
        <w:spacing w:before="1200"/>
        <w:jc w:val="center"/>
        <w:rPr>
          <w:rFonts w:ascii="Arial" w:hAnsi="Arial" w:cs="Arial"/>
          <w:b/>
          <w:sz w:val="22"/>
          <w:szCs w:val="22"/>
        </w:rPr>
      </w:pPr>
      <w:r>
        <w:rPr>
          <w:rFonts w:ascii="Arial" w:hAnsi="Arial"/>
          <w:b/>
          <w:sz w:val="22"/>
          <w:u w:val="single"/>
        </w:rPr>
        <w:t>Point 13 de l</w:t>
      </w:r>
      <w:r>
        <w:rPr>
          <w:rFonts w:ascii="Arial" w:eastAsia="Malgun Gothic" w:hAnsi="Arial"/>
          <w:b/>
          <w:sz w:val="22"/>
          <w:u w:val="single"/>
          <w:lang w:eastAsia="ko-KR"/>
        </w:rPr>
        <w:t>’</w:t>
      </w:r>
      <w:r w:rsidR="00EC6F8D" w:rsidRPr="00FD632C">
        <w:rPr>
          <w:rFonts w:ascii="Arial" w:hAnsi="Arial"/>
          <w:b/>
          <w:sz w:val="22"/>
          <w:u w:val="single"/>
        </w:rPr>
        <w:t>ordre du jour provisoire</w:t>
      </w:r>
      <w:r w:rsidR="00EC6F8D" w:rsidRPr="00FD632C">
        <w:rPr>
          <w:rFonts w:ascii="Arial" w:hAnsi="Arial"/>
          <w:b/>
          <w:sz w:val="22"/>
        </w:rPr>
        <w:t> :</w:t>
      </w:r>
    </w:p>
    <w:p w:rsidR="00EC6F8D" w:rsidRPr="00FD632C" w:rsidRDefault="00C0741C" w:rsidP="00EC6F8D">
      <w:pPr>
        <w:pStyle w:val="Sansinterligne2"/>
        <w:spacing w:after="1200"/>
        <w:jc w:val="center"/>
        <w:rPr>
          <w:rFonts w:ascii="Arial" w:hAnsi="Arial" w:cs="Arial"/>
          <w:b/>
          <w:sz w:val="22"/>
          <w:szCs w:val="22"/>
        </w:rPr>
      </w:pPr>
      <w:r w:rsidRPr="00FD632C">
        <w:rPr>
          <w:rFonts w:ascii="Arial" w:hAnsi="Arial"/>
          <w:b/>
          <w:sz w:val="22"/>
        </w:rPr>
        <w:t>Réflexion sur le transfert d</w:t>
      </w:r>
      <w:r w:rsidR="00460927">
        <w:rPr>
          <w:rFonts w:ascii="Arial" w:hAnsi="Arial"/>
          <w:b/>
          <w:sz w:val="22"/>
        </w:rPr>
        <w:t>’</w:t>
      </w:r>
      <w:r w:rsidRPr="00FD632C">
        <w:rPr>
          <w:rFonts w:ascii="Arial" w:hAnsi="Arial"/>
          <w:b/>
          <w:sz w:val="22"/>
        </w:rPr>
        <w:t>un élément d</w:t>
      </w:r>
      <w:r w:rsidR="00460927">
        <w:rPr>
          <w:rFonts w:ascii="Arial" w:hAnsi="Arial"/>
          <w:b/>
          <w:sz w:val="22"/>
        </w:rPr>
        <w:t>’</w:t>
      </w:r>
      <w:r w:rsidRPr="00FD632C">
        <w:rPr>
          <w:rFonts w:ascii="Arial" w:hAnsi="Arial"/>
          <w:b/>
          <w:sz w:val="22"/>
        </w:rPr>
        <w:t>une liste à l</w:t>
      </w:r>
      <w:r w:rsidR="00460927">
        <w:rPr>
          <w:rFonts w:ascii="Arial" w:hAnsi="Arial"/>
          <w:b/>
          <w:sz w:val="22"/>
        </w:rPr>
        <w:t>’</w:t>
      </w:r>
      <w:r w:rsidRPr="00FD632C">
        <w:rPr>
          <w:rFonts w:ascii="Arial" w:hAnsi="Arial"/>
          <w:b/>
          <w:sz w:val="22"/>
        </w:rPr>
        <w:t>autre</w:t>
      </w:r>
      <w:r w:rsidRPr="00FD632C">
        <w:rPr>
          <w:rFonts w:ascii="Arial" w:hAnsi="Arial" w:cs="Arial"/>
          <w:b/>
          <w:sz w:val="22"/>
          <w:szCs w:val="22"/>
        </w:rPr>
        <w:br/>
      </w:r>
      <w:r w:rsidRPr="00FD632C">
        <w:rPr>
          <w:rFonts w:ascii="Arial" w:hAnsi="Arial"/>
          <w:b/>
          <w:sz w:val="22"/>
        </w:rPr>
        <w:t>et le retrait d</w:t>
      </w:r>
      <w:r w:rsidR="00460927">
        <w:rPr>
          <w:rFonts w:ascii="Arial" w:hAnsi="Arial"/>
          <w:b/>
          <w:sz w:val="22"/>
        </w:rPr>
        <w:t>’</w:t>
      </w:r>
      <w:r w:rsidRPr="00FD632C">
        <w:rPr>
          <w:rFonts w:ascii="Arial" w:hAnsi="Arial"/>
          <w:b/>
          <w:sz w:val="22"/>
        </w:rPr>
        <w:t>un élément d</w:t>
      </w:r>
      <w:r w:rsidR="00460927">
        <w:rPr>
          <w:rFonts w:ascii="Arial" w:hAnsi="Arial"/>
          <w:b/>
          <w:sz w:val="22"/>
        </w:rPr>
        <w:t>’</w:t>
      </w:r>
      <w:r w:rsidRPr="00FD632C">
        <w:rPr>
          <w:rFonts w:ascii="Arial" w:hAnsi="Arial"/>
          <w:b/>
          <w:sz w:val="22"/>
        </w:rPr>
        <w:t>une liste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C5F67" w:rsidTr="00EC6F8D">
        <w:trPr>
          <w:jc w:val="center"/>
        </w:trPr>
        <w:tc>
          <w:tcPr>
            <w:tcW w:w="5670" w:type="dxa"/>
            <w:vAlign w:val="center"/>
          </w:tcPr>
          <w:p w:rsidR="00EC6F8D" w:rsidRPr="00FD632C" w:rsidRDefault="00EC6F8D" w:rsidP="00AF2597">
            <w:pPr>
              <w:pStyle w:val="Sansinterligne1"/>
              <w:spacing w:before="200" w:after="200"/>
              <w:ind w:left="35"/>
              <w:jc w:val="center"/>
              <w:rPr>
                <w:rFonts w:ascii="Arial" w:hAnsi="Arial" w:cs="Arial"/>
                <w:b/>
                <w:sz w:val="22"/>
                <w:szCs w:val="22"/>
              </w:rPr>
            </w:pPr>
            <w:r w:rsidRPr="00FD632C">
              <w:rPr>
                <w:rFonts w:ascii="Arial" w:hAnsi="Arial"/>
                <w:b/>
                <w:sz w:val="22"/>
              </w:rPr>
              <w:t>Résumé</w:t>
            </w:r>
          </w:p>
          <w:p w:rsidR="00EC6F8D" w:rsidRPr="001C5F67" w:rsidRDefault="00FA02FF" w:rsidP="00AF2597">
            <w:pPr>
              <w:pStyle w:val="Sansinterligne1"/>
              <w:ind w:left="35"/>
              <w:rPr>
                <w:rFonts w:ascii="Arial" w:hAnsi="Arial" w:cs="Arial"/>
                <w:bCs/>
                <w:sz w:val="22"/>
                <w:szCs w:val="22"/>
              </w:rPr>
            </w:pPr>
            <w:r w:rsidRPr="00FD632C">
              <w:rPr>
                <w:rFonts w:ascii="Arial" w:hAnsi="Arial"/>
                <w:sz w:val="22"/>
              </w:rPr>
              <w:t xml:space="preserve">À </w:t>
            </w:r>
            <w:r w:rsidR="002F4C7F" w:rsidRPr="00FD632C">
              <w:rPr>
                <w:rFonts w:ascii="Arial" w:hAnsi="Arial"/>
                <w:sz w:val="22"/>
              </w:rPr>
              <w:t>sa</w:t>
            </w:r>
            <w:r w:rsidRPr="00FD632C">
              <w:rPr>
                <w:rFonts w:ascii="Arial" w:hAnsi="Arial"/>
                <w:sz w:val="22"/>
              </w:rPr>
              <w:t xml:space="preserve"> dixième session </w:t>
            </w:r>
            <w:r w:rsidR="002F4C7F" w:rsidRPr="00FD632C">
              <w:rPr>
                <w:rFonts w:ascii="Arial" w:hAnsi="Arial"/>
                <w:sz w:val="22"/>
              </w:rPr>
              <w:t>en</w:t>
            </w:r>
            <w:r w:rsidRPr="00FD632C">
              <w:rPr>
                <w:rFonts w:ascii="Arial" w:hAnsi="Arial"/>
                <w:sz w:val="22"/>
              </w:rPr>
              <w:t xml:space="preserve"> 2015</w:t>
            </w:r>
            <w:r w:rsidR="002F4C7F" w:rsidRPr="00FD632C">
              <w:rPr>
                <w:rFonts w:ascii="Arial" w:hAnsi="Arial"/>
                <w:sz w:val="22"/>
              </w:rPr>
              <w:t xml:space="preserve">, lors </w:t>
            </w:r>
            <w:r w:rsidRPr="00FD632C">
              <w:rPr>
                <w:rFonts w:ascii="Arial" w:hAnsi="Arial"/>
                <w:sz w:val="22"/>
              </w:rPr>
              <w:t>de l</w:t>
            </w:r>
            <w:r w:rsidR="00460927">
              <w:rPr>
                <w:rFonts w:ascii="Arial" w:hAnsi="Arial"/>
                <w:sz w:val="22"/>
              </w:rPr>
              <w:t>’</w:t>
            </w:r>
            <w:r w:rsidRPr="00FD632C">
              <w:rPr>
                <w:rFonts w:ascii="Arial" w:hAnsi="Arial"/>
                <w:sz w:val="22"/>
              </w:rPr>
              <w:t>examen de la première demande de transfert par le Viet Nam, le Comité a décidé de réfléchir plus généralement au transfert d</w:t>
            </w:r>
            <w:r w:rsidR="00460927">
              <w:rPr>
                <w:rFonts w:ascii="Arial" w:hAnsi="Arial"/>
                <w:sz w:val="22"/>
              </w:rPr>
              <w:t>’</w:t>
            </w:r>
            <w:r w:rsidRPr="00FD632C">
              <w:rPr>
                <w:rFonts w:ascii="Arial" w:hAnsi="Arial"/>
                <w:sz w:val="22"/>
              </w:rPr>
              <w:t>un élément d</w:t>
            </w:r>
            <w:r w:rsidR="00460927">
              <w:rPr>
                <w:rFonts w:ascii="Arial" w:hAnsi="Arial"/>
                <w:sz w:val="22"/>
              </w:rPr>
              <w:t>’</w:t>
            </w:r>
            <w:r w:rsidRPr="00FD632C">
              <w:rPr>
                <w:rFonts w:ascii="Arial" w:hAnsi="Arial"/>
                <w:sz w:val="22"/>
              </w:rPr>
              <w:t xml:space="preserve">une </w:t>
            </w:r>
            <w:r w:rsidR="00443968" w:rsidRPr="001C5F67">
              <w:rPr>
                <w:rFonts w:ascii="Arial" w:hAnsi="Arial"/>
                <w:sz w:val="22"/>
              </w:rPr>
              <w:t xml:space="preserve">liste </w:t>
            </w:r>
            <w:r w:rsidRPr="001C5F67">
              <w:rPr>
                <w:rFonts w:ascii="Arial" w:hAnsi="Arial"/>
                <w:sz w:val="22"/>
              </w:rPr>
              <w:t>à l</w:t>
            </w:r>
            <w:r w:rsidR="00460927">
              <w:rPr>
                <w:rFonts w:ascii="Arial" w:hAnsi="Arial"/>
                <w:sz w:val="22"/>
              </w:rPr>
              <w:t>’</w:t>
            </w:r>
            <w:r w:rsidRPr="001C5F67">
              <w:rPr>
                <w:rFonts w:ascii="Arial" w:hAnsi="Arial"/>
                <w:sz w:val="22"/>
              </w:rPr>
              <w:t>autre et au retrait d</w:t>
            </w:r>
            <w:r w:rsidR="00460927">
              <w:rPr>
                <w:rFonts w:ascii="Arial" w:hAnsi="Arial"/>
                <w:sz w:val="22"/>
              </w:rPr>
              <w:t>’</w:t>
            </w:r>
            <w:r w:rsidRPr="001C5F67">
              <w:rPr>
                <w:rFonts w:ascii="Arial" w:hAnsi="Arial"/>
                <w:sz w:val="22"/>
              </w:rPr>
              <w:t>un élément d</w:t>
            </w:r>
            <w:r w:rsidR="00460927">
              <w:rPr>
                <w:rFonts w:ascii="Arial" w:hAnsi="Arial"/>
                <w:sz w:val="22"/>
              </w:rPr>
              <w:t>’</w:t>
            </w:r>
            <w:r w:rsidRPr="001C5F67">
              <w:rPr>
                <w:rFonts w:ascii="Arial" w:hAnsi="Arial"/>
                <w:sz w:val="22"/>
              </w:rPr>
              <w:t xml:space="preserve">une </w:t>
            </w:r>
            <w:r w:rsidR="00443968" w:rsidRPr="001C5F67">
              <w:rPr>
                <w:rFonts w:ascii="Arial" w:hAnsi="Arial"/>
                <w:sz w:val="22"/>
              </w:rPr>
              <w:t>l</w:t>
            </w:r>
            <w:r w:rsidRPr="001C5F67">
              <w:rPr>
                <w:rFonts w:ascii="Arial" w:hAnsi="Arial"/>
                <w:sz w:val="22"/>
              </w:rPr>
              <w:t xml:space="preserve">iste. Le présent document doit faciliter </w:t>
            </w:r>
            <w:r w:rsidR="000C6C11" w:rsidRPr="001C5F67">
              <w:rPr>
                <w:rFonts w:ascii="Arial" w:hAnsi="Arial"/>
                <w:sz w:val="22"/>
              </w:rPr>
              <w:t xml:space="preserve">cette </w:t>
            </w:r>
            <w:r w:rsidRPr="001C5F67">
              <w:rPr>
                <w:rFonts w:ascii="Arial" w:hAnsi="Arial"/>
                <w:sz w:val="22"/>
              </w:rPr>
              <w:t>réflexion.</w:t>
            </w:r>
          </w:p>
          <w:p w:rsidR="00EC6F8D" w:rsidRPr="001C5F67" w:rsidRDefault="00EC6F8D" w:rsidP="00E52E66">
            <w:pPr>
              <w:pStyle w:val="Sansinterligne2"/>
              <w:spacing w:before="200" w:after="200"/>
              <w:ind w:left="0"/>
              <w:rPr>
                <w:rFonts w:ascii="Arial" w:hAnsi="Arial" w:cs="Arial"/>
                <w:b/>
                <w:sz w:val="22"/>
                <w:szCs w:val="22"/>
              </w:rPr>
            </w:pPr>
            <w:r w:rsidRPr="001C5F67">
              <w:rPr>
                <w:rFonts w:ascii="Arial" w:hAnsi="Arial"/>
                <w:b/>
                <w:sz w:val="22"/>
              </w:rPr>
              <w:t xml:space="preserve">Décision requise : </w:t>
            </w:r>
            <w:r w:rsidRPr="001C5F67">
              <w:rPr>
                <w:rFonts w:ascii="Arial" w:hAnsi="Arial"/>
                <w:sz w:val="22"/>
              </w:rPr>
              <w:t xml:space="preserve">paragraphe </w:t>
            </w:r>
            <w:r w:rsidRPr="00E52E66">
              <w:rPr>
                <w:rFonts w:ascii="Arial" w:hAnsi="Arial"/>
                <w:sz w:val="22"/>
              </w:rPr>
              <w:t>17</w:t>
            </w:r>
          </w:p>
        </w:tc>
      </w:tr>
    </w:tbl>
    <w:p w:rsidR="00800776" w:rsidRPr="001C5F67" w:rsidRDefault="00655736" w:rsidP="00D5662B">
      <w:pPr>
        <w:pStyle w:val="COMPara"/>
        <w:ind w:left="567" w:hanging="567"/>
        <w:rPr>
          <w:lang w:val="fr-FR"/>
        </w:rPr>
      </w:pPr>
      <w:r w:rsidRPr="001C5F67">
        <w:rPr>
          <w:lang w:val="fr-FR"/>
        </w:rPr>
        <w:br w:type="page"/>
      </w:r>
    </w:p>
    <w:p w:rsidR="00800776" w:rsidRPr="00E52E66" w:rsidRDefault="00800776" w:rsidP="00800776">
      <w:pPr>
        <w:pStyle w:val="COMPara"/>
        <w:numPr>
          <w:ilvl w:val="0"/>
          <w:numId w:val="0"/>
        </w:numPr>
        <w:ind w:left="567"/>
        <w:rPr>
          <w:b/>
          <w:lang w:val="fr-FR"/>
        </w:rPr>
      </w:pPr>
      <w:r w:rsidRPr="00E52E66">
        <w:rPr>
          <w:b/>
          <w:lang w:val="fr-FR"/>
        </w:rPr>
        <w:lastRenderedPageBreak/>
        <w:t>Contexte</w:t>
      </w:r>
    </w:p>
    <w:p w:rsidR="00E37AF9" w:rsidRPr="001C5F67" w:rsidRDefault="008D1BA5" w:rsidP="00B1584B">
      <w:pPr>
        <w:pStyle w:val="COMPara"/>
        <w:numPr>
          <w:ilvl w:val="0"/>
          <w:numId w:val="22"/>
        </w:numPr>
        <w:spacing w:before="0"/>
        <w:ind w:left="567" w:hanging="567"/>
        <w:rPr>
          <w:lang w:val="fr-FR"/>
        </w:rPr>
      </w:pPr>
      <w:r w:rsidRPr="001C5F67">
        <w:rPr>
          <w:lang w:val="fr-FR"/>
        </w:rPr>
        <w:t>À l</w:t>
      </w:r>
      <w:r w:rsidR="00460927">
        <w:rPr>
          <w:lang w:val="fr-FR"/>
        </w:rPr>
        <w:t>’</w:t>
      </w:r>
      <w:r w:rsidRPr="001C5F67">
        <w:rPr>
          <w:lang w:val="fr-FR"/>
        </w:rPr>
        <w:t xml:space="preserve">occasion de </w:t>
      </w:r>
      <w:r w:rsidR="004570E8">
        <w:rPr>
          <w:lang w:val="fr-FR"/>
        </w:rPr>
        <w:t>l</w:t>
      </w:r>
      <w:r w:rsidRPr="001C5F67">
        <w:rPr>
          <w:lang w:val="fr-FR"/>
        </w:rPr>
        <w:t xml:space="preserve">a dixième session en novembre/décembre 2015, le </w:t>
      </w:r>
      <w:r w:rsidR="000C6C11" w:rsidRPr="001C5F67">
        <w:rPr>
          <w:lang w:val="fr-FR"/>
        </w:rPr>
        <w:t xml:space="preserve">Secrétariat </w:t>
      </w:r>
      <w:r w:rsidRPr="001C5F67">
        <w:rPr>
          <w:lang w:val="fr-FR"/>
        </w:rPr>
        <w:t>a informé</w:t>
      </w:r>
      <w:r w:rsidR="000C6C11" w:rsidRPr="001C5F67">
        <w:rPr>
          <w:lang w:val="fr-FR"/>
        </w:rPr>
        <w:t xml:space="preserve"> le Comité</w:t>
      </w:r>
      <w:r w:rsidRPr="001C5F67">
        <w:rPr>
          <w:lang w:val="fr-FR"/>
        </w:rPr>
        <w:t xml:space="preserve"> de la demande du Viet Nam de transférer l</w:t>
      </w:r>
      <w:r w:rsidR="00460927">
        <w:rPr>
          <w:lang w:val="fr-FR"/>
        </w:rPr>
        <w:t>’</w:t>
      </w:r>
      <w:r w:rsidRPr="001C5F67">
        <w:rPr>
          <w:lang w:val="fr-FR"/>
        </w:rPr>
        <w:t>élément « Le chant Xoan de la Province de Phú Thọ (Viet Nam) » de la Liste du patrimoine culturel immatériel nécessitant une sauvegarde urgente (</w:t>
      </w:r>
      <w:r w:rsidR="000C6C11" w:rsidRPr="001C5F67">
        <w:rPr>
          <w:lang w:val="fr-FR"/>
        </w:rPr>
        <w:t>ci-après la « </w:t>
      </w:r>
      <w:r w:rsidRPr="001C5F67">
        <w:rPr>
          <w:lang w:val="fr-FR"/>
        </w:rPr>
        <w:t>Liste de sauvegarde urgente</w:t>
      </w:r>
      <w:r w:rsidR="000C6C11" w:rsidRPr="001C5F67">
        <w:rPr>
          <w:lang w:val="fr-FR"/>
        </w:rPr>
        <w:t> »</w:t>
      </w:r>
      <w:r w:rsidRPr="001C5F67">
        <w:rPr>
          <w:lang w:val="fr-FR"/>
        </w:rPr>
        <w:t>) à la Liste représentative du patrimoine culturel immatériel de l</w:t>
      </w:r>
      <w:r w:rsidR="00460927">
        <w:rPr>
          <w:lang w:val="fr-FR"/>
        </w:rPr>
        <w:t>’</w:t>
      </w:r>
      <w:r w:rsidRPr="001C5F67">
        <w:rPr>
          <w:lang w:val="fr-FR"/>
        </w:rPr>
        <w:t>humanité (</w:t>
      </w:r>
      <w:r w:rsidR="000C6C11" w:rsidRPr="001C5F67">
        <w:rPr>
          <w:lang w:val="fr-FR"/>
        </w:rPr>
        <w:t>ci-après la « </w:t>
      </w:r>
      <w:r w:rsidRPr="001C5F67">
        <w:rPr>
          <w:lang w:val="fr-FR"/>
        </w:rPr>
        <w:t>Liste représentative</w:t>
      </w:r>
      <w:r w:rsidR="000C6C11" w:rsidRPr="001C5F67">
        <w:rPr>
          <w:lang w:val="fr-FR"/>
        </w:rPr>
        <w:t> »</w:t>
      </w:r>
      <w:r w:rsidRPr="001C5F67">
        <w:rPr>
          <w:lang w:val="fr-FR"/>
        </w:rPr>
        <w:t>). Ayant traité cette demande à titre exceptionnel, le Comité a décidé de lancer une réflexion « afin d</w:t>
      </w:r>
      <w:r w:rsidR="00460927">
        <w:rPr>
          <w:lang w:val="fr-FR"/>
        </w:rPr>
        <w:t>’</w:t>
      </w:r>
      <w:r w:rsidRPr="001C5F67">
        <w:rPr>
          <w:lang w:val="fr-FR"/>
        </w:rPr>
        <w:t>établir des procédures claires pour le retrait d</w:t>
      </w:r>
      <w:r w:rsidR="00460927">
        <w:rPr>
          <w:lang w:val="fr-FR"/>
        </w:rPr>
        <w:t>’</w:t>
      </w:r>
      <w:r w:rsidRPr="001C5F67">
        <w:rPr>
          <w:lang w:val="fr-FR"/>
        </w:rPr>
        <w:t>un élément d</w:t>
      </w:r>
      <w:r w:rsidR="00460927">
        <w:rPr>
          <w:lang w:val="fr-FR"/>
        </w:rPr>
        <w:t>’</w:t>
      </w:r>
      <w:r w:rsidRPr="001C5F67">
        <w:rPr>
          <w:lang w:val="fr-FR"/>
        </w:rPr>
        <w:t>une liste et le transfert d</w:t>
      </w:r>
      <w:r w:rsidR="00460927">
        <w:rPr>
          <w:lang w:val="fr-FR"/>
        </w:rPr>
        <w:t>’</w:t>
      </w:r>
      <w:r w:rsidRPr="001C5F67">
        <w:rPr>
          <w:lang w:val="fr-FR"/>
        </w:rPr>
        <w:t>une liste à l</w:t>
      </w:r>
      <w:r w:rsidR="00460927">
        <w:rPr>
          <w:lang w:val="fr-FR"/>
        </w:rPr>
        <w:t>’</w:t>
      </w:r>
      <w:r w:rsidRPr="001C5F67">
        <w:rPr>
          <w:lang w:val="fr-FR"/>
        </w:rPr>
        <w:t>autre » (</w:t>
      </w:r>
      <w:hyperlink r:id="rId8">
        <w:r w:rsidR="00080467" w:rsidRPr="001C5F67">
          <w:rPr>
            <w:rStyle w:val="Hyperlink"/>
            <w:lang w:val="fr-FR"/>
          </w:rPr>
          <w:t>décision 10.COM 19</w:t>
        </w:r>
      </w:hyperlink>
      <w:r w:rsidRPr="001C5F67">
        <w:rPr>
          <w:lang w:val="fr-FR"/>
        </w:rPr>
        <w:t xml:space="preserve">). Le Comité a également considéré que les Directives opérationnelles pour la mise en œuvre de la Convention de 2003, </w:t>
      </w:r>
      <w:r w:rsidR="004570E8" w:rsidRPr="001C5F67">
        <w:rPr>
          <w:lang w:val="fr-FR"/>
        </w:rPr>
        <w:t xml:space="preserve">qui </w:t>
      </w:r>
      <w:r w:rsidRPr="001C5F67">
        <w:rPr>
          <w:lang w:val="fr-FR"/>
        </w:rPr>
        <w:t>abord</w:t>
      </w:r>
      <w:r w:rsidR="004570E8" w:rsidRPr="00E52E66">
        <w:rPr>
          <w:lang w:val="fr-FR"/>
        </w:rPr>
        <w:t>e</w:t>
      </w:r>
      <w:r w:rsidRPr="001C5F67">
        <w:rPr>
          <w:lang w:val="fr-FR"/>
        </w:rPr>
        <w:t>nt</w:t>
      </w:r>
      <w:r w:rsidR="004570E8">
        <w:rPr>
          <w:lang w:val="fr-FR"/>
        </w:rPr>
        <w:t xml:space="preserve"> déjà</w:t>
      </w:r>
      <w:r w:rsidRPr="001C5F67">
        <w:rPr>
          <w:lang w:val="fr-FR"/>
        </w:rPr>
        <w:t xml:space="preserve"> le transfert et le retrait d</w:t>
      </w:r>
      <w:r w:rsidR="00460927">
        <w:rPr>
          <w:lang w:val="fr-FR"/>
        </w:rPr>
        <w:t>’</w:t>
      </w:r>
      <w:r w:rsidRPr="001C5F67">
        <w:rPr>
          <w:lang w:val="fr-FR"/>
        </w:rPr>
        <w:t>éléments, devaient être révisées.</w:t>
      </w:r>
    </w:p>
    <w:p w:rsidR="005327F7" w:rsidRPr="001C5F67" w:rsidRDefault="00E37AF9" w:rsidP="00B1584B">
      <w:pPr>
        <w:pStyle w:val="COMPara"/>
        <w:numPr>
          <w:ilvl w:val="0"/>
          <w:numId w:val="0"/>
        </w:numPr>
        <w:ind w:left="567"/>
        <w:rPr>
          <w:b/>
          <w:lang w:val="fr-FR"/>
        </w:rPr>
      </w:pPr>
      <w:r w:rsidRPr="001C5F67">
        <w:rPr>
          <w:b/>
          <w:lang w:val="fr-FR"/>
        </w:rPr>
        <w:t>Dispositions du sous-chapitre I.11 des Directives opérationnelles</w:t>
      </w:r>
      <w:r w:rsidR="000C6C11" w:rsidRPr="001C5F67">
        <w:rPr>
          <w:b/>
          <w:lang w:val="fr-FR"/>
        </w:rPr>
        <w:t xml:space="preserve"> actuelles</w:t>
      </w:r>
    </w:p>
    <w:p w:rsidR="005327F7" w:rsidRPr="001C5F67" w:rsidRDefault="005327F7" w:rsidP="00AF2597">
      <w:pPr>
        <w:pStyle w:val="COMPara"/>
        <w:spacing w:before="0"/>
        <w:ind w:left="567" w:hanging="567"/>
        <w:rPr>
          <w:lang w:val="fr-FR"/>
        </w:rPr>
      </w:pPr>
      <w:r w:rsidRPr="001C5F67">
        <w:rPr>
          <w:lang w:val="fr-FR"/>
        </w:rPr>
        <w:t xml:space="preserve">Le paragraphe 38 des Directives opérationnelles, concernant le </w:t>
      </w:r>
      <w:r w:rsidRPr="001C5F67">
        <w:rPr>
          <w:b/>
          <w:lang w:val="fr-FR"/>
        </w:rPr>
        <w:t>transfert</w:t>
      </w:r>
      <w:r w:rsidRPr="001C5F67">
        <w:rPr>
          <w:lang w:val="fr-FR"/>
        </w:rPr>
        <w:t>, stipule qu</w:t>
      </w:r>
      <w:r w:rsidR="00460927">
        <w:rPr>
          <w:lang w:val="fr-FR"/>
        </w:rPr>
        <w:t>’</w:t>
      </w:r>
      <w:r w:rsidRPr="001C5F67">
        <w:rPr>
          <w:lang w:val="fr-FR"/>
        </w:rPr>
        <w:t>un élément ne peut pas être inscrit simultanément sur la Liste de sauvegarde urgente et la Liste représentative. Il précise qu</w:t>
      </w:r>
      <w:r w:rsidR="00460927">
        <w:rPr>
          <w:lang w:val="fr-FR"/>
        </w:rPr>
        <w:t>’</w:t>
      </w:r>
      <w:r w:rsidRPr="001C5F67">
        <w:rPr>
          <w:lang w:val="fr-FR"/>
        </w:rPr>
        <w:t>un État partie peut demander qu</w:t>
      </w:r>
      <w:r w:rsidR="00460927">
        <w:rPr>
          <w:lang w:val="fr-FR"/>
        </w:rPr>
        <w:t>’</w:t>
      </w:r>
      <w:r w:rsidRPr="001C5F67">
        <w:rPr>
          <w:lang w:val="fr-FR"/>
        </w:rPr>
        <w:t>un « élément soit transféré d</w:t>
      </w:r>
      <w:r w:rsidR="00460927">
        <w:rPr>
          <w:lang w:val="fr-FR"/>
        </w:rPr>
        <w:t>’</w:t>
      </w:r>
      <w:r w:rsidRPr="001C5F67">
        <w:rPr>
          <w:lang w:val="fr-FR"/>
        </w:rPr>
        <w:t>une liste à l</w:t>
      </w:r>
      <w:r w:rsidR="00460927">
        <w:rPr>
          <w:lang w:val="fr-FR"/>
        </w:rPr>
        <w:t>’</w:t>
      </w:r>
      <w:r w:rsidRPr="001C5F67">
        <w:rPr>
          <w:lang w:val="fr-FR"/>
        </w:rPr>
        <w:t>autre » et qu</w:t>
      </w:r>
      <w:r w:rsidR="00460927">
        <w:rPr>
          <w:lang w:val="fr-FR"/>
        </w:rPr>
        <w:t>’</w:t>
      </w:r>
      <w:r w:rsidRPr="001C5F67">
        <w:rPr>
          <w:lang w:val="fr-FR"/>
        </w:rPr>
        <w:t>une « telle demande doit prouver que l</w:t>
      </w:r>
      <w:r w:rsidR="00460927">
        <w:rPr>
          <w:lang w:val="fr-FR"/>
        </w:rPr>
        <w:t>’</w:t>
      </w:r>
      <w:r w:rsidRPr="001C5F67">
        <w:rPr>
          <w:lang w:val="fr-FR"/>
        </w:rPr>
        <w:t xml:space="preserve">élément satisfait à tous les critères de la liste dans laquelle le transfert est demandé ». </w:t>
      </w:r>
      <w:r w:rsidR="000C6C11" w:rsidRPr="001C5F67">
        <w:rPr>
          <w:lang w:val="fr-FR"/>
        </w:rPr>
        <w:t>Il est prévu qu</w:t>
      </w:r>
      <w:r w:rsidR="00460927">
        <w:rPr>
          <w:lang w:val="fr-FR"/>
        </w:rPr>
        <w:t>’</w:t>
      </w:r>
      <w:r w:rsidR="000C6C11" w:rsidRPr="001C5F67">
        <w:rPr>
          <w:lang w:val="fr-FR"/>
        </w:rPr>
        <w:t>une telle demande soit</w:t>
      </w:r>
      <w:r w:rsidRPr="001C5F67">
        <w:rPr>
          <w:lang w:val="fr-FR"/>
        </w:rPr>
        <w:t xml:space="preserve"> « soumise selon les procédures et les délais établis pour les candidatures ».</w:t>
      </w:r>
    </w:p>
    <w:p w:rsidR="005327F7" w:rsidRPr="001C5F67" w:rsidRDefault="005327F7" w:rsidP="00AF2597">
      <w:pPr>
        <w:pStyle w:val="COMPara"/>
        <w:spacing w:before="0"/>
        <w:ind w:left="567" w:hanging="567"/>
        <w:rPr>
          <w:lang w:val="fr-FR"/>
        </w:rPr>
      </w:pPr>
      <w:r w:rsidRPr="001C5F67">
        <w:rPr>
          <w:lang w:val="fr-FR"/>
        </w:rPr>
        <w:t>S</w:t>
      </w:r>
      <w:r w:rsidR="00460927">
        <w:rPr>
          <w:lang w:val="fr-FR"/>
        </w:rPr>
        <w:t>’</w:t>
      </w:r>
      <w:r w:rsidRPr="001C5F67">
        <w:rPr>
          <w:lang w:val="fr-FR"/>
        </w:rPr>
        <w:t xml:space="preserve">agissant du </w:t>
      </w:r>
      <w:r w:rsidRPr="001C5F67">
        <w:rPr>
          <w:b/>
          <w:lang w:val="fr-FR"/>
        </w:rPr>
        <w:t>retrait</w:t>
      </w:r>
      <w:r w:rsidRPr="001C5F67">
        <w:rPr>
          <w:lang w:val="fr-FR"/>
        </w:rPr>
        <w:t xml:space="preserve"> d</w:t>
      </w:r>
      <w:r w:rsidR="00460927">
        <w:rPr>
          <w:lang w:val="fr-FR"/>
        </w:rPr>
        <w:t>’</w:t>
      </w:r>
      <w:r w:rsidRPr="001C5F67">
        <w:rPr>
          <w:lang w:val="fr-FR"/>
        </w:rPr>
        <w:t>un élément d</w:t>
      </w:r>
      <w:r w:rsidR="00460927">
        <w:rPr>
          <w:lang w:val="fr-FR"/>
        </w:rPr>
        <w:t>’</w:t>
      </w:r>
      <w:r w:rsidRPr="001C5F67">
        <w:rPr>
          <w:lang w:val="fr-FR"/>
        </w:rPr>
        <w:t xml:space="preserve">une </w:t>
      </w:r>
      <w:r w:rsidR="000C6C11" w:rsidRPr="001C5F67">
        <w:rPr>
          <w:lang w:val="fr-FR"/>
        </w:rPr>
        <w:t>l</w:t>
      </w:r>
      <w:r w:rsidRPr="001C5F67">
        <w:rPr>
          <w:lang w:val="fr-FR"/>
        </w:rPr>
        <w:t>iste, deux paragraphes sont inclus dans les Directives opérationnelles : le paragraphe 39 stipulant qu</w:t>
      </w:r>
      <w:r w:rsidR="00460927">
        <w:rPr>
          <w:lang w:val="fr-FR"/>
        </w:rPr>
        <w:t>’</w:t>
      </w:r>
      <w:r w:rsidRPr="001C5F67">
        <w:rPr>
          <w:lang w:val="fr-FR"/>
        </w:rPr>
        <w:t xml:space="preserve">un « élément est retiré de la </w:t>
      </w:r>
      <w:r w:rsidR="000C6C11" w:rsidRPr="001C5F67">
        <w:rPr>
          <w:lang w:val="fr-FR"/>
        </w:rPr>
        <w:t>[</w:t>
      </w:r>
      <w:r w:rsidRPr="001C5F67">
        <w:rPr>
          <w:lang w:val="fr-FR"/>
        </w:rPr>
        <w:t>Liste de sauvegarde urgente</w:t>
      </w:r>
      <w:r w:rsidR="000C6C11" w:rsidRPr="001C5F67">
        <w:rPr>
          <w:lang w:val="fr-FR"/>
        </w:rPr>
        <w:t>]</w:t>
      </w:r>
      <w:r w:rsidRPr="001C5F67">
        <w:rPr>
          <w:lang w:val="fr-FR"/>
        </w:rPr>
        <w:t xml:space="preserve"> par le Comité lorsqu</w:t>
      </w:r>
      <w:r w:rsidR="00460927">
        <w:rPr>
          <w:lang w:val="fr-FR"/>
        </w:rPr>
        <w:t>’</w:t>
      </w:r>
      <w:r w:rsidRPr="001C5F67">
        <w:rPr>
          <w:lang w:val="fr-FR"/>
        </w:rPr>
        <w:t>il estime, après analyse de la mise en œuvre du plan de sauvegarde, que cet élément ne remplit plus un ou plusieurs des critères d</w:t>
      </w:r>
      <w:r w:rsidR="00460927">
        <w:rPr>
          <w:lang w:val="fr-FR"/>
        </w:rPr>
        <w:t>’</w:t>
      </w:r>
      <w:r w:rsidRPr="001C5F67">
        <w:rPr>
          <w:lang w:val="fr-FR"/>
        </w:rPr>
        <w:t xml:space="preserve">inscription sur cette liste » et le paragraphe 40 </w:t>
      </w:r>
      <w:r w:rsidR="00143FD4" w:rsidRPr="001C5F67">
        <w:rPr>
          <w:lang w:val="fr-FR"/>
        </w:rPr>
        <w:t xml:space="preserve">prévoyant </w:t>
      </w:r>
      <w:r w:rsidRPr="001C5F67">
        <w:rPr>
          <w:lang w:val="fr-FR"/>
        </w:rPr>
        <w:t>qu</w:t>
      </w:r>
      <w:r w:rsidR="00460927">
        <w:rPr>
          <w:lang w:val="fr-FR"/>
        </w:rPr>
        <w:t>’</w:t>
      </w:r>
      <w:r w:rsidRPr="001C5F67">
        <w:rPr>
          <w:lang w:val="fr-FR"/>
        </w:rPr>
        <w:t xml:space="preserve">un « élément est retiré de la </w:t>
      </w:r>
      <w:r w:rsidR="000C6C11" w:rsidRPr="001C5F67">
        <w:rPr>
          <w:lang w:val="fr-FR"/>
        </w:rPr>
        <w:t>[</w:t>
      </w:r>
      <w:r w:rsidRPr="001C5F67">
        <w:rPr>
          <w:lang w:val="fr-FR"/>
        </w:rPr>
        <w:t>Liste représentative</w:t>
      </w:r>
      <w:r w:rsidR="000C6C11" w:rsidRPr="001C5F67">
        <w:rPr>
          <w:lang w:val="fr-FR"/>
        </w:rPr>
        <w:t>]</w:t>
      </w:r>
      <w:r w:rsidRPr="001C5F67">
        <w:rPr>
          <w:lang w:val="fr-FR"/>
        </w:rPr>
        <w:t xml:space="preserve"> par le Comité lorsqu</w:t>
      </w:r>
      <w:r w:rsidR="00460927">
        <w:rPr>
          <w:lang w:val="fr-FR"/>
        </w:rPr>
        <w:t>’</w:t>
      </w:r>
      <w:r w:rsidRPr="001C5F67">
        <w:rPr>
          <w:lang w:val="fr-FR"/>
        </w:rPr>
        <w:t>il estime qu</w:t>
      </w:r>
      <w:r w:rsidR="00460927">
        <w:rPr>
          <w:lang w:val="fr-FR"/>
        </w:rPr>
        <w:t>’</w:t>
      </w:r>
      <w:r w:rsidRPr="001C5F67">
        <w:rPr>
          <w:lang w:val="fr-FR"/>
        </w:rPr>
        <w:t>il ne remplit plus un ou plusieurs des critères d</w:t>
      </w:r>
      <w:r w:rsidR="00460927">
        <w:rPr>
          <w:lang w:val="fr-FR"/>
        </w:rPr>
        <w:t>’</w:t>
      </w:r>
      <w:r w:rsidRPr="001C5F67">
        <w:rPr>
          <w:lang w:val="fr-FR"/>
        </w:rPr>
        <w:t>inscription sur cette liste ».</w:t>
      </w:r>
    </w:p>
    <w:p w:rsidR="00813DC9" w:rsidRPr="001C5F67" w:rsidRDefault="00813DC9" w:rsidP="00B1584B">
      <w:pPr>
        <w:pStyle w:val="COMPara"/>
        <w:numPr>
          <w:ilvl w:val="0"/>
          <w:numId w:val="0"/>
        </w:numPr>
        <w:ind w:left="567"/>
        <w:rPr>
          <w:b/>
          <w:lang w:val="fr-FR"/>
        </w:rPr>
      </w:pPr>
      <w:r w:rsidRPr="001C5F67">
        <w:rPr>
          <w:b/>
          <w:lang w:val="fr-FR"/>
        </w:rPr>
        <w:t>Transfert et retrait : procédures associées ou distinctes ?</w:t>
      </w:r>
    </w:p>
    <w:p w:rsidR="00D7398E" w:rsidRPr="001C5F67" w:rsidRDefault="00BE7842" w:rsidP="00AF2597">
      <w:pPr>
        <w:pStyle w:val="COMPara"/>
        <w:spacing w:before="0"/>
        <w:ind w:left="567" w:hanging="567"/>
        <w:rPr>
          <w:lang w:val="fr-FR"/>
        </w:rPr>
      </w:pPr>
      <w:r w:rsidRPr="001C5F67">
        <w:rPr>
          <w:lang w:val="fr-FR"/>
        </w:rPr>
        <w:t>L</w:t>
      </w:r>
      <w:r w:rsidR="00460927">
        <w:rPr>
          <w:lang w:val="fr-FR"/>
        </w:rPr>
        <w:t>’</w:t>
      </w:r>
      <w:r w:rsidRPr="001C5F67">
        <w:rPr>
          <w:lang w:val="fr-FR"/>
        </w:rPr>
        <w:t xml:space="preserve">un des principaux sujets de réflexion concerne le lien entre transfert et retrait. Deux options sont </w:t>
      </w:r>
      <w:r w:rsidR="00143FD4" w:rsidRPr="001C5F67">
        <w:rPr>
          <w:lang w:val="fr-FR"/>
        </w:rPr>
        <w:t xml:space="preserve">apparemment </w:t>
      </w:r>
      <w:r w:rsidRPr="001C5F67">
        <w:rPr>
          <w:lang w:val="fr-FR"/>
        </w:rPr>
        <w:t>possibles : un retrait est nécessaire avant</w:t>
      </w:r>
      <w:r w:rsidR="00A171B9">
        <w:rPr>
          <w:lang w:val="fr-FR"/>
        </w:rPr>
        <w:t xml:space="preserve"> un</w:t>
      </w:r>
      <w:r w:rsidRPr="001C5F67">
        <w:rPr>
          <w:lang w:val="fr-FR"/>
        </w:rPr>
        <w:t xml:space="preserve"> transfert ou le transfert fait l</w:t>
      </w:r>
      <w:r w:rsidR="00460927">
        <w:rPr>
          <w:lang w:val="fr-FR"/>
        </w:rPr>
        <w:t>’</w:t>
      </w:r>
      <w:r w:rsidRPr="001C5F67">
        <w:rPr>
          <w:lang w:val="fr-FR"/>
        </w:rPr>
        <w:t>objet d</w:t>
      </w:r>
      <w:r w:rsidR="00460927">
        <w:rPr>
          <w:lang w:val="fr-FR"/>
        </w:rPr>
        <w:t>’</w:t>
      </w:r>
      <w:r w:rsidRPr="001C5F67">
        <w:rPr>
          <w:lang w:val="fr-FR"/>
        </w:rPr>
        <w:t>une procédure distincte.</w:t>
      </w:r>
    </w:p>
    <w:p w:rsidR="00280552" w:rsidRPr="001C5F67" w:rsidRDefault="00280552" w:rsidP="00AF2597">
      <w:pPr>
        <w:pStyle w:val="COMPara"/>
        <w:spacing w:before="0"/>
        <w:ind w:left="567" w:hanging="567"/>
        <w:rPr>
          <w:lang w:val="fr-FR"/>
        </w:rPr>
      </w:pPr>
      <w:r w:rsidRPr="001C5F67">
        <w:rPr>
          <w:lang w:val="fr-FR"/>
        </w:rPr>
        <w:t xml:space="preserve">Dans sa </w:t>
      </w:r>
      <w:hyperlink r:id="rId9">
        <w:r w:rsidR="00080467" w:rsidRPr="001C5F67">
          <w:rPr>
            <w:rStyle w:val="Hyperlink"/>
            <w:lang w:val="fr-FR"/>
          </w:rPr>
          <w:t>décision 10.COM 19</w:t>
        </w:r>
      </w:hyperlink>
      <w:r w:rsidRPr="001C5F67">
        <w:rPr>
          <w:lang w:val="fr-FR"/>
        </w:rPr>
        <w:t>, le Comité a décidé, à titre exceptionnel, que, si le Viet Nam soumettait à la date limite du 31 mars 2016 son rapport sur l</w:t>
      </w:r>
      <w:r w:rsidR="00460927">
        <w:rPr>
          <w:lang w:val="fr-FR"/>
        </w:rPr>
        <w:t>’</w:t>
      </w:r>
      <w:r w:rsidRPr="001C5F67">
        <w:rPr>
          <w:lang w:val="fr-FR"/>
        </w:rPr>
        <w:t>état de l</w:t>
      </w:r>
      <w:r w:rsidR="00460927">
        <w:rPr>
          <w:lang w:val="fr-FR"/>
        </w:rPr>
        <w:t>’</w:t>
      </w:r>
      <w:r w:rsidRPr="001C5F67">
        <w:rPr>
          <w:lang w:val="fr-FR"/>
        </w:rPr>
        <w:t>élément « Le chant Xoan de la Province de Phú Thọ (Viet Nam) », inscrit sur la Liste de sauvegarde urgente en 2011, ainsi qu</w:t>
      </w:r>
      <w:r w:rsidR="00460927">
        <w:rPr>
          <w:lang w:val="fr-FR"/>
        </w:rPr>
        <w:t>’</w:t>
      </w:r>
      <w:r w:rsidRPr="001C5F67">
        <w:rPr>
          <w:lang w:val="fr-FR"/>
        </w:rPr>
        <w:t>une nouvelle candidature du même élément pour la Liste représentative, le Comité les examinerait de manière concomitante lors de sa douzième session en 2017 pour prendre une décision sur le transfert demandé. Le Comité a également décidé de n</w:t>
      </w:r>
      <w:r w:rsidR="00460927">
        <w:rPr>
          <w:lang w:val="fr-FR"/>
        </w:rPr>
        <w:t>’</w:t>
      </w:r>
      <w:r w:rsidRPr="001C5F67">
        <w:rPr>
          <w:lang w:val="fr-FR"/>
        </w:rPr>
        <w:t>examiner la candidature sur la Liste représentative en 2017 que s</w:t>
      </w:r>
      <w:r w:rsidR="00460927">
        <w:rPr>
          <w:lang w:val="fr-FR"/>
        </w:rPr>
        <w:t>’</w:t>
      </w:r>
      <w:r w:rsidRPr="001C5F67">
        <w:rPr>
          <w:lang w:val="fr-FR"/>
        </w:rPr>
        <w:t>il décidait préalablement, au vu du rapport, de retirer l</w:t>
      </w:r>
      <w:r w:rsidR="00460927">
        <w:rPr>
          <w:lang w:val="fr-FR"/>
        </w:rPr>
        <w:t>’</w:t>
      </w:r>
      <w:r w:rsidRPr="001C5F67">
        <w:rPr>
          <w:lang w:val="fr-FR"/>
        </w:rPr>
        <w:t>élément de la Liste de sauvegarde urgente. Le Comité a ainsi considéré qu</w:t>
      </w:r>
      <w:r w:rsidR="00460927">
        <w:rPr>
          <w:lang w:val="fr-FR"/>
        </w:rPr>
        <w:t>’</w:t>
      </w:r>
      <w:r w:rsidRPr="001C5F67">
        <w:rPr>
          <w:lang w:val="fr-FR"/>
        </w:rPr>
        <w:t>en l</w:t>
      </w:r>
      <w:r w:rsidR="00460927">
        <w:rPr>
          <w:lang w:val="fr-FR"/>
        </w:rPr>
        <w:t>’</w:t>
      </w:r>
      <w:r w:rsidRPr="001C5F67">
        <w:rPr>
          <w:lang w:val="fr-FR"/>
        </w:rPr>
        <w:t>absence de procédure définie, le transfert n</w:t>
      </w:r>
      <w:r w:rsidR="00460927">
        <w:rPr>
          <w:lang w:val="fr-FR"/>
        </w:rPr>
        <w:t>’</w:t>
      </w:r>
      <w:r w:rsidRPr="001C5F67">
        <w:rPr>
          <w:lang w:val="fr-FR"/>
        </w:rPr>
        <w:t>était pas possible sans retrait préalable de l</w:t>
      </w:r>
      <w:r w:rsidR="00460927">
        <w:rPr>
          <w:lang w:val="fr-FR"/>
        </w:rPr>
        <w:t>’</w:t>
      </w:r>
      <w:r w:rsidRPr="001C5F67">
        <w:rPr>
          <w:lang w:val="fr-FR"/>
        </w:rPr>
        <w:t>élément de la liste d</w:t>
      </w:r>
      <w:r w:rsidR="00460927">
        <w:rPr>
          <w:lang w:val="fr-FR"/>
        </w:rPr>
        <w:t>’</w:t>
      </w:r>
      <w:r w:rsidRPr="001C5F67">
        <w:rPr>
          <w:lang w:val="fr-FR"/>
        </w:rPr>
        <w:t>origine. Il est également possible qu</w:t>
      </w:r>
      <w:r w:rsidR="00460927">
        <w:rPr>
          <w:lang w:val="fr-FR"/>
        </w:rPr>
        <w:t>’</w:t>
      </w:r>
      <w:r w:rsidRPr="001C5F67">
        <w:rPr>
          <w:lang w:val="fr-FR"/>
        </w:rPr>
        <w:t>après avoir retiré l</w:t>
      </w:r>
      <w:r w:rsidR="00460927">
        <w:rPr>
          <w:lang w:val="fr-FR"/>
        </w:rPr>
        <w:t>’</w:t>
      </w:r>
      <w:r w:rsidRPr="001C5F67">
        <w:rPr>
          <w:lang w:val="fr-FR"/>
        </w:rPr>
        <w:t>élément d</w:t>
      </w:r>
      <w:r w:rsidR="00460927">
        <w:rPr>
          <w:lang w:val="fr-FR"/>
        </w:rPr>
        <w:t>’</w:t>
      </w:r>
      <w:r w:rsidRPr="001C5F67">
        <w:rPr>
          <w:lang w:val="fr-FR"/>
        </w:rPr>
        <w:t xml:space="preserve">une liste, le Comité décide </w:t>
      </w:r>
      <w:r w:rsidR="00143FD4" w:rsidRPr="001C5F67">
        <w:rPr>
          <w:lang w:val="fr-FR"/>
        </w:rPr>
        <w:t>de ne pas l</w:t>
      </w:r>
      <w:r w:rsidR="00460927">
        <w:rPr>
          <w:lang w:val="fr-FR"/>
        </w:rPr>
        <w:t>’</w:t>
      </w:r>
      <w:r w:rsidR="00143FD4" w:rsidRPr="001C5F67">
        <w:rPr>
          <w:lang w:val="fr-FR"/>
        </w:rPr>
        <w:t>inscrire sur l</w:t>
      </w:r>
      <w:r w:rsidR="00460927">
        <w:rPr>
          <w:lang w:val="fr-FR"/>
        </w:rPr>
        <w:t>’</w:t>
      </w:r>
      <w:r w:rsidR="00143FD4" w:rsidRPr="001C5F67">
        <w:rPr>
          <w:lang w:val="fr-FR"/>
        </w:rPr>
        <w:t xml:space="preserve">autre liste si </w:t>
      </w:r>
      <w:r w:rsidRPr="001C5F67">
        <w:rPr>
          <w:lang w:val="fr-FR"/>
        </w:rPr>
        <w:t>ledit élément ne respecte pas tous les critères d</w:t>
      </w:r>
      <w:r w:rsidR="00460927">
        <w:rPr>
          <w:lang w:val="fr-FR"/>
        </w:rPr>
        <w:t>’</w:t>
      </w:r>
      <w:r w:rsidRPr="001C5F67">
        <w:rPr>
          <w:lang w:val="fr-FR"/>
        </w:rPr>
        <w:t xml:space="preserve">inscription </w:t>
      </w:r>
      <w:r w:rsidR="00143FD4" w:rsidRPr="001C5F67">
        <w:rPr>
          <w:lang w:val="fr-FR"/>
        </w:rPr>
        <w:t xml:space="preserve">de cette </w:t>
      </w:r>
      <w:r w:rsidRPr="001C5F67">
        <w:rPr>
          <w:lang w:val="fr-FR"/>
        </w:rPr>
        <w:t>autre liste</w:t>
      </w:r>
      <w:r w:rsidR="00143FD4" w:rsidRPr="001C5F67">
        <w:rPr>
          <w:lang w:val="fr-FR"/>
        </w:rPr>
        <w:t>,</w:t>
      </w:r>
      <w:r w:rsidRPr="001C5F67">
        <w:rPr>
          <w:lang w:val="fr-FR"/>
        </w:rPr>
        <w:t xml:space="preserve"> auquel cas l</w:t>
      </w:r>
      <w:r w:rsidR="00460927">
        <w:rPr>
          <w:lang w:val="fr-FR"/>
        </w:rPr>
        <w:t>’</w:t>
      </w:r>
      <w:r w:rsidRPr="001C5F67">
        <w:rPr>
          <w:lang w:val="fr-FR"/>
        </w:rPr>
        <w:t xml:space="preserve">élément ne serait plus inscrit sur aucune </w:t>
      </w:r>
      <w:r w:rsidR="00143FD4" w:rsidRPr="001C5F67">
        <w:rPr>
          <w:lang w:val="fr-FR"/>
        </w:rPr>
        <w:t>l</w:t>
      </w:r>
      <w:r w:rsidRPr="001C5F67">
        <w:rPr>
          <w:lang w:val="fr-FR"/>
        </w:rPr>
        <w:t>iste.</w:t>
      </w:r>
    </w:p>
    <w:p w:rsidR="00590306" w:rsidRPr="00E52E66" w:rsidRDefault="005749EC" w:rsidP="00AF2597">
      <w:pPr>
        <w:pStyle w:val="COMPara"/>
        <w:spacing w:before="0"/>
        <w:ind w:left="567" w:hanging="567"/>
        <w:rPr>
          <w:lang w:val="fr-FR"/>
        </w:rPr>
      </w:pPr>
      <w:r w:rsidRPr="001C5F67">
        <w:rPr>
          <w:lang w:val="fr-FR"/>
        </w:rPr>
        <w:t>Le sous-chapitre I.11 des Directives opérationnelles peut aussi s</w:t>
      </w:r>
      <w:r w:rsidR="00460927">
        <w:rPr>
          <w:lang w:val="fr-FR"/>
        </w:rPr>
        <w:t>’</w:t>
      </w:r>
      <w:r w:rsidRPr="001C5F67">
        <w:rPr>
          <w:lang w:val="fr-FR"/>
        </w:rPr>
        <w:t xml:space="preserve">interpréter différemment, en </w:t>
      </w:r>
      <w:r w:rsidR="00C46D85" w:rsidRPr="001C5F67">
        <w:rPr>
          <w:lang w:val="fr-FR"/>
        </w:rPr>
        <w:t xml:space="preserve">considérant que </w:t>
      </w:r>
      <w:r w:rsidRPr="001C5F67">
        <w:rPr>
          <w:lang w:val="fr-FR"/>
        </w:rPr>
        <w:t>les deux procédures de transfert et de retrait</w:t>
      </w:r>
      <w:r w:rsidR="00C46D85" w:rsidRPr="001C5F67">
        <w:rPr>
          <w:lang w:val="fr-FR"/>
        </w:rPr>
        <w:t xml:space="preserve"> ne sont pas nécessairement liées</w:t>
      </w:r>
      <w:r w:rsidRPr="001C5F67">
        <w:rPr>
          <w:lang w:val="fr-FR"/>
        </w:rPr>
        <w:t xml:space="preserve">. </w:t>
      </w:r>
      <w:r w:rsidR="00C46D85" w:rsidRPr="001C5F67">
        <w:rPr>
          <w:lang w:val="fr-FR"/>
        </w:rPr>
        <w:t>Suivant cette approche, l</w:t>
      </w:r>
      <w:r w:rsidRPr="001C5F67">
        <w:rPr>
          <w:lang w:val="fr-FR"/>
        </w:rPr>
        <w:t>e paragraphe 38 pourrait alors s</w:t>
      </w:r>
      <w:r w:rsidR="00460927">
        <w:rPr>
          <w:lang w:val="fr-FR"/>
        </w:rPr>
        <w:t>’</w:t>
      </w:r>
      <w:r w:rsidRPr="001C5F67">
        <w:rPr>
          <w:lang w:val="fr-FR"/>
        </w:rPr>
        <w:t>appliquer en tant que tel</w:t>
      </w:r>
      <w:r w:rsidR="004570E8" w:rsidRPr="001C5F67">
        <w:rPr>
          <w:lang w:val="fr-FR"/>
        </w:rPr>
        <w:t> :</w:t>
      </w:r>
      <w:r w:rsidRPr="001C5F67">
        <w:rPr>
          <w:lang w:val="fr-FR"/>
        </w:rPr>
        <w:t xml:space="preserve"> le transfert </w:t>
      </w:r>
      <w:r w:rsidR="004570E8" w:rsidRPr="00E52E66">
        <w:rPr>
          <w:lang w:val="fr-FR"/>
        </w:rPr>
        <w:t>à l</w:t>
      </w:r>
      <w:r w:rsidR="00460927">
        <w:rPr>
          <w:lang w:val="fr-FR"/>
        </w:rPr>
        <w:t>’</w:t>
      </w:r>
      <w:r w:rsidR="004570E8" w:rsidRPr="00E52E66">
        <w:rPr>
          <w:lang w:val="fr-FR"/>
        </w:rPr>
        <w:t xml:space="preserve">« autre liste » pourrait être effectué </w:t>
      </w:r>
      <w:r w:rsidRPr="001C5F67">
        <w:rPr>
          <w:lang w:val="fr-FR"/>
        </w:rPr>
        <w:t xml:space="preserve">après </w:t>
      </w:r>
      <w:r w:rsidR="004570E8" w:rsidRPr="00E52E66">
        <w:rPr>
          <w:lang w:val="fr-FR"/>
        </w:rPr>
        <w:t>examen par le Comité de</w:t>
      </w:r>
      <w:r w:rsidRPr="001C5F67">
        <w:rPr>
          <w:lang w:val="fr-FR"/>
        </w:rPr>
        <w:t xml:space="preserve"> la candidature d</w:t>
      </w:r>
      <w:r w:rsidR="00460927">
        <w:rPr>
          <w:lang w:val="fr-FR"/>
        </w:rPr>
        <w:t>’</w:t>
      </w:r>
      <w:r w:rsidRPr="001C5F67">
        <w:rPr>
          <w:lang w:val="fr-FR"/>
        </w:rPr>
        <w:t>un élément déjà inscrit. Si la candidature remplit tous les critères de l</w:t>
      </w:r>
      <w:r w:rsidR="00460927">
        <w:rPr>
          <w:lang w:val="fr-FR"/>
        </w:rPr>
        <w:t>’</w:t>
      </w:r>
      <w:r w:rsidRPr="001C5F67">
        <w:rPr>
          <w:lang w:val="fr-FR"/>
        </w:rPr>
        <w:t xml:space="preserve">autre </w:t>
      </w:r>
      <w:r w:rsidR="00C46D85" w:rsidRPr="001C5F67">
        <w:rPr>
          <w:lang w:val="fr-FR"/>
        </w:rPr>
        <w:t>liste</w:t>
      </w:r>
      <w:r w:rsidRPr="001C5F67">
        <w:rPr>
          <w:lang w:val="fr-FR"/>
        </w:rPr>
        <w:t>, le Comité peut décider de transférer l</w:t>
      </w:r>
      <w:r w:rsidR="00460927">
        <w:rPr>
          <w:lang w:val="fr-FR"/>
        </w:rPr>
        <w:t>’</w:t>
      </w:r>
      <w:r w:rsidRPr="001C5F67">
        <w:rPr>
          <w:lang w:val="fr-FR"/>
        </w:rPr>
        <w:t>élément sur l</w:t>
      </w:r>
      <w:r w:rsidR="00460927">
        <w:rPr>
          <w:lang w:val="fr-FR"/>
        </w:rPr>
        <w:t>’</w:t>
      </w:r>
      <w:r w:rsidRPr="001C5F67">
        <w:rPr>
          <w:lang w:val="fr-FR"/>
        </w:rPr>
        <w:t>autre liste sans retrait préalable de l</w:t>
      </w:r>
      <w:r w:rsidR="00460927">
        <w:rPr>
          <w:lang w:val="fr-FR"/>
        </w:rPr>
        <w:t>’</w:t>
      </w:r>
      <w:r w:rsidRPr="001C5F67">
        <w:rPr>
          <w:lang w:val="fr-FR"/>
        </w:rPr>
        <w:t>élément de la liste d</w:t>
      </w:r>
      <w:r w:rsidR="00460927">
        <w:rPr>
          <w:lang w:val="fr-FR"/>
        </w:rPr>
        <w:t>’</w:t>
      </w:r>
      <w:r w:rsidRPr="001C5F67">
        <w:rPr>
          <w:lang w:val="fr-FR"/>
        </w:rPr>
        <w:t>origine. Le transfert implique alors le retrait de l</w:t>
      </w:r>
      <w:r w:rsidR="00460927">
        <w:rPr>
          <w:lang w:val="fr-FR"/>
        </w:rPr>
        <w:t>’</w:t>
      </w:r>
      <w:r w:rsidRPr="001C5F67">
        <w:rPr>
          <w:lang w:val="fr-FR"/>
        </w:rPr>
        <w:t>élément de la liste d</w:t>
      </w:r>
      <w:r w:rsidR="00460927">
        <w:rPr>
          <w:lang w:val="fr-FR"/>
        </w:rPr>
        <w:t>’</w:t>
      </w:r>
      <w:r w:rsidRPr="001C5F67">
        <w:rPr>
          <w:lang w:val="fr-FR"/>
        </w:rPr>
        <w:t>origine en vertu de la première phrase du paragraphe 38 qui stipule qu</w:t>
      </w:r>
      <w:r w:rsidR="00460927">
        <w:rPr>
          <w:lang w:val="fr-FR"/>
        </w:rPr>
        <w:t>’</w:t>
      </w:r>
      <w:r w:rsidRPr="001C5F67">
        <w:rPr>
          <w:lang w:val="fr-FR"/>
        </w:rPr>
        <w:t xml:space="preserve">un élément ne peut </w:t>
      </w:r>
      <w:r w:rsidRPr="001C5F67">
        <w:rPr>
          <w:lang w:val="fr-FR"/>
        </w:rPr>
        <w:lastRenderedPageBreak/>
        <w:t xml:space="preserve">pas être inscrit simultanément sur les deux listes. </w:t>
      </w:r>
      <w:r w:rsidRPr="00E52E66">
        <w:rPr>
          <w:lang w:val="fr-FR"/>
        </w:rPr>
        <w:t>Cette procédure concerne le transfert dans les deux sens.</w:t>
      </w:r>
    </w:p>
    <w:p w:rsidR="007955CD" w:rsidRPr="001C5F67" w:rsidRDefault="00C46D85" w:rsidP="00AF2597">
      <w:pPr>
        <w:pStyle w:val="COMPara"/>
        <w:spacing w:before="0"/>
        <w:ind w:left="567" w:hanging="567"/>
        <w:rPr>
          <w:lang w:val="fr-FR"/>
        </w:rPr>
      </w:pPr>
      <w:r w:rsidRPr="001C5F67">
        <w:rPr>
          <w:lang w:val="fr-FR"/>
        </w:rPr>
        <w:t>Dans le même esprit, l</w:t>
      </w:r>
      <w:r w:rsidR="001F2D4C" w:rsidRPr="001C5F67">
        <w:rPr>
          <w:lang w:val="fr-FR"/>
        </w:rPr>
        <w:t>es paragraphes 39 (retrait de la Liste de sauvegarde urgente) et 40 (retrait de la Liste représentative) seraient alors considérés comme des procédures distinctes. Dans les deux cas, il appartient au Comité de déterminer si un élément ne satisfait plus à un ou plusieurs critères d</w:t>
      </w:r>
      <w:r w:rsidR="00460927">
        <w:rPr>
          <w:lang w:val="fr-FR"/>
        </w:rPr>
        <w:t>’</w:t>
      </w:r>
      <w:r w:rsidR="001F2D4C" w:rsidRPr="001C5F67">
        <w:rPr>
          <w:lang w:val="fr-FR"/>
        </w:rPr>
        <w:t xml:space="preserve">inscription et de le retirer de la </w:t>
      </w:r>
      <w:r w:rsidRPr="001C5F67">
        <w:rPr>
          <w:lang w:val="fr-FR"/>
        </w:rPr>
        <w:t>liste</w:t>
      </w:r>
      <w:r w:rsidR="001F2D4C" w:rsidRPr="001C5F67">
        <w:rPr>
          <w:lang w:val="fr-FR"/>
        </w:rPr>
        <w:t>. Le paragraphe 39 précise que le retrait de la Liste de sauvegarde urgente n</w:t>
      </w:r>
      <w:r w:rsidR="00460927">
        <w:rPr>
          <w:lang w:val="fr-FR"/>
        </w:rPr>
        <w:t>’</w:t>
      </w:r>
      <w:r w:rsidR="001F2D4C" w:rsidRPr="001C5F67">
        <w:rPr>
          <w:lang w:val="fr-FR"/>
        </w:rPr>
        <w:t>est possible qu</w:t>
      </w:r>
      <w:r w:rsidR="00460927">
        <w:rPr>
          <w:lang w:val="fr-FR"/>
        </w:rPr>
        <w:t>’</w:t>
      </w:r>
      <w:r w:rsidR="001F2D4C" w:rsidRPr="001C5F67">
        <w:rPr>
          <w:lang w:val="fr-FR"/>
        </w:rPr>
        <w:t>« après analyse de la mise en œuvre du plan de sauvegarde ». Le paragraphe 40 n</w:t>
      </w:r>
      <w:r w:rsidR="00460927">
        <w:rPr>
          <w:lang w:val="fr-FR"/>
        </w:rPr>
        <w:t>’</w:t>
      </w:r>
      <w:r w:rsidR="001F2D4C" w:rsidRPr="001C5F67">
        <w:rPr>
          <w:lang w:val="fr-FR"/>
        </w:rPr>
        <w:t xml:space="preserve">indique aucune condition particulière </w:t>
      </w:r>
      <w:r w:rsidR="00DF52DE" w:rsidRPr="001C5F67">
        <w:rPr>
          <w:lang w:val="fr-FR"/>
        </w:rPr>
        <w:t xml:space="preserve">pour le </w:t>
      </w:r>
      <w:r w:rsidR="001F2D4C" w:rsidRPr="001C5F67">
        <w:rPr>
          <w:lang w:val="fr-FR"/>
        </w:rPr>
        <w:t>retrait de la Liste représentative.</w:t>
      </w:r>
    </w:p>
    <w:p w:rsidR="00CB2A1A" w:rsidRPr="001C5F67" w:rsidRDefault="00A57CC9" w:rsidP="00AF2597">
      <w:pPr>
        <w:pStyle w:val="COMPara"/>
        <w:spacing w:before="0"/>
        <w:ind w:left="567" w:hanging="567"/>
        <w:rPr>
          <w:lang w:val="fr-FR"/>
        </w:rPr>
      </w:pPr>
      <w:r w:rsidRPr="001C5F67">
        <w:rPr>
          <w:lang w:val="fr-FR"/>
        </w:rPr>
        <w:t>Les précédentes versions des Directives opérationnelles abordent différemment le transfert et le retrait. Dans la version de 2008, les procédures de retrait et de transfert sont abordées deux fois, dans le sous-chapitre 1.1 relatif à la Liste de sauvegarde urgente et dans le sous-chapitre 1.2 relatif à la Liste représentative. Le retrait et le transfert semblent être présentés comme deux procédures indépendantes. Dans les versions de 2010 et de 2012 des Directives opérationnelles, le transfert et le retrait ne sont abordés qu</w:t>
      </w:r>
      <w:r w:rsidR="00460927">
        <w:rPr>
          <w:lang w:val="fr-FR"/>
        </w:rPr>
        <w:t>’</w:t>
      </w:r>
      <w:r w:rsidRPr="001C5F67">
        <w:rPr>
          <w:lang w:val="fr-FR"/>
        </w:rPr>
        <w:t>une fois, dans le sous-chapitre I.10 d</w:t>
      </w:r>
      <w:r w:rsidR="00460927">
        <w:rPr>
          <w:lang w:val="fr-FR"/>
        </w:rPr>
        <w:t>’</w:t>
      </w:r>
      <w:r w:rsidRPr="001C5F67">
        <w:rPr>
          <w:lang w:val="fr-FR"/>
        </w:rPr>
        <w:t xml:space="preserve">un paragraphe traitant du transfert, et dans le sous-chapitre I.11 de deux paragraphes traitant respectivement du retrait de la Liste de sauvegarde urgente et du retrait de la Liste représentative. Dans ces deux versions, le retrait </w:t>
      </w:r>
      <w:r w:rsidR="00EA1538" w:rsidRPr="00E52E66">
        <w:rPr>
          <w:lang w:val="fr-FR"/>
        </w:rPr>
        <w:t>ne semble pas être</w:t>
      </w:r>
      <w:r w:rsidRPr="001C5F67">
        <w:rPr>
          <w:lang w:val="fr-FR"/>
        </w:rPr>
        <w:t xml:space="preserve"> non plus présenté comme une condition préalable au transfert. La version de 2014 aborde, pour la première fois, le transfert et le retrait dans un seul sous-chapitre dont le titre parle de « transfert » ou de « retrait », </w:t>
      </w:r>
      <w:r w:rsidR="004570E8">
        <w:rPr>
          <w:lang w:val="fr-FR"/>
        </w:rPr>
        <w:t>laissant ainsi entendre</w:t>
      </w:r>
      <w:r w:rsidR="004570E8" w:rsidRPr="001C5F67">
        <w:rPr>
          <w:lang w:val="fr-FR"/>
        </w:rPr>
        <w:t xml:space="preserve"> </w:t>
      </w:r>
      <w:r w:rsidRPr="001C5F67">
        <w:rPr>
          <w:lang w:val="fr-FR"/>
        </w:rPr>
        <w:t>qu</w:t>
      </w:r>
      <w:r w:rsidR="00460927">
        <w:rPr>
          <w:lang w:val="fr-FR"/>
        </w:rPr>
        <w:t>’</w:t>
      </w:r>
      <w:r w:rsidRPr="001C5F67">
        <w:rPr>
          <w:lang w:val="fr-FR"/>
        </w:rPr>
        <w:t>il s</w:t>
      </w:r>
      <w:r w:rsidR="00460927">
        <w:rPr>
          <w:lang w:val="fr-FR"/>
        </w:rPr>
        <w:t>’</w:t>
      </w:r>
      <w:r w:rsidRPr="001C5F67">
        <w:rPr>
          <w:lang w:val="fr-FR"/>
        </w:rPr>
        <w:t>agit de deux procédures distinctes.</w:t>
      </w:r>
    </w:p>
    <w:p w:rsidR="000D21FC" w:rsidRPr="00E52E66" w:rsidRDefault="00DF52DE" w:rsidP="00B1584B">
      <w:pPr>
        <w:pStyle w:val="COMPara"/>
        <w:numPr>
          <w:ilvl w:val="0"/>
          <w:numId w:val="0"/>
        </w:numPr>
        <w:ind w:left="567"/>
        <w:rPr>
          <w:b/>
          <w:lang w:val="fr-FR"/>
        </w:rPr>
      </w:pPr>
      <w:r w:rsidRPr="00E52E66">
        <w:rPr>
          <w:b/>
          <w:lang w:val="fr-FR"/>
        </w:rPr>
        <w:t>Considération</w:t>
      </w:r>
      <w:r w:rsidRPr="001C5F67">
        <w:rPr>
          <w:b/>
          <w:lang w:val="fr-FR"/>
        </w:rPr>
        <w:t>s</w:t>
      </w:r>
      <w:r w:rsidRPr="00E52E66">
        <w:rPr>
          <w:b/>
          <w:lang w:val="fr-FR"/>
        </w:rPr>
        <w:t xml:space="preserve"> </w:t>
      </w:r>
      <w:r w:rsidR="000D21FC" w:rsidRPr="00E52E66">
        <w:rPr>
          <w:b/>
          <w:lang w:val="fr-FR"/>
        </w:rPr>
        <w:t xml:space="preserve">plus larges </w:t>
      </w:r>
      <w:r w:rsidRPr="00E52E66">
        <w:rPr>
          <w:b/>
          <w:lang w:val="fr-FR"/>
        </w:rPr>
        <w:t xml:space="preserve">pour </w:t>
      </w:r>
      <w:r w:rsidR="000D21FC" w:rsidRPr="00E52E66">
        <w:rPr>
          <w:b/>
          <w:lang w:val="fr-FR"/>
        </w:rPr>
        <w:t>réflexion</w:t>
      </w:r>
    </w:p>
    <w:p w:rsidR="005F3337" w:rsidRPr="001C5F67" w:rsidRDefault="00DC437F" w:rsidP="00B1584B">
      <w:pPr>
        <w:pStyle w:val="COMPara"/>
        <w:spacing w:before="0"/>
        <w:ind w:left="567" w:hanging="567"/>
        <w:rPr>
          <w:b/>
          <w:lang w:val="fr-FR"/>
        </w:rPr>
      </w:pPr>
      <w:r w:rsidRPr="001C5F67">
        <w:rPr>
          <w:lang w:val="fr-FR"/>
        </w:rPr>
        <w:t xml:space="preserve">Outre les questions de procédure ci-avant, le Comité pourra également discuter de questions </w:t>
      </w:r>
      <w:r w:rsidR="001C5F67">
        <w:rPr>
          <w:lang w:val="fr-FR"/>
        </w:rPr>
        <w:t>connexes</w:t>
      </w:r>
      <w:r w:rsidRPr="001C5F67">
        <w:rPr>
          <w:lang w:val="fr-FR"/>
        </w:rPr>
        <w:t>, comme le rapport lié à la procédure de retrait, le rôle des États parties, le plafond de dossiers de candidature examinés à l</w:t>
      </w:r>
      <w:r w:rsidR="00460927">
        <w:rPr>
          <w:lang w:val="fr-FR"/>
        </w:rPr>
        <w:t>’</w:t>
      </w:r>
      <w:r w:rsidRPr="001C5F67">
        <w:rPr>
          <w:lang w:val="fr-FR"/>
        </w:rPr>
        <w:t>occasion d</w:t>
      </w:r>
      <w:r w:rsidR="00460927">
        <w:rPr>
          <w:lang w:val="fr-FR"/>
        </w:rPr>
        <w:t>’</w:t>
      </w:r>
      <w:r w:rsidRPr="001C5F67">
        <w:rPr>
          <w:lang w:val="fr-FR"/>
        </w:rPr>
        <w:t>un cycle et le contexte plus large de la Convention de 2003 et de ses mécanismes.</w:t>
      </w:r>
    </w:p>
    <w:p w:rsidR="00797D1B" w:rsidRPr="001C5F67" w:rsidRDefault="007955CD" w:rsidP="00797D1B">
      <w:pPr>
        <w:pStyle w:val="COMPara"/>
        <w:spacing w:before="0"/>
        <w:ind w:left="567" w:hanging="567"/>
        <w:rPr>
          <w:lang w:val="fr-FR"/>
        </w:rPr>
      </w:pPr>
      <w:r w:rsidRPr="001C5F67">
        <w:rPr>
          <w:lang w:val="fr-FR"/>
        </w:rPr>
        <w:t>La soumission de rapports périodiques semble jouer un rôle important dans la procédure de retrait d</w:t>
      </w:r>
      <w:r w:rsidR="00460927">
        <w:rPr>
          <w:lang w:val="fr-FR"/>
        </w:rPr>
        <w:t>’</w:t>
      </w:r>
      <w:r w:rsidRPr="001C5F67">
        <w:rPr>
          <w:lang w:val="fr-FR"/>
        </w:rPr>
        <w:t>un élément de la Liste de sauvegarde urgente conformément au paragraphe 39 des Directives opérationnelles. Les rapports périodiques sur les éléments inscrits sur la Liste de sauvegarde urgente doivent être soumis tous les quatre ans, avec des informations sur l</w:t>
      </w:r>
      <w:r w:rsidR="00460927">
        <w:rPr>
          <w:lang w:val="fr-FR"/>
        </w:rPr>
        <w:t>’</w:t>
      </w:r>
      <w:r w:rsidRPr="001C5F67">
        <w:rPr>
          <w:lang w:val="fr-FR"/>
        </w:rPr>
        <w:t>état de l</w:t>
      </w:r>
      <w:r w:rsidR="00460927">
        <w:rPr>
          <w:lang w:val="fr-FR"/>
        </w:rPr>
        <w:t>’</w:t>
      </w:r>
      <w:r w:rsidRPr="001C5F67">
        <w:rPr>
          <w:lang w:val="fr-FR"/>
        </w:rPr>
        <w:t>élément concerné. Le formulaire de rapport (formulaire ICH-11) a été récemment revu avec de nouvelles sections permettant d</w:t>
      </w:r>
      <w:r w:rsidR="00460927">
        <w:rPr>
          <w:lang w:val="fr-FR"/>
        </w:rPr>
        <w:t>’</w:t>
      </w:r>
      <w:r w:rsidRPr="001C5F67">
        <w:rPr>
          <w:lang w:val="fr-FR"/>
        </w:rPr>
        <w:t xml:space="preserve">actualiser le plan de sauvegarde proposé dans le dossier de candidature. </w:t>
      </w:r>
      <w:r w:rsidR="00DF52DE" w:rsidRPr="001C5F67">
        <w:rPr>
          <w:lang w:val="fr-FR"/>
        </w:rPr>
        <w:t>Ceci</w:t>
      </w:r>
      <w:r w:rsidRPr="001C5F67">
        <w:rPr>
          <w:lang w:val="fr-FR"/>
        </w:rPr>
        <w:t xml:space="preserve"> </w:t>
      </w:r>
      <w:r w:rsidR="00DF52DE" w:rsidRPr="001C5F67">
        <w:rPr>
          <w:lang w:val="fr-FR"/>
        </w:rPr>
        <w:t xml:space="preserve">pourrait </w:t>
      </w:r>
      <w:r w:rsidRPr="001C5F67">
        <w:rPr>
          <w:lang w:val="fr-FR"/>
        </w:rPr>
        <w:t>facilite</w:t>
      </w:r>
      <w:r w:rsidR="00DF52DE" w:rsidRPr="001C5F67">
        <w:rPr>
          <w:lang w:val="fr-FR"/>
        </w:rPr>
        <w:t>r</w:t>
      </w:r>
      <w:r w:rsidRPr="001C5F67">
        <w:rPr>
          <w:lang w:val="fr-FR"/>
        </w:rPr>
        <w:t xml:space="preserve"> le travail du Comité </w:t>
      </w:r>
      <w:r w:rsidR="00DF52DE" w:rsidRPr="001C5F67">
        <w:rPr>
          <w:lang w:val="fr-FR"/>
        </w:rPr>
        <w:t xml:space="preserve">pour </w:t>
      </w:r>
      <w:r w:rsidRPr="001C5F67">
        <w:rPr>
          <w:lang w:val="fr-FR"/>
        </w:rPr>
        <w:t>étudi</w:t>
      </w:r>
      <w:r w:rsidR="00DF52DE" w:rsidRPr="001C5F67">
        <w:rPr>
          <w:lang w:val="fr-FR"/>
        </w:rPr>
        <w:t>er</w:t>
      </w:r>
      <w:r w:rsidRPr="001C5F67">
        <w:rPr>
          <w:lang w:val="fr-FR"/>
        </w:rPr>
        <w:t xml:space="preserve"> le retrait d</w:t>
      </w:r>
      <w:r w:rsidR="00460927">
        <w:rPr>
          <w:lang w:val="fr-FR"/>
        </w:rPr>
        <w:t>’</w:t>
      </w:r>
      <w:r w:rsidRPr="001C5F67">
        <w:rPr>
          <w:lang w:val="fr-FR"/>
        </w:rPr>
        <w:t>un élément de la Liste de sauvegarde urgente.</w:t>
      </w:r>
    </w:p>
    <w:p w:rsidR="004B452E" w:rsidRPr="001C5F67" w:rsidRDefault="00077C25" w:rsidP="00797D1B">
      <w:pPr>
        <w:pStyle w:val="COMPara"/>
        <w:spacing w:before="0"/>
        <w:ind w:left="567" w:hanging="567"/>
        <w:rPr>
          <w:lang w:val="fr-FR"/>
        </w:rPr>
      </w:pPr>
      <w:r w:rsidRPr="001C5F67">
        <w:rPr>
          <w:lang w:val="fr-FR"/>
        </w:rPr>
        <w:t>Le paragraphe 40 des Directives opérationnelles n</w:t>
      </w:r>
      <w:r w:rsidR="00460927">
        <w:rPr>
          <w:lang w:val="fr-FR"/>
        </w:rPr>
        <w:t>’</w:t>
      </w:r>
      <w:r w:rsidRPr="001C5F67">
        <w:rPr>
          <w:lang w:val="fr-FR"/>
        </w:rPr>
        <w:t>indique pas au Comité comment procéder pour retirer des éléments inscrits sur la Liste représentative. La question est de savoir comment déterminer si un élément ne satisfait plus à un ou plusieurs critère(s) d</w:t>
      </w:r>
      <w:r w:rsidR="00460927">
        <w:rPr>
          <w:lang w:val="fr-FR"/>
        </w:rPr>
        <w:t>’</w:t>
      </w:r>
      <w:r w:rsidRPr="001C5F67">
        <w:rPr>
          <w:lang w:val="fr-FR"/>
        </w:rPr>
        <w:t>inscription sur la Liste représentative. Les rapports périodiques peuvent être une source intéressante d</w:t>
      </w:r>
      <w:r w:rsidR="00460927">
        <w:rPr>
          <w:lang w:val="fr-FR"/>
        </w:rPr>
        <w:t>’</w:t>
      </w:r>
      <w:r w:rsidRPr="001C5F67">
        <w:rPr>
          <w:lang w:val="fr-FR"/>
        </w:rPr>
        <w:t xml:space="preserve">informations à cet égard. Ces rapports sont toutefois inclus dans les rapports périodiques nationaux </w:t>
      </w:r>
      <w:r w:rsidR="00AE30F1" w:rsidRPr="001C5F67">
        <w:rPr>
          <w:lang w:val="fr-FR"/>
        </w:rPr>
        <w:t xml:space="preserve">sur la </w:t>
      </w:r>
      <w:r w:rsidRPr="001C5F67">
        <w:rPr>
          <w:lang w:val="fr-FR"/>
        </w:rPr>
        <w:t>mise en œuvre de la Convention de 2003, soumis tous les six ans à compter de la date de ratification par l</w:t>
      </w:r>
      <w:r w:rsidR="00460927">
        <w:rPr>
          <w:lang w:val="fr-FR"/>
        </w:rPr>
        <w:t>’</w:t>
      </w:r>
      <w:r w:rsidRPr="001C5F67">
        <w:rPr>
          <w:lang w:val="fr-FR"/>
        </w:rPr>
        <w:t>État partie (ou les États parties) concerné</w:t>
      </w:r>
      <w:r w:rsidR="00AE30F1" w:rsidRPr="001C5F67">
        <w:rPr>
          <w:lang w:val="fr-FR"/>
        </w:rPr>
        <w:t>(s)</w:t>
      </w:r>
      <w:r w:rsidRPr="001C5F67">
        <w:rPr>
          <w:lang w:val="fr-FR"/>
        </w:rPr>
        <w:t xml:space="preserve">. Les différentes obligations liées aux rapports périodiques pour les deux listes peuvent justifier les différences de procédures apparaissant dans les paragraphes 39 et 40. </w:t>
      </w:r>
      <w:r w:rsidR="00AE30F1" w:rsidRPr="001C5F67">
        <w:rPr>
          <w:lang w:val="fr-FR"/>
        </w:rPr>
        <w:t>Néanmoins, l</w:t>
      </w:r>
      <w:r w:rsidRPr="001C5F67">
        <w:rPr>
          <w:lang w:val="fr-FR"/>
        </w:rPr>
        <w:t>a disposition relative à l</w:t>
      </w:r>
      <w:r w:rsidR="00460927">
        <w:rPr>
          <w:lang w:val="fr-FR"/>
        </w:rPr>
        <w:t>’</w:t>
      </w:r>
      <w:r w:rsidRPr="001C5F67">
        <w:rPr>
          <w:lang w:val="fr-FR"/>
        </w:rPr>
        <w:t>analyse préalable de la mise en œuvre du plan de sauvegarde du paragraphe 39 peut également être appliquée différemment, par le biais d</w:t>
      </w:r>
      <w:r w:rsidR="00460927">
        <w:rPr>
          <w:lang w:val="fr-FR"/>
        </w:rPr>
        <w:t>’</w:t>
      </w:r>
      <w:r w:rsidRPr="001C5F67">
        <w:rPr>
          <w:lang w:val="fr-FR"/>
        </w:rPr>
        <w:t>une mission de suivi ou d</w:t>
      </w:r>
      <w:r w:rsidR="00460927">
        <w:rPr>
          <w:lang w:val="fr-FR"/>
        </w:rPr>
        <w:t>’</w:t>
      </w:r>
      <w:r w:rsidRPr="001C5F67">
        <w:rPr>
          <w:lang w:val="fr-FR"/>
        </w:rPr>
        <w:t>un exercice de soumission d</w:t>
      </w:r>
      <w:r w:rsidR="00460927">
        <w:rPr>
          <w:lang w:val="fr-FR"/>
        </w:rPr>
        <w:t>’</w:t>
      </w:r>
      <w:r w:rsidRPr="001C5F67">
        <w:rPr>
          <w:lang w:val="fr-FR"/>
        </w:rPr>
        <w:t>un rapport distinct par exemple.</w:t>
      </w:r>
    </w:p>
    <w:p w:rsidR="008106C1" w:rsidRPr="001C5F67" w:rsidRDefault="007B7D8E" w:rsidP="00AF2597">
      <w:pPr>
        <w:pStyle w:val="COMPara"/>
        <w:spacing w:before="0"/>
        <w:ind w:left="567" w:hanging="567"/>
        <w:rPr>
          <w:lang w:val="fr-FR"/>
        </w:rPr>
      </w:pPr>
      <w:r w:rsidRPr="001C5F67">
        <w:rPr>
          <w:lang w:val="fr-FR"/>
        </w:rPr>
        <w:t>Il convient également de savoir comment la procédure de transfert et de retrait peut être initiée, les Directives opérationnelles</w:t>
      </w:r>
      <w:r w:rsidR="00E45FD7" w:rsidRPr="001C5F67">
        <w:rPr>
          <w:lang w:val="fr-FR"/>
        </w:rPr>
        <w:t xml:space="preserve"> actuelles</w:t>
      </w:r>
      <w:r w:rsidRPr="001C5F67">
        <w:rPr>
          <w:lang w:val="fr-FR"/>
        </w:rPr>
        <w:t xml:space="preserve"> prévoyant des situations asymétriques. Dans le paragraphe 38, c</w:t>
      </w:r>
      <w:r w:rsidR="00460927">
        <w:rPr>
          <w:lang w:val="fr-FR"/>
        </w:rPr>
        <w:t>’</w:t>
      </w:r>
      <w:r w:rsidRPr="001C5F67">
        <w:rPr>
          <w:lang w:val="fr-FR"/>
        </w:rPr>
        <w:t>est l</w:t>
      </w:r>
      <w:r w:rsidR="00460927">
        <w:rPr>
          <w:lang w:val="fr-FR"/>
        </w:rPr>
        <w:t>’</w:t>
      </w:r>
      <w:r w:rsidRPr="001C5F67">
        <w:rPr>
          <w:lang w:val="fr-FR"/>
        </w:rPr>
        <w:t>État partie qui peut demander le transfert d</w:t>
      </w:r>
      <w:r w:rsidR="00460927">
        <w:rPr>
          <w:lang w:val="fr-FR"/>
        </w:rPr>
        <w:t>’</w:t>
      </w:r>
      <w:r w:rsidRPr="001C5F67">
        <w:rPr>
          <w:lang w:val="fr-FR"/>
        </w:rPr>
        <w:t>un élément d</w:t>
      </w:r>
      <w:r w:rsidR="00460927">
        <w:rPr>
          <w:lang w:val="fr-FR"/>
        </w:rPr>
        <w:t>’</w:t>
      </w:r>
      <w:r w:rsidRPr="001C5F67">
        <w:rPr>
          <w:lang w:val="fr-FR"/>
        </w:rPr>
        <w:t>une liste à l</w:t>
      </w:r>
      <w:r w:rsidR="00460927">
        <w:rPr>
          <w:lang w:val="fr-FR"/>
        </w:rPr>
        <w:t>’</w:t>
      </w:r>
      <w:r w:rsidRPr="001C5F67">
        <w:rPr>
          <w:lang w:val="fr-FR"/>
        </w:rPr>
        <w:t>autre. Par contre, c</w:t>
      </w:r>
      <w:r w:rsidR="00460927">
        <w:rPr>
          <w:lang w:val="fr-FR"/>
        </w:rPr>
        <w:t>’</w:t>
      </w:r>
      <w:r w:rsidRPr="001C5F67">
        <w:rPr>
          <w:lang w:val="fr-FR"/>
        </w:rPr>
        <w:t>est le Comité qui décide du retrait, les paragraphes 39 et 40 ne précisant pas le rôle de l</w:t>
      </w:r>
      <w:r w:rsidR="00460927">
        <w:rPr>
          <w:lang w:val="fr-FR"/>
        </w:rPr>
        <w:t>’</w:t>
      </w:r>
      <w:r w:rsidRPr="001C5F67">
        <w:rPr>
          <w:lang w:val="fr-FR"/>
        </w:rPr>
        <w:t xml:space="preserve">État partie ou des États parties concernés. Pour plus de clarté, le </w:t>
      </w:r>
      <w:r w:rsidRPr="001C5F67">
        <w:rPr>
          <w:lang w:val="fr-FR"/>
        </w:rPr>
        <w:lastRenderedPageBreak/>
        <w:t>Comité peut se référer à la disposition du paragraphe 80 (e) des Directives opérationnelles encourageant les États parties « à créer un organisme consultatif ou un mécanisme de coordination qui permettra de faciliter la participation des communautés, des groupes et, le cas échéant, des individus ainsi que des experts, des centres d</w:t>
      </w:r>
      <w:r w:rsidR="00460927">
        <w:rPr>
          <w:lang w:val="fr-FR"/>
        </w:rPr>
        <w:t>’</w:t>
      </w:r>
      <w:r w:rsidRPr="001C5F67">
        <w:rPr>
          <w:lang w:val="fr-FR"/>
        </w:rPr>
        <w:t>expertise et des instituts de recherche, notamment dans : […] (e) le retrait d</w:t>
      </w:r>
      <w:r w:rsidR="00460927">
        <w:rPr>
          <w:lang w:val="fr-FR"/>
        </w:rPr>
        <w:t>’</w:t>
      </w:r>
      <w:r w:rsidRPr="001C5F67">
        <w:rPr>
          <w:lang w:val="fr-FR"/>
        </w:rPr>
        <w:t>un élément du patrimoine culturel immatériel d</w:t>
      </w:r>
      <w:r w:rsidR="00460927">
        <w:rPr>
          <w:lang w:val="fr-FR"/>
        </w:rPr>
        <w:t>’</w:t>
      </w:r>
      <w:r w:rsidRPr="001C5F67">
        <w:rPr>
          <w:lang w:val="fr-FR"/>
        </w:rPr>
        <w:t>une Liste ou son transfert sur l</w:t>
      </w:r>
      <w:r w:rsidR="00460927">
        <w:rPr>
          <w:lang w:val="fr-FR"/>
        </w:rPr>
        <w:t>’</w:t>
      </w:r>
      <w:r w:rsidRPr="001C5F67">
        <w:rPr>
          <w:lang w:val="fr-FR"/>
        </w:rPr>
        <w:t>autre, comme visé aux paragraphes 38 à 40 des présentes Directives opérationnelles ».</w:t>
      </w:r>
    </w:p>
    <w:p w:rsidR="00CA7E96" w:rsidRPr="001C5F67" w:rsidRDefault="008B6B9F" w:rsidP="00AF2597">
      <w:pPr>
        <w:pStyle w:val="COMPara"/>
        <w:spacing w:before="0"/>
        <w:ind w:left="567" w:hanging="567"/>
        <w:rPr>
          <w:lang w:val="fr-FR"/>
        </w:rPr>
      </w:pPr>
      <w:r w:rsidRPr="001C5F67">
        <w:rPr>
          <w:lang w:val="fr-FR"/>
        </w:rPr>
        <w:t xml:space="preserve">La question du plafond de dossiers examinés tous les ans par le Comité mérite également réflexion. Comme indiqué ci-avant, les États parties peuvent demander le transfert des éléments inscrits sur les </w:t>
      </w:r>
      <w:r w:rsidR="00C10E14" w:rsidRPr="001C5F67">
        <w:rPr>
          <w:lang w:val="fr-FR"/>
        </w:rPr>
        <w:t xml:space="preserve">listes </w:t>
      </w:r>
      <w:r w:rsidRPr="001C5F67">
        <w:rPr>
          <w:lang w:val="fr-FR"/>
        </w:rPr>
        <w:t>de la Convention conformément au paragraphe 38</w:t>
      </w:r>
      <w:r w:rsidR="00C10E14" w:rsidRPr="001C5F67">
        <w:rPr>
          <w:lang w:val="fr-FR"/>
        </w:rPr>
        <w:t>.</w:t>
      </w:r>
      <w:r w:rsidRPr="001C5F67">
        <w:rPr>
          <w:lang w:val="fr-FR"/>
        </w:rPr>
        <w:t xml:space="preserve"> </w:t>
      </w:r>
      <w:r w:rsidR="00C10E14" w:rsidRPr="001C5F67">
        <w:rPr>
          <w:lang w:val="fr-FR"/>
        </w:rPr>
        <w:t>O</w:t>
      </w:r>
      <w:r w:rsidRPr="001C5F67">
        <w:rPr>
          <w:lang w:val="fr-FR"/>
        </w:rPr>
        <w:t>r</w:t>
      </w:r>
      <w:r w:rsidR="00C10E14" w:rsidRPr="001C5F67">
        <w:rPr>
          <w:lang w:val="fr-FR"/>
        </w:rPr>
        <w:t>,</w:t>
      </w:r>
      <w:r w:rsidRPr="001C5F67">
        <w:rPr>
          <w:lang w:val="fr-FR"/>
        </w:rPr>
        <w:t xml:space="preserve"> il est impossible de prévoir le nombre de demandes que le Comité va recevoir chaque année et de savoir si elles doivent être comptées dans le plafond de dossiers (</w:t>
      </w:r>
      <w:r w:rsidR="00C10E14" w:rsidRPr="001C5F67">
        <w:rPr>
          <w:lang w:val="fr-FR"/>
        </w:rPr>
        <w:t xml:space="preserve">présentement </w:t>
      </w:r>
      <w:r w:rsidRPr="001C5F67">
        <w:rPr>
          <w:lang w:val="fr-FR"/>
        </w:rPr>
        <w:t xml:space="preserve">50 par cycle) </w:t>
      </w:r>
      <w:r w:rsidR="00C10E14" w:rsidRPr="001C5F67">
        <w:rPr>
          <w:lang w:val="fr-FR"/>
        </w:rPr>
        <w:t xml:space="preserve">qui seront </w:t>
      </w:r>
      <w:r w:rsidRPr="001C5F67">
        <w:rPr>
          <w:lang w:val="fr-FR"/>
        </w:rPr>
        <w:t xml:space="preserve">examinés </w:t>
      </w:r>
      <w:r w:rsidR="00C10E14" w:rsidRPr="001C5F67">
        <w:rPr>
          <w:lang w:val="fr-FR"/>
        </w:rPr>
        <w:t>pendant</w:t>
      </w:r>
      <w:r w:rsidRPr="001C5F67">
        <w:rPr>
          <w:lang w:val="fr-FR"/>
        </w:rPr>
        <w:t xml:space="preserve"> un cycle</w:t>
      </w:r>
      <w:r w:rsidR="004570E8" w:rsidRPr="001C5F67">
        <w:rPr>
          <w:lang w:val="fr-FR"/>
        </w:rPr>
        <w:t xml:space="preserve"> spécifique</w:t>
      </w:r>
      <w:r w:rsidRPr="001C5F67">
        <w:rPr>
          <w:lang w:val="fr-FR"/>
        </w:rPr>
        <w:t>. Dans le cas du Viet Nam, le Comité a décidé de traiter la demande de transfert au-dessus du plafond global adopté pour le cycle 2017, à titre exceptionnel, en attendant l</w:t>
      </w:r>
      <w:r w:rsidR="00460927">
        <w:rPr>
          <w:lang w:val="fr-FR"/>
        </w:rPr>
        <w:t>’</w:t>
      </w:r>
      <w:r w:rsidRPr="001C5F67">
        <w:rPr>
          <w:lang w:val="fr-FR"/>
        </w:rPr>
        <w:t>adoption de procédures pertinentes par l</w:t>
      </w:r>
      <w:r w:rsidR="00460927">
        <w:rPr>
          <w:lang w:val="fr-FR"/>
        </w:rPr>
        <w:t>’</w:t>
      </w:r>
      <w:r w:rsidRPr="001C5F67">
        <w:rPr>
          <w:lang w:val="fr-FR"/>
        </w:rPr>
        <w:t xml:space="preserve">Assemblée générale en 2018 (paragraphe 7 de la </w:t>
      </w:r>
      <w:hyperlink r:id="rId10">
        <w:r w:rsidR="00080467" w:rsidRPr="001C5F67">
          <w:rPr>
            <w:rStyle w:val="Hyperlink"/>
            <w:lang w:val="fr-FR"/>
          </w:rPr>
          <w:t>décision 10.COM 19</w:t>
        </w:r>
      </w:hyperlink>
      <w:r w:rsidRPr="001C5F67">
        <w:rPr>
          <w:lang w:val="fr-FR"/>
        </w:rPr>
        <w:t>). Le Comité souhaitera peut-être discuter de cette question en ne perdant pas de vue l</w:t>
      </w:r>
      <w:r w:rsidR="00460927">
        <w:rPr>
          <w:lang w:val="fr-FR"/>
        </w:rPr>
        <w:t>’</w:t>
      </w:r>
      <w:r w:rsidRPr="001C5F67">
        <w:rPr>
          <w:lang w:val="fr-FR"/>
        </w:rPr>
        <w:t>impact considérable que cela pourrait avoir sur la charge de travail du Secrétariat, de l</w:t>
      </w:r>
      <w:r w:rsidR="00460927">
        <w:rPr>
          <w:lang w:val="fr-FR"/>
        </w:rPr>
        <w:t>’</w:t>
      </w:r>
      <w:r w:rsidRPr="001C5F67">
        <w:rPr>
          <w:lang w:val="fr-FR"/>
        </w:rPr>
        <w:t>Organe d</w:t>
      </w:r>
      <w:r w:rsidR="00460927">
        <w:rPr>
          <w:lang w:val="fr-FR"/>
        </w:rPr>
        <w:t>’</w:t>
      </w:r>
      <w:r w:rsidRPr="001C5F67">
        <w:rPr>
          <w:lang w:val="fr-FR"/>
        </w:rPr>
        <w:t>évaluation et du Comité.</w:t>
      </w:r>
    </w:p>
    <w:p w:rsidR="00C95A7F" w:rsidRPr="001C5F67" w:rsidRDefault="00274ACA" w:rsidP="00A6526E">
      <w:pPr>
        <w:pStyle w:val="COMPara"/>
        <w:spacing w:before="0"/>
        <w:ind w:left="567" w:hanging="567"/>
        <w:rPr>
          <w:lang w:val="fr-FR"/>
        </w:rPr>
      </w:pPr>
      <w:r w:rsidRPr="001C5F67">
        <w:rPr>
          <w:lang w:val="fr-FR"/>
        </w:rPr>
        <w:t>Enfin,</w:t>
      </w:r>
      <w:r w:rsidR="00336BA7" w:rsidRPr="001C5F67">
        <w:rPr>
          <w:lang w:val="fr-FR"/>
        </w:rPr>
        <w:t xml:space="preserve"> il est important de mentionner que</w:t>
      </w:r>
      <w:r w:rsidRPr="001C5F67">
        <w:rPr>
          <w:lang w:val="fr-FR"/>
        </w:rPr>
        <w:t xml:space="preserve"> la question du « transfert » ou du « retrait » des éléments doit être étudiée </w:t>
      </w:r>
      <w:r w:rsidR="00C10E14" w:rsidRPr="001C5F67">
        <w:rPr>
          <w:lang w:val="fr-FR"/>
        </w:rPr>
        <w:t>à la lumière d</w:t>
      </w:r>
      <w:r w:rsidR="001D49F6" w:rsidRPr="001C5F67">
        <w:rPr>
          <w:lang w:val="fr-FR"/>
        </w:rPr>
        <w:t>es objectifs</w:t>
      </w:r>
      <w:r w:rsidR="00C10E14" w:rsidRPr="001C5F67">
        <w:rPr>
          <w:lang w:val="fr-FR"/>
        </w:rPr>
        <w:t xml:space="preserve"> poursuivis par</w:t>
      </w:r>
      <w:r w:rsidRPr="001C5F67">
        <w:rPr>
          <w:lang w:val="fr-FR"/>
        </w:rPr>
        <w:t xml:space="preserve"> </w:t>
      </w:r>
      <w:r w:rsidR="00C10E14" w:rsidRPr="001C5F67">
        <w:rPr>
          <w:lang w:val="fr-FR"/>
        </w:rPr>
        <w:t>l</w:t>
      </w:r>
      <w:r w:rsidRPr="001C5F67">
        <w:rPr>
          <w:lang w:val="fr-FR"/>
        </w:rPr>
        <w:t xml:space="preserve">es </w:t>
      </w:r>
      <w:r w:rsidR="00C10E14" w:rsidRPr="001C5F67">
        <w:rPr>
          <w:lang w:val="fr-FR"/>
        </w:rPr>
        <w:t>l</w:t>
      </w:r>
      <w:r w:rsidRPr="001C5F67">
        <w:rPr>
          <w:lang w:val="fr-FR"/>
        </w:rPr>
        <w:t>istes de la Convention. Les articles 16 et 17 de la Convention de 2003 confèrent un obje</w:t>
      </w:r>
      <w:r w:rsidR="00C10E14" w:rsidRPr="001C5F67">
        <w:rPr>
          <w:lang w:val="fr-FR"/>
        </w:rPr>
        <w:t>ctif</w:t>
      </w:r>
      <w:r w:rsidRPr="001C5F67">
        <w:rPr>
          <w:lang w:val="fr-FR"/>
        </w:rPr>
        <w:t xml:space="preserve"> particulier et distinct à la Liste représentative et à la Liste de sauvegarde urgente, </w:t>
      </w:r>
      <w:r w:rsidR="00C10E14" w:rsidRPr="001C5F67">
        <w:rPr>
          <w:lang w:val="fr-FR"/>
        </w:rPr>
        <w:t xml:space="preserve">comme </w:t>
      </w:r>
      <w:r w:rsidRPr="001C5F67">
        <w:rPr>
          <w:lang w:val="fr-FR"/>
        </w:rPr>
        <w:t>détaillé dans les Directives opérationnelles. En outre, le paragraphe 38 des Directives opérationnelles stipule qu</w:t>
      </w:r>
      <w:r w:rsidR="00460927">
        <w:rPr>
          <w:lang w:val="fr-FR"/>
        </w:rPr>
        <w:t>’</w:t>
      </w:r>
      <w:r w:rsidRPr="001C5F67">
        <w:rPr>
          <w:lang w:val="fr-FR"/>
        </w:rPr>
        <w:t>un élément ne peut pas être inscrit simultanément sur les deux listes. Le transfert ou le retrait prématuré d</w:t>
      </w:r>
      <w:r w:rsidR="00460927">
        <w:rPr>
          <w:lang w:val="fr-FR"/>
        </w:rPr>
        <w:t>’</w:t>
      </w:r>
      <w:r w:rsidRPr="001C5F67">
        <w:rPr>
          <w:lang w:val="fr-FR"/>
        </w:rPr>
        <w:t>un élément peut aller à l</w:t>
      </w:r>
      <w:r w:rsidR="00460927">
        <w:rPr>
          <w:lang w:val="fr-FR"/>
        </w:rPr>
        <w:t>’</w:t>
      </w:r>
      <w:r w:rsidRPr="001C5F67">
        <w:rPr>
          <w:lang w:val="fr-FR"/>
        </w:rPr>
        <w:t>encontre de l</w:t>
      </w:r>
      <w:r w:rsidR="00460927">
        <w:rPr>
          <w:lang w:val="fr-FR"/>
        </w:rPr>
        <w:t>’</w:t>
      </w:r>
      <w:r w:rsidRPr="001C5F67">
        <w:rPr>
          <w:lang w:val="fr-FR"/>
        </w:rPr>
        <w:t>objet de la Liste de sauvegarde urgente et renforcer la tendance déjà forte des États parties à privilégier la Liste représentative. Le Comité devrait donc tenir compte du cadre plus large de la Convention de 2003 et de l</w:t>
      </w:r>
      <w:r w:rsidR="00460927">
        <w:rPr>
          <w:lang w:val="fr-FR"/>
        </w:rPr>
        <w:t>’</w:t>
      </w:r>
      <w:r w:rsidRPr="001C5F67">
        <w:rPr>
          <w:lang w:val="fr-FR"/>
        </w:rPr>
        <w:t xml:space="preserve">ensemble de ses mécanismes pour étudier le </w:t>
      </w:r>
      <w:r w:rsidR="00C10E14" w:rsidRPr="001C5F67">
        <w:rPr>
          <w:lang w:val="fr-FR"/>
        </w:rPr>
        <w:t>« </w:t>
      </w:r>
      <w:r w:rsidRPr="001C5F67">
        <w:rPr>
          <w:lang w:val="fr-FR"/>
        </w:rPr>
        <w:t>transfert</w:t>
      </w:r>
      <w:r w:rsidR="00C10E14" w:rsidRPr="001C5F67">
        <w:rPr>
          <w:lang w:val="fr-FR"/>
        </w:rPr>
        <w:t> »</w:t>
      </w:r>
      <w:r w:rsidRPr="001C5F67">
        <w:rPr>
          <w:lang w:val="fr-FR"/>
        </w:rPr>
        <w:t xml:space="preserve"> et le </w:t>
      </w:r>
      <w:r w:rsidR="00C10E14" w:rsidRPr="001C5F67">
        <w:rPr>
          <w:lang w:val="fr-FR"/>
        </w:rPr>
        <w:t>« </w:t>
      </w:r>
      <w:r w:rsidRPr="001C5F67">
        <w:rPr>
          <w:lang w:val="fr-FR"/>
        </w:rPr>
        <w:t>retrait</w:t>
      </w:r>
      <w:r w:rsidR="00C10E14" w:rsidRPr="001C5F67">
        <w:rPr>
          <w:lang w:val="fr-FR"/>
        </w:rPr>
        <w:t> »</w:t>
      </w:r>
      <w:r w:rsidRPr="001C5F67">
        <w:rPr>
          <w:lang w:val="fr-FR"/>
        </w:rPr>
        <w:t xml:space="preserve"> conformément à son objectif. Le Comité pourrait, par exemple, réfléchir à mieux utiliser l</w:t>
      </w:r>
      <w:r w:rsidR="00460927">
        <w:rPr>
          <w:lang w:val="fr-FR"/>
        </w:rPr>
        <w:t>’</w:t>
      </w:r>
      <w:r w:rsidRPr="001C5F67">
        <w:rPr>
          <w:lang w:val="fr-FR"/>
        </w:rPr>
        <w:t>article 18 de la Convention</w:t>
      </w:r>
      <w:r w:rsidR="00336BA7" w:rsidRPr="001C5F67">
        <w:rPr>
          <w:lang w:val="fr-FR"/>
        </w:rPr>
        <w:t>,</w:t>
      </w:r>
      <w:r w:rsidRPr="001C5F67">
        <w:rPr>
          <w:lang w:val="fr-FR"/>
        </w:rPr>
        <w:t xml:space="preserve"> qui </w:t>
      </w:r>
      <w:r w:rsidR="001C5F67">
        <w:rPr>
          <w:lang w:val="fr-FR"/>
        </w:rPr>
        <w:t xml:space="preserve">vise à </w:t>
      </w:r>
      <w:r w:rsidR="00336BA7" w:rsidRPr="001C5F67">
        <w:rPr>
          <w:lang w:val="fr-FR"/>
        </w:rPr>
        <w:t>prom</w:t>
      </w:r>
      <w:r w:rsidR="001C5F67">
        <w:rPr>
          <w:lang w:val="fr-FR"/>
        </w:rPr>
        <w:t>ouvoir</w:t>
      </w:r>
      <w:r w:rsidRPr="001C5F67">
        <w:rPr>
          <w:lang w:val="fr-FR"/>
        </w:rPr>
        <w:t xml:space="preserve"> </w:t>
      </w:r>
      <w:r w:rsidR="00336BA7" w:rsidRPr="001C5F67">
        <w:rPr>
          <w:lang w:val="fr-FR"/>
        </w:rPr>
        <w:t>l</w:t>
      </w:r>
      <w:r w:rsidRPr="001C5F67">
        <w:rPr>
          <w:lang w:val="fr-FR"/>
        </w:rPr>
        <w:t>es programmes, projets et activités de sauvegarde du patrimoine culturel immatériel qu</w:t>
      </w:r>
      <w:r w:rsidR="00460927">
        <w:rPr>
          <w:lang w:val="fr-FR"/>
        </w:rPr>
        <w:t>’</w:t>
      </w:r>
      <w:r w:rsidRPr="001C5F67">
        <w:rPr>
          <w:lang w:val="fr-FR"/>
        </w:rPr>
        <w:t xml:space="preserve">il estime refléter le mieux les principes et objectifs de la Convention de 2003, </w:t>
      </w:r>
      <w:r w:rsidR="00336BA7" w:rsidRPr="001C5F67">
        <w:rPr>
          <w:lang w:val="fr-FR"/>
        </w:rPr>
        <w:t xml:space="preserve">dans le cas où des efforts </w:t>
      </w:r>
      <w:r w:rsidR="001C5F67">
        <w:rPr>
          <w:lang w:val="fr-FR"/>
        </w:rPr>
        <w:t>de</w:t>
      </w:r>
      <w:r w:rsidR="00336BA7" w:rsidRPr="001C5F67">
        <w:rPr>
          <w:lang w:val="fr-FR"/>
        </w:rPr>
        <w:t xml:space="preserve"> sauvegarde permettent à un </w:t>
      </w:r>
      <w:r w:rsidRPr="001C5F67">
        <w:rPr>
          <w:lang w:val="fr-FR"/>
        </w:rPr>
        <w:t xml:space="preserve">élément </w:t>
      </w:r>
      <w:r w:rsidR="00336BA7" w:rsidRPr="001C5F67">
        <w:rPr>
          <w:lang w:val="fr-FR"/>
        </w:rPr>
        <w:t>de ne plus être considéré comme nécessitant une sauvegarde urgente</w:t>
      </w:r>
      <w:r w:rsidRPr="001C5F67">
        <w:rPr>
          <w:lang w:val="fr-FR"/>
        </w:rPr>
        <w:t>.</w:t>
      </w:r>
    </w:p>
    <w:p w:rsidR="00467101" w:rsidRPr="00E52E66" w:rsidRDefault="00467101">
      <w:pPr>
        <w:pStyle w:val="COMPara"/>
        <w:numPr>
          <w:ilvl w:val="0"/>
          <w:numId w:val="0"/>
        </w:numPr>
        <w:ind w:left="567"/>
        <w:rPr>
          <w:b/>
          <w:lang w:val="fr-FR"/>
        </w:rPr>
      </w:pPr>
      <w:r w:rsidRPr="00E52E66">
        <w:rPr>
          <w:b/>
          <w:lang w:val="fr-FR"/>
        </w:rPr>
        <w:t>Prochaines étapes</w:t>
      </w:r>
    </w:p>
    <w:p w:rsidR="001E5E44" w:rsidRPr="001C5F67" w:rsidRDefault="00BE3349" w:rsidP="00AF2597">
      <w:pPr>
        <w:pStyle w:val="COMPara"/>
        <w:spacing w:before="0"/>
        <w:ind w:left="567" w:hanging="567"/>
        <w:rPr>
          <w:lang w:val="fr-FR"/>
        </w:rPr>
      </w:pPr>
      <w:r w:rsidRPr="001C5F67">
        <w:rPr>
          <w:lang w:val="fr-FR"/>
        </w:rPr>
        <w:t xml:space="preserve">Dans le paragraphe 6 de la </w:t>
      </w:r>
      <w:hyperlink r:id="rId11">
        <w:r w:rsidR="00080467" w:rsidRPr="001C5F67">
          <w:rPr>
            <w:rStyle w:val="Hyperlink"/>
            <w:lang w:val="fr-FR"/>
          </w:rPr>
          <w:t>décision 10.COM 19</w:t>
        </w:r>
      </w:hyperlink>
      <w:r w:rsidRPr="001C5F67">
        <w:rPr>
          <w:lang w:val="fr-FR"/>
        </w:rPr>
        <w:t>, le Comité souligne que l</w:t>
      </w:r>
      <w:r w:rsidR="00460927">
        <w:rPr>
          <w:lang w:val="fr-FR"/>
        </w:rPr>
        <w:t>’</w:t>
      </w:r>
      <w:r w:rsidRPr="001C5F67">
        <w:rPr>
          <w:lang w:val="fr-FR"/>
        </w:rPr>
        <w:t>expérience acquise lors de l</w:t>
      </w:r>
      <w:r w:rsidR="00460927">
        <w:rPr>
          <w:lang w:val="fr-FR"/>
        </w:rPr>
        <w:t>’</w:t>
      </w:r>
      <w:r w:rsidRPr="001C5F67">
        <w:rPr>
          <w:lang w:val="fr-FR"/>
        </w:rPr>
        <w:t>examen de la demande vietnamienne peut nourrir la réflexion sur la proposition de révision des Directives opérationnelles, ce qui ne sera possible, toutefois, qu</w:t>
      </w:r>
      <w:r w:rsidR="00460927">
        <w:rPr>
          <w:lang w:val="fr-FR"/>
        </w:rPr>
        <w:t>’</w:t>
      </w:r>
      <w:r w:rsidRPr="001C5F67">
        <w:rPr>
          <w:lang w:val="fr-FR"/>
        </w:rPr>
        <w:t>à l</w:t>
      </w:r>
      <w:r w:rsidR="00460927">
        <w:rPr>
          <w:lang w:val="fr-FR"/>
        </w:rPr>
        <w:t>’</w:t>
      </w:r>
      <w:r w:rsidRPr="001C5F67">
        <w:rPr>
          <w:lang w:val="fr-FR"/>
        </w:rPr>
        <w:t>occasion de la douzième session en 2017. Le Viet Nam a dûment soumis son rapport sur l</w:t>
      </w:r>
      <w:r w:rsidR="00460927">
        <w:rPr>
          <w:lang w:val="fr-FR"/>
        </w:rPr>
        <w:t>’</w:t>
      </w:r>
      <w:r w:rsidRPr="001C5F67">
        <w:rPr>
          <w:lang w:val="fr-FR"/>
        </w:rPr>
        <w:t>état de l</w:t>
      </w:r>
      <w:r w:rsidR="00460927">
        <w:rPr>
          <w:lang w:val="fr-FR"/>
        </w:rPr>
        <w:t>’</w:t>
      </w:r>
      <w:r w:rsidRPr="001C5F67">
        <w:rPr>
          <w:lang w:val="fr-FR"/>
        </w:rPr>
        <w:t xml:space="preserve">élément en question et un nouveau dossier de </w:t>
      </w:r>
      <w:r w:rsidR="00C10E14" w:rsidRPr="001C5F67">
        <w:rPr>
          <w:lang w:val="fr-FR"/>
        </w:rPr>
        <w:t xml:space="preserve">candidatures pour </w:t>
      </w:r>
      <w:r w:rsidRPr="001C5F67">
        <w:rPr>
          <w:lang w:val="fr-FR"/>
        </w:rPr>
        <w:t>inscription dudit élément sur la Liste représentative avant la date limite du 31 mars 2016. Ces documents ne seront étudiés par l</w:t>
      </w:r>
      <w:r w:rsidR="00460927">
        <w:rPr>
          <w:lang w:val="fr-FR"/>
        </w:rPr>
        <w:t>’</w:t>
      </w:r>
      <w:r w:rsidRPr="001C5F67">
        <w:rPr>
          <w:lang w:val="fr-FR"/>
        </w:rPr>
        <w:t>Organe d</w:t>
      </w:r>
      <w:r w:rsidR="00460927">
        <w:rPr>
          <w:lang w:val="fr-FR"/>
        </w:rPr>
        <w:t>’</w:t>
      </w:r>
      <w:r w:rsidRPr="001C5F67">
        <w:rPr>
          <w:lang w:val="fr-FR"/>
        </w:rPr>
        <w:t>évaluation et le Comité qu</w:t>
      </w:r>
      <w:r w:rsidR="00460927">
        <w:rPr>
          <w:lang w:val="fr-FR"/>
        </w:rPr>
        <w:t>’</w:t>
      </w:r>
      <w:r w:rsidRPr="001C5F67">
        <w:rPr>
          <w:lang w:val="fr-FR"/>
        </w:rPr>
        <w:t>à l</w:t>
      </w:r>
      <w:r w:rsidR="00460927">
        <w:rPr>
          <w:lang w:val="fr-FR"/>
        </w:rPr>
        <w:t>’</w:t>
      </w:r>
      <w:r w:rsidRPr="001C5F67">
        <w:rPr>
          <w:lang w:val="fr-FR"/>
        </w:rPr>
        <w:t>occasion du cycle de 2017. Cette expérience pourra donc</w:t>
      </w:r>
      <w:r w:rsidR="00C10E14" w:rsidRPr="001C5F67">
        <w:rPr>
          <w:lang w:val="fr-FR"/>
        </w:rPr>
        <w:t xml:space="preserve"> fournir des éléments concrets nourrissant</w:t>
      </w:r>
      <w:r w:rsidRPr="001C5F67">
        <w:rPr>
          <w:lang w:val="fr-FR"/>
        </w:rPr>
        <w:t xml:space="preserve"> la réflexion sur le transfert et le retrait.</w:t>
      </w:r>
    </w:p>
    <w:p w:rsidR="002F6B66" w:rsidRPr="001C5F67" w:rsidRDefault="00C30033" w:rsidP="00A54AC9">
      <w:pPr>
        <w:pStyle w:val="COMPara"/>
        <w:spacing w:before="0"/>
        <w:ind w:left="567" w:hanging="567"/>
        <w:rPr>
          <w:lang w:val="fr-FR"/>
        </w:rPr>
      </w:pPr>
      <w:r w:rsidRPr="001C5F67">
        <w:rPr>
          <w:lang w:val="fr-FR"/>
        </w:rPr>
        <w:t xml:space="preserve">Le groupe de travail intergouvernemental ouvert, que le Comité souhaitait </w:t>
      </w:r>
      <w:r w:rsidR="004D3CD9" w:rsidRPr="001C5F67">
        <w:rPr>
          <w:lang w:val="fr-FR"/>
        </w:rPr>
        <w:t xml:space="preserve">voir </w:t>
      </w:r>
      <w:r w:rsidRPr="001C5F67">
        <w:rPr>
          <w:lang w:val="fr-FR"/>
        </w:rPr>
        <w:t>réuni avant sa douzième session en 2017, pour discuter d</w:t>
      </w:r>
      <w:r w:rsidR="00460927">
        <w:rPr>
          <w:lang w:val="fr-FR"/>
        </w:rPr>
        <w:t>’</w:t>
      </w:r>
      <w:r w:rsidRPr="001C5F67">
        <w:rPr>
          <w:lang w:val="fr-FR"/>
        </w:rPr>
        <w:t xml:space="preserve">une proposition de révision des Directives opérationnelles sur les procédures de transfert et de retrait (paragraphe 10 de la </w:t>
      </w:r>
      <w:hyperlink r:id="rId12">
        <w:r w:rsidR="00080467" w:rsidRPr="001C5F67">
          <w:rPr>
            <w:rStyle w:val="Hyperlink"/>
            <w:lang w:val="fr-FR"/>
          </w:rPr>
          <w:t>décision 10.COM 19</w:t>
        </w:r>
      </w:hyperlink>
      <w:r w:rsidRPr="001C5F67">
        <w:rPr>
          <w:lang w:val="fr-FR"/>
        </w:rPr>
        <w:t xml:space="preserve">), pourrait contribuer </w:t>
      </w:r>
      <w:r w:rsidR="004D3CD9" w:rsidRPr="001C5F67">
        <w:rPr>
          <w:lang w:val="fr-FR"/>
        </w:rPr>
        <w:t xml:space="preserve">de manière fondamentale </w:t>
      </w:r>
      <w:r w:rsidRPr="001C5F67">
        <w:rPr>
          <w:lang w:val="fr-FR"/>
        </w:rPr>
        <w:t>au débat. Cette réunion est toutefois soumise au versement de contributions volontaires supplémentaires au Fonds du patrimoine culturel immatériel en temps voulu et en tout état de cause en janvier 2017 au plus tard. Le Secrétariat n</w:t>
      </w:r>
      <w:r w:rsidR="00460927">
        <w:rPr>
          <w:lang w:val="fr-FR"/>
        </w:rPr>
        <w:t>’</w:t>
      </w:r>
      <w:r w:rsidRPr="001C5F67">
        <w:rPr>
          <w:lang w:val="fr-FR"/>
        </w:rPr>
        <w:t xml:space="preserve">a encore reçu aucune contribution. Si les contributions nécessaires sont bien reçues </w:t>
      </w:r>
      <w:r w:rsidR="004D3CD9" w:rsidRPr="001C5F67">
        <w:rPr>
          <w:lang w:val="fr-FR"/>
        </w:rPr>
        <w:t>d</w:t>
      </w:r>
      <w:r w:rsidR="00460927">
        <w:rPr>
          <w:lang w:val="fr-FR"/>
        </w:rPr>
        <w:t>’</w:t>
      </w:r>
      <w:r w:rsidR="004D3CD9" w:rsidRPr="001C5F67">
        <w:rPr>
          <w:lang w:val="fr-FR"/>
        </w:rPr>
        <w:t xml:space="preserve">ici </w:t>
      </w:r>
      <w:r w:rsidRPr="001C5F67">
        <w:rPr>
          <w:lang w:val="fr-FR"/>
        </w:rPr>
        <w:t xml:space="preserve">janvier 2017, </w:t>
      </w:r>
      <w:r w:rsidR="00336BA7" w:rsidRPr="00E52E66">
        <w:rPr>
          <w:lang w:val="fr-FR"/>
        </w:rPr>
        <w:t>le fait que</w:t>
      </w:r>
      <w:r w:rsidRPr="001C5F67">
        <w:rPr>
          <w:lang w:val="fr-FR"/>
        </w:rPr>
        <w:t xml:space="preserve"> la demande vietnamienne</w:t>
      </w:r>
      <w:r w:rsidR="00336BA7" w:rsidRPr="00E52E66">
        <w:rPr>
          <w:lang w:val="fr-FR"/>
        </w:rPr>
        <w:t xml:space="preserve"> ne sera examinée qu</w:t>
      </w:r>
      <w:r w:rsidR="00460927">
        <w:rPr>
          <w:lang w:val="fr-FR"/>
        </w:rPr>
        <w:t>’</w:t>
      </w:r>
      <w:r w:rsidRPr="001C5F67">
        <w:rPr>
          <w:lang w:val="fr-FR"/>
        </w:rPr>
        <w:t>à l</w:t>
      </w:r>
      <w:r w:rsidR="00460927">
        <w:rPr>
          <w:lang w:val="fr-FR"/>
        </w:rPr>
        <w:t>’</w:t>
      </w:r>
      <w:r w:rsidRPr="001C5F67">
        <w:rPr>
          <w:lang w:val="fr-FR"/>
        </w:rPr>
        <w:t xml:space="preserve">occasion de la douzième session du Comité en 2017 </w:t>
      </w:r>
      <w:r w:rsidR="00336BA7" w:rsidRPr="00E52E66">
        <w:rPr>
          <w:lang w:val="fr-FR"/>
        </w:rPr>
        <w:t>signifie qu</w:t>
      </w:r>
      <w:r w:rsidR="00460927">
        <w:rPr>
          <w:lang w:val="fr-FR"/>
        </w:rPr>
        <w:t>’</w:t>
      </w:r>
      <w:r w:rsidR="004D3CD9" w:rsidRPr="001C5F67">
        <w:rPr>
          <w:lang w:val="fr-FR"/>
        </w:rPr>
        <w:t xml:space="preserve">un </w:t>
      </w:r>
      <w:r w:rsidRPr="001C5F67">
        <w:rPr>
          <w:lang w:val="fr-FR"/>
        </w:rPr>
        <w:t xml:space="preserve">groupe </w:t>
      </w:r>
      <w:r w:rsidRPr="001C5F67">
        <w:rPr>
          <w:lang w:val="fr-FR"/>
        </w:rPr>
        <w:lastRenderedPageBreak/>
        <w:t xml:space="preserve">de travail intergouvernemental ouvert </w:t>
      </w:r>
      <w:r w:rsidR="00336BA7" w:rsidRPr="00E52E66">
        <w:rPr>
          <w:lang w:val="fr-FR"/>
        </w:rPr>
        <w:t>ne pourra pas</w:t>
      </w:r>
      <w:r w:rsidRPr="001C5F67">
        <w:rPr>
          <w:lang w:val="fr-FR"/>
        </w:rPr>
        <w:t xml:space="preserve"> profiter de cette expérience. Il est donc </w:t>
      </w:r>
      <w:r w:rsidR="001C5F67">
        <w:rPr>
          <w:lang w:val="fr-FR"/>
        </w:rPr>
        <w:t>suggéré</w:t>
      </w:r>
      <w:r w:rsidR="001C5F67" w:rsidRPr="001C5F67">
        <w:rPr>
          <w:lang w:val="fr-FR"/>
        </w:rPr>
        <w:t xml:space="preserve"> </w:t>
      </w:r>
      <w:r w:rsidRPr="001C5F67">
        <w:rPr>
          <w:lang w:val="fr-FR"/>
        </w:rPr>
        <w:t>de réunir le groupe de travail ouvert à l</w:t>
      </w:r>
      <w:r w:rsidR="00460927">
        <w:rPr>
          <w:lang w:val="fr-FR"/>
        </w:rPr>
        <w:t>’</w:t>
      </w:r>
      <w:r w:rsidRPr="001C5F67">
        <w:rPr>
          <w:lang w:val="fr-FR"/>
        </w:rPr>
        <w:t>issue de la douzième session du Comité.</w:t>
      </w:r>
    </w:p>
    <w:p w:rsidR="00D95C4C" w:rsidRPr="001C5F67" w:rsidRDefault="000B1C8F" w:rsidP="00AF2597">
      <w:pPr>
        <w:pStyle w:val="COMPara"/>
        <w:spacing w:before="0"/>
        <w:ind w:left="567" w:hanging="567"/>
        <w:rPr>
          <w:lang w:val="fr-FR"/>
        </w:rPr>
      </w:pPr>
      <w:r w:rsidRPr="001C5F67">
        <w:rPr>
          <w:lang w:val="fr-FR"/>
        </w:rPr>
        <w:t>Le Comité souhaitera peut-être adopter la décision suivante :</w:t>
      </w:r>
    </w:p>
    <w:p w:rsidR="00D95C4C" w:rsidRPr="001C5F67" w:rsidRDefault="004A34A0" w:rsidP="00041A66">
      <w:pPr>
        <w:pStyle w:val="COMTitleDecision"/>
        <w:rPr>
          <w:rFonts w:eastAsia="SimSun"/>
          <w:lang w:val="fr-FR"/>
        </w:rPr>
      </w:pPr>
      <w:r w:rsidRPr="001C5F67">
        <w:rPr>
          <w:lang w:val="fr-FR"/>
        </w:rPr>
        <w:t>PROJET DE DÉCISION 11.COM 13</w:t>
      </w:r>
    </w:p>
    <w:p w:rsidR="00D95C4C" w:rsidRPr="001C5F67" w:rsidRDefault="00285BB4" w:rsidP="00AF2597">
      <w:pPr>
        <w:pStyle w:val="COMPreambulaDecisions"/>
        <w:spacing w:before="0"/>
        <w:rPr>
          <w:rFonts w:eastAsia="SimSun"/>
          <w:lang w:val="fr-FR"/>
        </w:rPr>
      </w:pPr>
      <w:r w:rsidRPr="001C5F67">
        <w:rPr>
          <w:lang w:val="fr-FR"/>
        </w:rPr>
        <w:t>Le Comité,</w:t>
      </w:r>
    </w:p>
    <w:p w:rsidR="0039561C" w:rsidRPr="001C5F67" w:rsidRDefault="0039561C" w:rsidP="00AF2597">
      <w:pPr>
        <w:pStyle w:val="COMParaDecision"/>
        <w:numPr>
          <w:ilvl w:val="0"/>
          <w:numId w:val="15"/>
        </w:numPr>
        <w:spacing w:before="0"/>
        <w:ind w:left="1134" w:hanging="567"/>
        <w:rPr>
          <w:lang w:val="fr-FR"/>
        </w:rPr>
      </w:pPr>
      <w:r w:rsidRPr="001C5F67">
        <w:rPr>
          <w:lang w:val="fr-FR"/>
        </w:rPr>
        <w:t>Ayant examiné</w:t>
      </w:r>
      <w:r w:rsidRPr="001C5F67">
        <w:rPr>
          <w:u w:val="none"/>
          <w:lang w:val="fr-FR"/>
        </w:rPr>
        <w:t xml:space="preserve"> le document ITH/16/11.COM/13,</w:t>
      </w:r>
    </w:p>
    <w:p w:rsidR="0039561C" w:rsidRPr="001C5F67" w:rsidRDefault="0039561C" w:rsidP="00AF2597">
      <w:pPr>
        <w:pStyle w:val="COMParaDecision"/>
        <w:numPr>
          <w:ilvl w:val="0"/>
          <w:numId w:val="15"/>
        </w:numPr>
        <w:spacing w:before="0"/>
        <w:ind w:left="1134" w:hanging="567"/>
        <w:rPr>
          <w:u w:val="none"/>
          <w:lang w:val="fr-FR"/>
        </w:rPr>
      </w:pPr>
      <w:r w:rsidRPr="001C5F67">
        <w:rPr>
          <w:lang w:val="fr-FR"/>
        </w:rPr>
        <w:t>Rappelant</w:t>
      </w:r>
      <w:r w:rsidRPr="001C5F67">
        <w:rPr>
          <w:u w:val="none"/>
          <w:lang w:val="fr-FR"/>
        </w:rPr>
        <w:t xml:space="preserve"> les paragraphes 38, 39, 40 et </w:t>
      </w:r>
      <w:r w:rsidR="004D3CD9" w:rsidRPr="001C5F67">
        <w:rPr>
          <w:u w:val="none"/>
          <w:lang w:val="fr-FR"/>
        </w:rPr>
        <w:t>80 </w:t>
      </w:r>
      <w:r w:rsidRPr="001C5F67">
        <w:rPr>
          <w:u w:val="none"/>
          <w:lang w:val="fr-FR"/>
        </w:rPr>
        <w:t>(e) des Directives opérationnelles,</w:t>
      </w:r>
    </w:p>
    <w:p w:rsidR="0039561C" w:rsidRPr="001C5F67" w:rsidRDefault="0039561C" w:rsidP="00AF2597">
      <w:pPr>
        <w:pStyle w:val="COMParaDecision"/>
        <w:numPr>
          <w:ilvl w:val="0"/>
          <w:numId w:val="15"/>
        </w:numPr>
        <w:spacing w:before="0"/>
        <w:ind w:left="1134" w:hanging="567"/>
        <w:rPr>
          <w:lang w:val="fr-FR"/>
        </w:rPr>
      </w:pPr>
      <w:r w:rsidRPr="001C5F67">
        <w:rPr>
          <w:lang w:val="fr-FR"/>
        </w:rPr>
        <w:t>Rappelant également</w:t>
      </w:r>
      <w:r w:rsidRPr="001C5F67">
        <w:rPr>
          <w:u w:val="none"/>
          <w:lang w:val="fr-FR"/>
        </w:rPr>
        <w:t xml:space="preserve"> sa décision </w:t>
      </w:r>
      <w:hyperlink r:id="rId13" w:history="1">
        <w:r w:rsidRPr="00E90D79">
          <w:rPr>
            <w:rStyle w:val="Hyperlink"/>
            <w:lang w:val="fr-FR"/>
          </w:rPr>
          <w:t>10.COM 19</w:t>
        </w:r>
      </w:hyperlink>
      <w:bookmarkStart w:id="0" w:name="_GoBack"/>
      <w:bookmarkEnd w:id="0"/>
      <w:r w:rsidRPr="001C5F67">
        <w:rPr>
          <w:u w:val="none"/>
          <w:lang w:val="fr-FR"/>
        </w:rPr>
        <w:t>,</w:t>
      </w:r>
    </w:p>
    <w:p w:rsidR="0039561C" w:rsidRPr="001C5F67" w:rsidRDefault="0039561C" w:rsidP="00AF2597">
      <w:pPr>
        <w:pStyle w:val="COMParaDecision"/>
        <w:numPr>
          <w:ilvl w:val="0"/>
          <w:numId w:val="15"/>
        </w:numPr>
        <w:spacing w:before="0"/>
        <w:ind w:left="1134" w:hanging="567"/>
        <w:rPr>
          <w:u w:val="none"/>
          <w:lang w:val="fr-FR"/>
        </w:rPr>
      </w:pPr>
      <w:r w:rsidRPr="001C5F67">
        <w:rPr>
          <w:lang w:val="fr-FR"/>
        </w:rPr>
        <w:t>Notant</w:t>
      </w:r>
      <w:r w:rsidRPr="001C5F67">
        <w:rPr>
          <w:u w:val="none"/>
          <w:lang w:val="fr-FR"/>
        </w:rPr>
        <w:t xml:space="preserve"> le débat soulevé à l</w:t>
      </w:r>
      <w:r w:rsidR="00460927">
        <w:rPr>
          <w:u w:val="none"/>
          <w:lang w:val="fr-FR"/>
        </w:rPr>
        <w:t>’</w:t>
      </w:r>
      <w:r w:rsidRPr="001C5F67">
        <w:rPr>
          <w:u w:val="none"/>
          <w:lang w:val="fr-FR"/>
        </w:rPr>
        <w:t xml:space="preserve">occasion de sa dixième session, par la première demande </w:t>
      </w:r>
      <w:r w:rsidR="004D3CD9" w:rsidRPr="001C5F67">
        <w:rPr>
          <w:u w:val="none"/>
          <w:lang w:val="fr-FR"/>
        </w:rPr>
        <w:t>de l</w:t>
      </w:r>
      <w:r w:rsidR="00460927">
        <w:rPr>
          <w:u w:val="none"/>
          <w:lang w:val="fr-FR"/>
        </w:rPr>
        <w:t>’</w:t>
      </w:r>
      <w:r w:rsidR="004D3CD9" w:rsidRPr="001C5F67">
        <w:rPr>
          <w:u w:val="none"/>
          <w:lang w:val="fr-FR"/>
        </w:rPr>
        <w:t>histoire de la Convention concernant le</w:t>
      </w:r>
      <w:r w:rsidRPr="001C5F67">
        <w:rPr>
          <w:u w:val="none"/>
          <w:lang w:val="fr-FR"/>
        </w:rPr>
        <w:t xml:space="preserve"> transfert d</w:t>
      </w:r>
      <w:r w:rsidR="00460927">
        <w:rPr>
          <w:u w:val="none"/>
          <w:lang w:val="fr-FR"/>
        </w:rPr>
        <w:t>’</w:t>
      </w:r>
      <w:r w:rsidRPr="001C5F67">
        <w:rPr>
          <w:u w:val="none"/>
          <w:lang w:val="fr-FR"/>
        </w:rPr>
        <w:t xml:space="preserve">un élément de la Liste du patrimoine culturel immatériel nécessitant une sauvegarde urgente </w:t>
      </w:r>
      <w:r w:rsidR="004D3CD9" w:rsidRPr="001C5F67">
        <w:rPr>
          <w:u w:val="none"/>
          <w:lang w:val="fr-FR"/>
        </w:rPr>
        <w:t xml:space="preserve">à </w:t>
      </w:r>
      <w:r w:rsidRPr="001C5F67">
        <w:rPr>
          <w:u w:val="none"/>
          <w:lang w:val="fr-FR"/>
        </w:rPr>
        <w:t>la Liste représentative du patrimoine culturel immatériel de l</w:t>
      </w:r>
      <w:r w:rsidR="00460927">
        <w:rPr>
          <w:u w:val="none"/>
          <w:lang w:val="fr-FR"/>
        </w:rPr>
        <w:t>’</w:t>
      </w:r>
      <w:r w:rsidRPr="001C5F67">
        <w:rPr>
          <w:u w:val="none"/>
          <w:lang w:val="fr-FR"/>
        </w:rPr>
        <w:t>humanité,</w:t>
      </w:r>
    </w:p>
    <w:p w:rsidR="00616FEC" w:rsidRPr="001C5F67" w:rsidRDefault="001F6CBA" w:rsidP="00717196">
      <w:pPr>
        <w:pStyle w:val="COMParaDecision"/>
        <w:numPr>
          <w:ilvl w:val="0"/>
          <w:numId w:val="15"/>
        </w:numPr>
        <w:spacing w:before="0"/>
        <w:ind w:left="1134" w:hanging="567"/>
        <w:rPr>
          <w:u w:val="none"/>
          <w:lang w:val="fr-FR"/>
        </w:rPr>
      </w:pPr>
      <w:r w:rsidRPr="001C5F67">
        <w:rPr>
          <w:lang w:val="fr-FR"/>
        </w:rPr>
        <w:t>Considérant</w:t>
      </w:r>
      <w:r w:rsidRPr="001C5F67">
        <w:rPr>
          <w:u w:val="none"/>
          <w:lang w:val="fr-FR"/>
        </w:rPr>
        <w:t xml:space="preserve"> que la demande du Viet Nam concernant l</w:t>
      </w:r>
      <w:r w:rsidR="00460927">
        <w:rPr>
          <w:u w:val="none"/>
          <w:lang w:val="fr-FR"/>
        </w:rPr>
        <w:t>’</w:t>
      </w:r>
      <w:r w:rsidRPr="001C5F67">
        <w:rPr>
          <w:u w:val="none"/>
          <w:lang w:val="fr-FR"/>
        </w:rPr>
        <w:t>élément « Le chant Xoan de la Province de Phú Thọ (Viet Nam) » sera examinée par le Comité à l</w:t>
      </w:r>
      <w:r w:rsidR="00460927">
        <w:rPr>
          <w:u w:val="none"/>
          <w:lang w:val="fr-FR"/>
        </w:rPr>
        <w:t>’</w:t>
      </w:r>
      <w:r w:rsidRPr="001C5F67">
        <w:rPr>
          <w:u w:val="none"/>
          <w:lang w:val="fr-FR"/>
        </w:rPr>
        <w:t>occasion de sa douzième session en 2017, à titre exceptionnel, et que l</w:t>
      </w:r>
      <w:r w:rsidR="00460927">
        <w:rPr>
          <w:u w:val="none"/>
          <w:lang w:val="fr-FR"/>
        </w:rPr>
        <w:t>’</w:t>
      </w:r>
      <w:r w:rsidRPr="001C5F67">
        <w:rPr>
          <w:u w:val="none"/>
          <w:lang w:val="fr-FR"/>
        </w:rPr>
        <w:t>expérience acquise nourrira la réflexion sur les procédures</w:t>
      </w:r>
      <w:r w:rsidR="002379E5">
        <w:rPr>
          <w:u w:val="none"/>
          <w:lang w:val="fr-FR"/>
        </w:rPr>
        <w:t xml:space="preserve"> permettant de</w:t>
      </w:r>
      <w:r w:rsidRPr="001C5F67">
        <w:rPr>
          <w:u w:val="none"/>
          <w:lang w:val="fr-FR"/>
        </w:rPr>
        <w:t xml:space="preserve"> clarifi</w:t>
      </w:r>
      <w:r w:rsidR="002379E5">
        <w:rPr>
          <w:u w:val="none"/>
          <w:lang w:val="fr-FR"/>
        </w:rPr>
        <w:t>er</w:t>
      </w:r>
      <w:r w:rsidRPr="001C5F67">
        <w:rPr>
          <w:u w:val="none"/>
          <w:lang w:val="fr-FR"/>
        </w:rPr>
        <w:t xml:space="preserve"> le transfert d</w:t>
      </w:r>
      <w:r w:rsidR="00460927">
        <w:rPr>
          <w:u w:val="none"/>
          <w:lang w:val="fr-FR"/>
        </w:rPr>
        <w:t>’</w:t>
      </w:r>
      <w:r w:rsidRPr="001C5F67">
        <w:rPr>
          <w:u w:val="none"/>
          <w:lang w:val="fr-FR"/>
        </w:rPr>
        <w:t>un élément d</w:t>
      </w:r>
      <w:r w:rsidR="00460927">
        <w:rPr>
          <w:u w:val="none"/>
          <w:lang w:val="fr-FR"/>
        </w:rPr>
        <w:t>’</w:t>
      </w:r>
      <w:r w:rsidRPr="001C5F67">
        <w:rPr>
          <w:u w:val="none"/>
          <w:lang w:val="fr-FR"/>
        </w:rPr>
        <w:t xml:space="preserve">une </w:t>
      </w:r>
      <w:r w:rsidR="00305772" w:rsidRPr="001C5F67">
        <w:rPr>
          <w:u w:val="none"/>
          <w:lang w:val="fr-FR"/>
        </w:rPr>
        <w:t>l</w:t>
      </w:r>
      <w:r w:rsidRPr="001C5F67">
        <w:rPr>
          <w:u w:val="none"/>
          <w:lang w:val="fr-FR"/>
        </w:rPr>
        <w:t>iste à l</w:t>
      </w:r>
      <w:r w:rsidR="00460927">
        <w:rPr>
          <w:u w:val="none"/>
          <w:lang w:val="fr-FR"/>
        </w:rPr>
        <w:t>’</w:t>
      </w:r>
      <w:r w:rsidRPr="001C5F67">
        <w:rPr>
          <w:u w:val="none"/>
          <w:lang w:val="fr-FR"/>
        </w:rPr>
        <w:t>autre et le retrait d</w:t>
      </w:r>
      <w:r w:rsidR="00460927">
        <w:rPr>
          <w:u w:val="none"/>
          <w:lang w:val="fr-FR"/>
        </w:rPr>
        <w:t>’</w:t>
      </w:r>
      <w:r w:rsidRPr="001C5F67">
        <w:rPr>
          <w:u w:val="none"/>
          <w:lang w:val="fr-FR"/>
        </w:rPr>
        <w:t>un élément d</w:t>
      </w:r>
      <w:r w:rsidR="00460927">
        <w:rPr>
          <w:u w:val="none"/>
          <w:lang w:val="fr-FR"/>
        </w:rPr>
        <w:t>’</w:t>
      </w:r>
      <w:r w:rsidRPr="001C5F67">
        <w:rPr>
          <w:u w:val="none"/>
          <w:lang w:val="fr-FR"/>
        </w:rPr>
        <w:t xml:space="preserve">une </w:t>
      </w:r>
      <w:r w:rsidR="00305772" w:rsidRPr="001C5F67">
        <w:rPr>
          <w:u w:val="none"/>
          <w:lang w:val="fr-FR"/>
        </w:rPr>
        <w:t>l</w:t>
      </w:r>
      <w:r w:rsidRPr="001C5F67">
        <w:rPr>
          <w:u w:val="none"/>
          <w:lang w:val="fr-FR"/>
        </w:rPr>
        <w:t>iste,</w:t>
      </w:r>
    </w:p>
    <w:p w:rsidR="00425808" w:rsidRPr="001C5F67" w:rsidRDefault="00425808" w:rsidP="00425808">
      <w:pPr>
        <w:pStyle w:val="COMParaDecision"/>
        <w:numPr>
          <w:ilvl w:val="0"/>
          <w:numId w:val="15"/>
        </w:numPr>
        <w:spacing w:before="0"/>
        <w:ind w:left="1134" w:hanging="567"/>
        <w:rPr>
          <w:u w:val="none"/>
          <w:lang w:val="fr-FR"/>
        </w:rPr>
      </w:pPr>
      <w:r w:rsidRPr="001C5F67">
        <w:rPr>
          <w:lang w:val="fr-FR"/>
        </w:rPr>
        <w:t>Décide</w:t>
      </w:r>
      <w:r w:rsidRPr="001C5F67">
        <w:rPr>
          <w:u w:val="none"/>
          <w:lang w:val="fr-FR"/>
        </w:rPr>
        <w:t xml:space="preserve"> de poursuivre la réflexion </w:t>
      </w:r>
      <w:r w:rsidR="00305772" w:rsidRPr="001C5F67">
        <w:rPr>
          <w:u w:val="none"/>
          <w:lang w:val="fr-FR"/>
        </w:rPr>
        <w:t xml:space="preserve">générale </w:t>
      </w:r>
      <w:r w:rsidRPr="001C5F67">
        <w:rPr>
          <w:u w:val="none"/>
          <w:lang w:val="fr-FR"/>
        </w:rPr>
        <w:t>sur ce point à l</w:t>
      </w:r>
      <w:r w:rsidR="00460927">
        <w:rPr>
          <w:u w:val="none"/>
          <w:lang w:val="fr-FR"/>
        </w:rPr>
        <w:t>’</w:t>
      </w:r>
      <w:r w:rsidRPr="001C5F67">
        <w:rPr>
          <w:u w:val="none"/>
          <w:lang w:val="fr-FR"/>
        </w:rPr>
        <w:t>occasion de sa prochaine session au vu de l</w:t>
      </w:r>
      <w:r w:rsidR="00460927">
        <w:rPr>
          <w:u w:val="none"/>
          <w:lang w:val="fr-FR"/>
        </w:rPr>
        <w:t>’</w:t>
      </w:r>
      <w:r w:rsidRPr="001C5F67">
        <w:rPr>
          <w:u w:val="none"/>
          <w:lang w:val="fr-FR"/>
        </w:rPr>
        <w:t>examen de l</w:t>
      </w:r>
      <w:r w:rsidR="00460927">
        <w:rPr>
          <w:u w:val="none"/>
          <w:lang w:val="fr-FR"/>
        </w:rPr>
        <w:t>’</w:t>
      </w:r>
      <w:r w:rsidRPr="001C5F67">
        <w:rPr>
          <w:u w:val="none"/>
          <w:lang w:val="fr-FR"/>
        </w:rPr>
        <w:t>élément « Le chant Xoan de la Province de Phú Thọ (Viet Nam) » ;</w:t>
      </w:r>
    </w:p>
    <w:p w:rsidR="00425808" w:rsidRPr="001C5F67" w:rsidRDefault="00425808" w:rsidP="00425808">
      <w:pPr>
        <w:pStyle w:val="COMParaDecision"/>
        <w:numPr>
          <w:ilvl w:val="0"/>
          <w:numId w:val="15"/>
        </w:numPr>
        <w:spacing w:before="0"/>
        <w:ind w:left="1134" w:hanging="567"/>
        <w:rPr>
          <w:u w:val="none"/>
          <w:lang w:val="fr-FR"/>
        </w:rPr>
      </w:pPr>
      <w:r w:rsidRPr="001C5F67">
        <w:rPr>
          <w:lang w:val="fr-FR"/>
        </w:rPr>
        <w:t>Appelle</w:t>
      </w:r>
      <w:r w:rsidRPr="001C5F67">
        <w:rPr>
          <w:u w:val="none"/>
          <w:lang w:val="fr-FR"/>
        </w:rPr>
        <w:t xml:space="preserve"> les États parties à verser, de manière volontaire, une contribution au Fonds du patrimoine culturel immatériel pour permettre au Secrétariat de disposer en temps voulu, et en tout état de cause en janvier 2018 au plus tard, des fonds nécessaires pour réunir le groupe de travail intergouvernemental ouvert afin de débattre d</w:t>
      </w:r>
      <w:r w:rsidR="00460927">
        <w:rPr>
          <w:u w:val="none"/>
          <w:lang w:val="fr-FR"/>
        </w:rPr>
        <w:t>’</w:t>
      </w:r>
      <w:r w:rsidRPr="001C5F67">
        <w:rPr>
          <w:u w:val="none"/>
          <w:lang w:val="fr-FR"/>
        </w:rPr>
        <w:t xml:space="preserve">un projet de révision des </w:t>
      </w:r>
      <w:r w:rsidR="00305772" w:rsidRPr="001C5F67">
        <w:rPr>
          <w:u w:val="none"/>
          <w:lang w:val="fr-FR"/>
        </w:rPr>
        <w:t>D</w:t>
      </w:r>
      <w:r w:rsidRPr="001C5F67">
        <w:rPr>
          <w:u w:val="none"/>
          <w:lang w:val="fr-FR"/>
        </w:rPr>
        <w:t>irectives opérationnelles concernant la procédure de retrait d</w:t>
      </w:r>
      <w:r w:rsidR="00460927">
        <w:rPr>
          <w:u w:val="none"/>
          <w:lang w:val="fr-FR"/>
        </w:rPr>
        <w:t>’</w:t>
      </w:r>
      <w:r w:rsidRPr="001C5F67">
        <w:rPr>
          <w:u w:val="none"/>
          <w:lang w:val="fr-FR"/>
        </w:rPr>
        <w:t>un élément d</w:t>
      </w:r>
      <w:r w:rsidR="00460927">
        <w:rPr>
          <w:u w:val="none"/>
          <w:lang w:val="fr-FR"/>
        </w:rPr>
        <w:t>’</w:t>
      </w:r>
      <w:r w:rsidRPr="001C5F67">
        <w:rPr>
          <w:u w:val="none"/>
          <w:lang w:val="fr-FR"/>
        </w:rPr>
        <w:t>une liste et le transfert d</w:t>
      </w:r>
      <w:r w:rsidR="00460927">
        <w:rPr>
          <w:u w:val="none"/>
          <w:lang w:val="fr-FR"/>
        </w:rPr>
        <w:t>’</w:t>
      </w:r>
      <w:r w:rsidRPr="001C5F67">
        <w:rPr>
          <w:u w:val="none"/>
          <w:lang w:val="fr-FR"/>
        </w:rPr>
        <w:t>un élément d</w:t>
      </w:r>
      <w:r w:rsidR="00460927">
        <w:rPr>
          <w:u w:val="none"/>
          <w:lang w:val="fr-FR"/>
        </w:rPr>
        <w:t>’</w:t>
      </w:r>
      <w:r w:rsidRPr="001C5F67">
        <w:rPr>
          <w:u w:val="none"/>
          <w:lang w:val="fr-FR"/>
        </w:rPr>
        <w:t>une liste à l</w:t>
      </w:r>
      <w:r w:rsidR="00460927">
        <w:rPr>
          <w:u w:val="none"/>
          <w:lang w:val="fr-FR"/>
        </w:rPr>
        <w:t>’</w:t>
      </w:r>
      <w:r w:rsidRPr="001C5F67">
        <w:rPr>
          <w:u w:val="none"/>
          <w:lang w:val="fr-FR"/>
        </w:rPr>
        <w:t>autre</w:t>
      </w:r>
      <w:r w:rsidR="00305772" w:rsidRPr="001C5F67">
        <w:rPr>
          <w:u w:val="none"/>
          <w:lang w:val="fr-FR"/>
        </w:rPr>
        <w:t> ;</w:t>
      </w:r>
      <w:r w:rsidRPr="001C5F67">
        <w:rPr>
          <w:u w:val="none"/>
          <w:lang w:val="fr-FR"/>
        </w:rPr>
        <w:t xml:space="preserve"> </w:t>
      </w:r>
      <w:r w:rsidR="00305772" w:rsidRPr="001C5F67">
        <w:rPr>
          <w:u w:val="none"/>
          <w:lang w:val="fr-FR"/>
        </w:rPr>
        <w:t>c</w:t>
      </w:r>
      <w:r w:rsidRPr="001C5F67">
        <w:rPr>
          <w:u w:val="none"/>
          <w:lang w:val="fr-FR"/>
        </w:rPr>
        <w:t>ette contribution doit couvrir tous les coûts d</w:t>
      </w:r>
      <w:r w:rsidR="00460927">
        <w:rPr>
          <w:u w:val="none"/>
          <w:lang w:val="fr-FR"/>
        </w:rPr>
        <w:t>’</w:t>
      </w:r>
      <w:r w:rsidRPr="001C5F67">
        <w:rPr>
          <w:u w:val="none"/>
          <w:lang w:val="fr-FR"/>
        </w:rPr>
        <w:t>organisation de la réunion et les coûts de participation des représentants des pays en développement parties à la Convention, qu</w:t>
      </w:r>
      <w:r w:rsidR="00460927">
        <w:rPr>
          <w:u w:val="none"/>
          <w:lang w:val="fr-FR"/>
        </w:rPr>
        <w:t>’</w:t>
      </w:r>
      <w:r w:rsidRPr="001C5F67">
        <w:rPr>
          <w:u w:val="none"/>
          <w:lang w:val="fr-FR"/>
        </w:rPr>
        <w:t>ils soient membres du Comité ou non, mais uniquement pour les personnes expert</w:t>
      </w:r>
      <w:r w:rsidR="00030E6E" w:rsidRPr="001C5F67">
        <w:rPr>
          <w:u w:val="none"/>
          <w:lang w:val="fr-FR"/>
        </w:rPr>
        <w:t>e</w:t>
      </w:r>
      <w:r w:rsidRPr="001C5F67">
        <w:rPr>
          <w:u w:val="none"/>
          <w:lang w:val="fr-FR"/>
        </w:rPr>
        <w:t>s du patrimoine culturel immatériel ;</w:t>
      </w:r>
    </w:p>
    <w:p w:rsidR="00B22CC1" w:rsidRPr="001C5F67" w:rsidRDefault="00425808" w:rsidP="001C5F67">
      <w:pPr>
        <w:pStyle w:val="COMParaDecision"/>
        <w:numPr>
          <w:ilvl w:val="0"/>
          <w:numId w:val="15"/>
        </w:numPr>
        <w:spacing w:before="0"/>
        <w:ind w:left="1134" w:hanging="567"/>
        <w:rPr>
          <w:lang w:val="fr-FR"/>
        </w:rPr>
      </w:pPr>
      <w:r w:rsidRPr="001C5F67">
        <w:rPr>
          <w:lang w:val="fr-FR"/>
        </w:rPr>
        <w:t>Demande</w:t>
      </w:r>
      <w:r w:rsidRPr="001C5F67">
        <w:rPr>
          <w:u w:val="none"/>
          <w:lang w:val="fr-FR"/>
        </w:rPr>
        <w:t xml:space="preserve"> au Secrétariat de proposer</w:t>
      </w:r>
      <w:r w:rsidR="00147E4D" w:rsidRPr="001C5F67">
        <w:rPr>
          <w:u w:val="none"/>
          <w:lang w:val="fr-FR"/>
        </w:rPr>
        <w:t xml:space="preserve">, </w:t>
      </w:r>
      <w:r w:rsidR="002379E5" w:rsidRPr="00E52E66">
        <w:rPr>
          <w:u w:val="none"/>
          <w:lang w:val="fr-FR"/>
        </w:rPr>
        <w:t>sur la base</w:t>
      </w:r>
      <w:r w:rsidR="00147E4D" w:rsidRPr="001C5F67">
        <w:rPr>
          <w:u w:val="none"/>
          <w:lang w:val="fr-FR"/>
        </w:rPr>
        <w:t xml:space="preserve"> des discussions </w:t>
      </w:r>
      <w:r w:rsidR="002379E5" w:rsidRPr="00E52E66">
        <w:rPr>
          <w:u w:val="none"/>
          <w:lang w:val="fr-FR"/>
        </w:rPr>
        <w:t xml:space="preserve">lors de </w:t>
      </w:r>
      <w:r w:rsidR="00A171B9">
        <w:rPr>
          <w:u w:val="none"/>
          <w:lang w:val="fr-FR"/>
        </w:rPr>
        <w:t>l</w:t>
      </w:r>
      <w:r w:rsidR="00147E4D" w:rsidRPr="001C5F67">
        <w:rPr>
          <w:u w:val="none"/>
          <w:lang w:val="fr-FR"/>
        </w:rPr>
        <w:t>a présente session, de l</w:t>
      </w:r>
      <w:r w:rsidR="00460927">
        <w:rPr>
          <w:u w:val="none"/>
          <w:lang w:val="fr-FR"/>
        </w:rPr>
        <w:t>’</w:t>
      </w:r>
      <w:r w:rsidR="00147E4D" w:rsidRPr="001C5F67">
        <w:rPr>
          <w:u w:val="none"/>
          <w:lang w:val="fr-FR"/>
        </w:rPr>
        <w:t xml:space="preserve">expérience </w:t>
      </w:r>
      <w:r w:rsidR="002379E5" w:rsidRPr="00E52E66">
        <w:rPr>
          <w:u w:val="none"/>
          <w:lang w:val="fr-FR"/>
        </w:rPr>
        <w:t>du V</w:t>
      </w:r>
      <w:r w:rsidR="00147E4D" w:rsidRPr="001C5F67">
        <w:rPr>
          <w:u w:val="none"/>
          <w:lang w:val="fr-FR"/>
        </w:rPr>
        <w:t>iet</w:t>
      </w:r>
      <w:r w:rsidR="002379E5" w:rsidRPr="00E52E66">
        <w:rPr>
          <w:u w:val="none"/>
          <w:lang w:val="fr-FR"/>
        </w:rPr>
        <w:t xml:space="preserve"> N</w:t>
      </w:r>
      <w:r w:rsidR="00147E4D" w:rsidRPr="001C5F67">
        <w:rPr>
          <w:u w:val="none"/>
          <w:lang w:val="fr-FR"/>
        </w:rPr>
        <w:t>am acquise à l</w:t>
      </w:r>
      <w:r w:rsidR="00460927">
        <w:rPr>
          <w:u w:val="none"/>
          <w:lang w:val="fr-FR"/>
        </w:rPr>
        <w:t>’</w:t>
      </w:r>
      <w:r w:rsidR="00147E4D" w:rsidRPr="001C5F67">
        <w:rPr>
          <w:u w:val="none"/>
          <w:lang w:val="fr-FR"/>
        </w:rPr>
        <w:t xml:space="preserve">occasion de </w:t>
      </w:r>
      <w:r w:rsidR="00A171B9">
        <w:rPr>
          <w:u w:val="none"/>
          <w:lang w:val="fr-FR"/>
        </w:rPr>
        <w:t>l</w:t>
      </w:r>
      <w:r w:rsidR="00147E4D" w:rsidRPr="001C5F67">
        <w:rPr>
          <w:u w:val="none"/>
          <w:lang w:val="fr-FR"/>
        </w:rPr>
        <w:t>a prochaine session et des conclusions du groupe de travail ouvert,</w:t>
      </w:r>
      <w:r w:rsidRPr="001C5F67">
        <w:rPr>
          <w:u w:val="none"/>
          <w:lang w:val="fr-FR"/>
        </w:rPr>
        <w:t xml:space="preserve"> un projet de révision des Directives opérationnelles, qu</w:t>
      </w:r>
      <w:r w:rsidR="002379E5" w:rsidRPr="00E52E66">
        <w:rPr>
          <w:u w:val="none"/>
          <w:lang w:val="fr-FR"/>
        </w:rPr>
        <w:t>e le Comité pourra examiner et</w:t>
      </w:r>
      <w:r w:rsidRPr="001C5F67">
        <w:rPr>
          <w:u w:val="none"/>
          <w:lang w:val="fr-FR"/>
        </w:rPr>
        <w:t xml:space="preserve"> soum</w:t>
      </w:r>
      <w:r w:rsidR="002379E5" w:rsidRPr="00E52E66">
        <w:rPr>
          <w:u w:val="none"/>
          <w:lang w:val="fr-FR"/>
        </w:rPr>
        <w:t>ettre</w:t>
      </w:r>
      <w:r w:rsidRPr="001C5F67">
        <w:rPr>
          <w:u w:val="none"/>
          <w:lang w:val="fr-FR"/>
        </w:rPr>
        <w:t xml:space="preserve"> à </w:t>
      </w:r>
      <w:r w:rsidR="00147E4D" w:rsidRPr="001C5F67">
        <w:rPr>
          <w:u w:val="none"/>
          <w:lang w:val="fr-FR"/>
        </w:rPr>
        <w:t>une</w:t>
      </w:r>
      <w:r w:rsidRPr="001C5F67">
        <w:rPr>
          <w:u w:val="none"/>
          <w:lang w:val="fr-FR"/>
        </w:rPr>
        <w:t xml:space="preserve"> prochaine</w:t>
      </w:r>
      <w:r w:rsidR="00147E4D" w:rsidRPr="001C5F67">
        <w:rPr>
          <w:u w:val="none"/>
          <w:lang w:val="fr-FR"/>
        </w:rPr>
        <w:t xml:space="preserve"> session de</w:t>
      </w:r>
      <w:r w:rsidRPr="001C5F67">
        <w:rPr>
          <w:u w:val="none"/>
          <w:lang w:val="fr-FR"/>
        </w:rPr>
        <w:t xml:space="preserve"> </w:t>
      </w:r>
      <w:r w:rsidR="00147E4D" w:rsidRPr="001C5F67">
        <w:rPr>
          <w:u w:val="none"/>
          <w:lang w:val="fr-FR"/>
        </w:rPr>
        <w:t>l</w:t>
      </w:r>
      <w:r w:rsidR="00460927">
        <w:rPr>
          <w:u w:val="none"/>
          <w:lang w:val="fr-FR"/>
        </w:rPr>
        <w:t>’</w:t>
      </w:r>
      <w:r w:rsidRPr="001C5F67">
        <w:rPr>
          <w:u w:val="none"/>
          <w:lang w:val="fr-FR"/>
        </w:rPr>
        <w:t>Assemblée générale</w:t>
      </w:r>
      <w:r w:rsidR="00DF6FD1" w:rsidRPr="001C5F67">
        <w:rPr>
          <w:u w:val="none"/>
          <w:lang w:val="fr-FR"/>
        </w:rPr>
        <w:t>.</w:t>
      </w:r>
    </w:p>
    <w:sectPr w:rsidR="00B22CC1" w:rsidRPr="001C5F67"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19" w:rsidRDefault="00855719" w:rsidP="00655736">
      <w:r>
        <w:separator/>
      </w:r>
    </w:p>
  </w:endnote>
  <w:endnote w:type="continuationSeparator" w:id="0">
    <w:p w:rsidR="00855719" w:rsidRDefault="0085571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19" w:rsidRDefault="00855719" w:rsidP="00655736">
      <w:r>
        <w:separator/>
      </w:r>
    </w:p>
  </w:footnote>
  <w:footnote w:type="continuationSeparator" w:id="0">
    <w:p w:rsidR="00855719" w:rsidRDefault="00855719"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CB0542" w:rsidP="00460927">
    <w:pPr>
      <w:pStyle w:val="Header"/>
      <w:ind w:left="0"/>
      <w:rPr>
        <w:rFonts w:ascii="Arial" w:hAnsi="Arial" w:cs="Arial"/>
      </w:rPr>
    </w:pPr>
    <w:r>
      <w:rPr>
        <w:rFonts w:ascii="Arial" w:hAnsi="Arial"/>
        <w:sz w:val="20"/>
      </w:rPr>
      <w:t xml:space="preserve">ITH/16/11.COM/13 – page </w:t>
    </w:r>
    <w:r w:rsidR="00743B16"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743B16" w:rsidRPr="00C23A97">
      <w:rPr>
        <w:rStyle w:val="PageNumber"/>
        <w:rFonts w:ascii="Arial" w:hAnsi="Arial" w:cs="Arial"/>
        <w:sz w:val="20"/>
        <w:szCs w:val="20"/>
      </w:rPr>
      <w:fldChar w:fldCharType="separate"/>
    </w:r>
    <w:r w:rsidR="00E90D79">
      <w:rPr>
        <w:rStyle w:val="PageNumber"/>
        <w:rFonts w:ascii="Arial" w:hAnsi="Arial" w:cs="Arial"/>
        <w:noProof/>
        <w:sz w:val="20"/>
        <w:szCs w:val="20"/>
      </w:rPr>
      <w:t>4</w:t>
    </w:r>
    <w:r w:rsidR="00743B16"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39561C" w:rsidP="0063300C">
    <w:pPr>
      <w:pStyle w:val="Header"/>
      <w:jc w:val="right"/>
      <w:rPr>
        <w:rFonts w:ascii="Arial" w:hAnsi="Arial" w:cs="Arial"/>
      </w:rPr>
    </w:pPr>
    <w:r>
      <w:rPr>
        <w:rFonts w:ascii="Arial" w:hAnsi="Arial"/>
        <w:sz w:val="20"/>
      </w:rPr>
      <w:t xml:space="preserve">ITH/16/11.COM/13 – page </w:t>
    </w:r>
    <w:r w:rsidR="00743B16"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743B16" w:rsidRPr="0063300C">
      <w:rPr>
        <w:rStyle w:val="PageNumber"/>
        <w:rFonts w:ascii="Arial" w:hAnsi="Arial" w:cs="Arial"/>
        <w:sz w:val="20"/>
        <w:szCs w:val="20"/>
      </w:rPr>
      <w:fldChar w:fldCharType="separate"/>
    </w:r>
    <w:r w:rsidR="00E90D79">
      <w:rPr>
        <w:rStyle w:val="PageNumber"/>
        <w:rFonts w:ascii="Arial" w:hAnsi="Arial" w:cs="Arial"/>
        <w:noProof/>
        <w:sz w:val="20"/>
        <w:szCs w:val="20"/>
      </w:rPr>
      <w:t>5</w:t>
    </w:r>
    <w:r w:rsidR="00743B16"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927" w:rsidRPr="00460927" w:rsidRDefault="00460927" w:rsidP="00460927">
    <w:pPr>
      <w:tabs>
        <w:tab w:val="center" w:pos="4536"/>
        <w:tab w:val="right" w:pos="9072"/>
      </w:tabs>
      <w:spacing w:before="0" w:after="0"/>
      <w:ind w:left="0"/>
      <w:jc w:val="left"/>
    </w:pPr>
    <w:r w:rsidRPr="00460927">
      <w:rPr>
        <w:noProof/>
      </w:rPr>
      <w:drawing>
        <wp:anchor distT="0" distB="0" distL="114300" distR="114300" simplePos="0" relativeHeight="251659264" behindDoc="0" locked="0" layoutInCell="1" allowOverlap="1" wp14:anchorId="41B18924" wp14:editId="52E704AA">
          <wp:simplePos x="0" y="0"/>
          <wp:positionH relativeFrom="column">
            <wp:posOffset>-377190</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927" w:rsidRPr="00460927" w:rsidRDefault="00460927" w:rsidP="00460927">
    <w:pPr>
      <w:tabs>
        <w:tab w:val="center" w:pos="4536"/>
        <w:tab w:val="right" w:pos="9072"/>
      </w:tabs>
      <w:spacing w:before="0" w:after="520"/>
      <w:ind w:left="0"/>
      <w:jc w:val="right"/>
      <w:rPr>
        <w:rFonts w:ascii="Arial" w:hAnsi="Arial" w:cs="Arial"/>
        <w:b/>
        <w:sz w:val="44"/>
        <w:szCs w:val="44"/>
        <w:lang w:val="en-US"/>
      </w:rPr>
    </w:pPr>
    <w:r w:rsidRPr="00460927">
      <w:rPr>
        <w:rFonts w:ascii="Arial" w:hAnsi="Arial" w:cs="Arial"/>
        <w:b/>
        <w:sz w:val="44"/>
        <w:szCs w:val="44"/>
        <w:lang w:val="en-US"/>
      </w:rPr>
      <w:t>11 COM</w:t>
    </w:r>
  </w:p>
  <w:p w:rsidR="00460927" w:rsidRPr="00460927" w:rsidRDefault="00460927" w:rsidP="00460927">
    <w:pPr>
      <w:spacing w:before="0" w:after="0"/>
      <w:ind w:left="0"/>
      <w:jc w:val="right"/>
      <w:rPr>
        <w:rFonts w:ascii="Arial" w:eastAsia="Malgun Gothic" w:hAnsi="Arial" w:cs="Arial"/>
        <w:b/>
        <w:sz w:val="22"/>
        <w:szCs w:val="22"/>
        <w:lang w:val="en-US" w:eastAsia="ko-KR"/>
      </w:rPr>
    </w:pPr>
    <w:r w:rsidRPr="00460927">
      <w:rPr>
        <w:rFonts w:ascii="Arial" w:hAnsi="Arial" w:cs="Arial"/>
        <w:b/>
        <w:sz w:val="22"/>
        <w:szCs w:val="22"/>
        <w:lang w:val="en-US"/>
      </w:rPr>
      <w:t>ITH/16/11.COM/</w:t>
    </w:r>
    <w:r>
      <w:rPr>
        <w:rFonts w:ascii="Arial" w:eastAsia="Malgun Gothic" w:hAnsi="Arial" w:cs="Arial" w:hint="eastAsia"/>
        <w:b/>
        <w:sz w:val="22"/>
        <w:szCs w:val="22"/>
        <w:lang w:val="en-US" w:eastAsia="ko-KR"/>
      </w:rPr>
      <w:t>13</w:t>
    </w:r>
  </w:p>
  <w:p w:rsidR="00460927" w:rsidRPr="00460927" w:rsidRDefault="00460927" w:rsidP="00460927">
    <w:pPr>
      <w:spacing w:before="0" w:after="0"/>
      <w:ind w:left="0"/>
      <w:jc w:val="right"/>
      <w:rPr>
        <w:rFonts w:ascii="Arial" w:hAnsi="Arial" w:cs="Arial"/>
        <w:b/>
        <w:sz w:val="22"/>
        <w:szCs w:val="22"/>
        <w:lang w:val="en-US"/>
      </w:rPr>
    </w:pPr>
    <w:r w:rsidRPr="00460927">
      <w:rPr>
        <w:rFonts w:ascii="Arial" w:hAnsi="Arial" w:cs="Arial"/>
        <w:b/>
        <w:sz w:val="22"/>
        <w:szCs w:val="22"/>
        <w:lang w:val="en-US"/>
      </w:rPr>
      <w:t xml:space="preserve">Paris, le </w:t>
    </w:r>
    <w:r>
      <w:rPr>
        <w:rFonts w:ascii="Arial" w:eastAsia="Malgun Gothic" w:hAnsi="Arial" w:cs="Arial" w:hint="eastAsia"/>
        <w:b/>
        <w:sz w:val="22"/>
        <w:szCs w:val="22"/>
        <w:lang w:val="en-US" w:eastAsia="ko-KR"/>
      </w:rPr>
      <w:t xml:space="preserve">31 octobre </w:t>
    </w:r>
    <w:r w:rsidRPr="00460927">
      <w:rPr>
        <w:rFonts w:ascii="Arial" w:hAnsi="Arial" w:cs="Arial"/>
        <w:b/>
        <w:sz w:val="22"/>
        <w:szCs w:val="22"/>
        <w:lang w:val="en-US"/>
      </w:rPr>
      <w:t>2016</w:t>
    </w:r>
  </w:p>
  <w:p w:rsidR="00D95C4C" w:rsidRPr="00460927" w:rsidRDefault="00460927" w:rsidP="00460927">
    <w:pPr>
      <w:spacing w:before="0" w:after="0"/>
      <w:ind w:left="0"/>
      <w:jc w:val="right"/>
      <w:rPr>
        <w:rFonts w:ascii="Arial" w:eastAsia="Malgun Gothic" w:hAnsi="Arial" w:cs="Arial"/>
        <w:b/>
        <w:sz w:val="22"/>
        <w:szCs w:val="22"/>
        <w:lang w:eastAsia="ko-KR"/>
      </w:rPr>
    </w:pPr>
    <w:r w:rsidRPr="00460927">
      <w:rPr>
        <w:rFonts w:ascii="Arial" w:hAnsi="Arial" w:cs="Arial"/>
        <w:b/>
        <w:sz w:val="22"/>
        <w:szCs w:val="22"/>
      </w:rPr>
      <w:t xml:space="preserve">Original : </w:t>
    </w:r>
    <w:r>
      <w:rPr>
        <w:rFonts w:ascii="Arial" w:eastAsia="Malgun Gothic" w:hAnsi="Arial" w:cs="Arial" w:hint="eastAsia"/>
        <w:b/>
        <w:sz w:val="22"/>
        <w:szCs w:val="22"/>
        <w:lang w:eastAsia="ko-KR"/>
      </w:rPr>
      <w:t>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3EF064"/>
    <w:lvl w:ilvl="0" w:tplc="CE52B512">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3"/>
  </w:num>
  <w:num w:numId="14">
    <w:abstractNumId w:val="3"/>
  </w:num>
  <w:num w:numId="15">
    <w:abstractNumId w:val="5"/>
    <w:lvlOverride w:ilvl="0">
      <w:startOverride w:val="1"/>
    </w:lvlOverride>
  </w:num>
  <w:num w:numId="16">
    <w:abstractNumId w:val="3"/>
  </w:num>
  <w:num w:numId="17">
    <w:abstractNumId w:val="3"/>
  </w:num>
  <w:num w:numId="18">
    <w:abstractNumId w:val="3"/>
  </w:num>
  <w:num w:numId="19">
    <w:abstractNumId w:val="3"/>
    <w:lvlOverride w:ilvl="0">
      <w:startOverride w:val="1"/>
    </w:lvlOverride>
  </w:num>
  <w:num w:numId="20">
    <w:abstractNumId w:val="3"/>
    <w:lvlOverride w:ilvl="0">
      <w:startOverride w:val="1"/>
    </w:lvlOverride>
  </w:num>
  <w:num w:numId="21">
    <w:abstractNumId w:val="3"/>
  </w:num>
  <w:num w:numId="22">
    <w:abstractNumId w:val="3"/>
    <w:lvlOverride w:ilvl="0">
      <w:startOverride w:val="1"/>
    </w:lvlOverride>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0C1F"/>
    <w:rsid w:val="00001C77"/>
    <w:rsid w:val="000048ED"/>
    <w:rsid w:val="0002005E"/>
    <w:rsid w:val="00030E6E"/>
    <w:rsid w:val="00033203"/>
    <w:rsid w:val="00033EB4"/>
    <w:rsid w:val="00036E22"/>
    <w:rsid w:val="00041A66"/>
    <w:rsid w:val="00051645"/>
    <w:rsid w:val="0005176E"/>
    <w:rsid w:val="000765F7"/>
    <w:rsid w:val="00077AB7"/>
    <w:rsid w:val="00077C25"/>
    <w:rsid w:val="00080467"/>
    <w:rsid w:val="00081CD8"/>
    <w:rsid w:val="00082B77"/>
    <w:rsid w:val="000A134A"/>
    <w:rsid w:val="000A2FB9"/>
    <w:rsid w:val="000A7F0E"/>
    <w:rsid w:val="000B1C8F"/>
    <w:rsid w:val="000C0D61"/>
    <w:rsid w:val="000C6C11"/>
    <w:rsid w:val="000D21FC"/>
    <w:rsid w:val="000D3F4E"/>
    <w:rsid w:val="000F01C1"/>
    <w:rsid w:val="000F3A3F"/>
    <w:rsid w:val="001020EF"/>
    <w:rsid w:val="00102557"/>
    <w:rsid w:val="001166D5"/>
    <w:rsid w:val="001264E0"/>
    <w:rsid w:val="00143FD4"/>
    <w:rsid w:val="00147E4D"/>
    <w:rsid w:val="001605FC"/>
    <w:rsid w:val="00164D56"/>
    <w:rsid w:val="00167B10"/>
    <w:rsid w:val="0017402F"/>
    <w:rsid w:val="001859B5"/>
    <w:rsid w:val="00196C1B"/>
    <w:rsid w:val="001B0F73"/>
    <w:rsid w:val="001C2DB7"/>
    <w:rsid w:val="001C5F67"/>
    <w:rsid w:val="001D49F6"/>
    <w:rsid w:val="001D5C04"/>
    <w:rsid w:val="001D78CC"/>
    <w:rsid w:val="001E0808"/>
    <w:rsid w:val="001E5E44"/>
    <w:rsid w:val="001F2D4C"/>
    <w:rsid w:val="001F6CBA"/>
    <w:rsid w:val="002114D1"/>
    <w:rsid w:val="00212DFF"/>
    <w:rsid w:val="00222A2D"/>
    <w:rsid w:val="00223029"/>
    <w:rsid w:val="00234745"/>
    <w:rsid w:val="002379E5"/>
    <w:rsid w:val="002407AF"/>
    <w:rsid w:val="00264440"/>
    <w:rsid w:val="0027466B"/>
    <w:rsid w:val="00274757"/>
    <w:rsid w:val="00274ACA"/>
    <w:rsid w:val="00280552"/>
    <w:rsid w:val="002838A5"/>
    <w:rsid w:val="00284EFE"/>
    <w:rsid w:val="00285BB4"/>
    <w:rsid w:val="0029392E"/>
    <w:rsid w:val="00294B7C"/>
    <w:rsid w:val="00295F9F"/>
    <w:rsid w:val="00296703"/>
    <w:rsid w:val="002B1869"/>
    <w:rsid w:val="002B3A7C"/>
    <w:rsid w:val="002C09E3"/>
    <w:rsid w:val="002E1294"/>
    <w:rsid w:val="002F4C7F"/>
    <w:rsid w:val="002F6B66"/>
    <w:rsid w:val="00301539"/>
    <w:rsid w:val="00305772"/>
    <w:rsid w:val="003127A7"/>
    <w:rsid w:val="0031649E"/>
    <w:rsid w:val="00317F72"/>
    <w:rsid w:val="00320DEE"/>
    <w:rsid w:val="00336BA7"/>
    <w:rsid w:val="00337F4E"/>
    <w:rsid w:val="00344B58"/>
    <w:rsid w:val="00345CB4"/>
    <w:rsid w:val="00353EDE"/>
    <w:rsid w:val="003576CB"/>
    <w:rsid w:val="003632EB"/>
    <w:rsid w:val="00367A78"/>
    <w:rsid w:val="00371F53"/>
    <w:rsid w:val="00375D42"/>
    <w:rsid w:val="0039561C"/>
    <w:rsid w:val="00395E23"/>
    <w:rsid w:val="003A0AFD"/>
    <w:rsid w:val="003C2D3D"/>
    <w:rsid w:val="003C56DC"/>
    <w:rsid w:val="003D069C"/>
    <w:rsid w:val="003D424A"/>
    <w:rsid w:val="003D7646"/>
    <w:rsid w:val="003F113A"/>
    <w:rsid w:val="003F3E63"/>
    <w:rsid w:val="00407480"/>
    <w:rsid w:val="00407FDB"/>
    <w:rsid w:val="00414643"/>
    <w:rsid w:val="00425808"/>
    <w:rsid w:val="004421E5"/>
    <w:rsid w:val="00443968"/>
    <w:rsid w:val="00452284"/>
    <w:rsid w:val="004570E8"/>
    <w:rsid w:val="00457C8E"/>
    <w:rsid w:val="00460927"/>
    <w:rsid w:val="00467101"/>
    <w:rsid w:val="004856CA"/>
    <w:rsid w:val="00487E67"/>
    <w:rsid w:val="00492ADC"/>
    <w:rsid w:val="004956D0"/>
    <w:rsid w:val="0049705E"/>
    <w:rsid w:val="004A34A0"/>
    <w:rsid w:val="004B452E"/>
    <w:rsid w:val="004D3CD9"/>
    <w:rsid w:val="004E680E"/>
    <w:rsid w:val="005008A8"/>
    <w:rsid w:val="005208BC"/>
    <w:rsid w:val="005233AE"/>
    <w:rsid w:val="00525906"/>
    <w:rsid w:val="00526B7B"/>
    <w:rsid w:val="005308CE"/>
    <w:rsid w:val="005327F7"/>
    <w:rsid w:val="00567FC5"/>
    <w:rsid w:val="0057439C"/>
    <w:rsid w:val="005749EC"/>
    <w:rsid w:val="00584A5A"/>
    <w:rsid w:val="00585018"/>
    <w:rsid w:val="005873EB"/>
    <w:rsid w:val="00590306"/>
    <w:rsid w:val="005A6BA8"/>
    <w:rsid w:val="005B0127"/>
    <w:rsid w:val="005B7A35"/>
    <w:rsid w:val="005C0CF1"/>
    <w:rsid w:val="005C4B73"/>
    <w:rsid w:val="005C5663"/>
    <w:rsid w:val="005E1D2B"/>
    <w:rsid w:val="005E7074"/>
    <w:rsid w:val="005F2BAF"/>
    <w:rsid w:val="005F3337"/>
    <w:rsid w:val="005F347B"/>
    <w:rsid w:val="00600D93"/>
    <w:rsid w:val="00616FEC"/>
    <w:rsid w:val="0063247C"/>
    <w:rsid w:val="0063300C"/>
    <w:rsid w:val="006350B7"/>
    <w:rsid w:val="0064352D"/>
    <w:rsid w:val="00652460"/>
    <w:rsid w:val="00655736"/>
    <w:rsid w:val="006566FC"/>
    <w:rsid w:val="00660247"/>
    <w:rsid w:val="0066230C"/>
    <w:rsid w:val="00663B8D"/>
    <w:rsid w:val="00696C8D"/>
    <w:rsid w:val="006A2AC2"/>
    <w:rsid w:val="006A3617"/>
    <w:rsid w:val="006C0D4B"/>
    <w:rsid w:val="006D1E36"/>
    <w:rsid w:val="006D6E97"/>
    <w:rsid w:val="006E46E4"/>
    <w:rsid w:val="006F1BE0"/>
    <w:rsid w:val="00710B9A"/>
    <w:rsid w:val="00715919"/>
    <w:rsid w:val="00717196"/>
    <w:rsid w:val="00717DA5"/>
    <w:rsid w:val="00743B16"/>
    <w:rsid w:val="007440BA"/>
    <w:rsid w:val="00744484"/>
    <w:rsid w:val="00747566"/>
    <w:rsid w:val="00773188"/>
    <w:rsid w:val="00783782"/>
    <w:rsid w:val="00784B8C"/>
    <w:rsid w:val="007879E1"/>
    <w:rsid w:val="007954C3"/>
    <w:rsid w:val="007955CD"/>
    <w:rsid w:val="00797D1B"/>
    <w:rsid w:val="007A6010"/>
    <w:rsid w:val="007B1EBA"/>
    <w:rsid w:val="007B7D8E"/>
    <w:rsid w:val="007D3577"/>
    <w:rsid w:val="007F71CE"/>
    <w:rsid w:val="00800776"/>
    <w:rsid w:val="008020BE"/>
    <w:rsid w:val="008106C1"/>
    <w:rsid w:val="00813DC9"/>
    <w:rsid w:val="008220FD"/>
    <w:rsid w:val="00823A11"/>
    <w:rsid w:val="008501D5"/>
    <w:rsid w:val="008537E4"/>
    <w:rsid w:val="0085405E"/>
    <w:rsid w:val="0085414A"/>
    <w:rsid w:val="00855719"/>
    <w:rsid w:val="0086269D"/>
    <w:rsid w:val="0086543A"/>
    <w:rsid w:val="008724E5"/>
    <w:rsid w:val="00884A9D"/>
    <w:rsid w:val="0088512B"/>
    <w:rsid w:val="00891C19"/>
    <w:rsid w:val="008A2B2D"/>
    <w:rsid w:val="008A4E1E"/>
    <w:rsid w:val="008B6B9F"/>
    <w:rsid w:val="008C0361"/>
    <w:rsid w:val="008C296C"/>
    <w:rsid w:val="008D1BA5"/>
    <w:rsid w:val="008D4305"/>
    <w:rsid w:val="008E1A85"/>
    <w:rsid w:val="008F467F"/>
    <w:rsid w:val="009163A7"/>
    <w:rsid w:val="009411C2"/>
    <w:rsid w:val="00946D0B"/>
    <w:rsid w:val="00955877"/>
    <w:rsid w:val="00956BC5"/>
    <w:rsid w:val="00981C3B"/>
    <w:rsid w:val="009A18CD"/>
    <w:rsid w:val="009A5ADC"/>
    <w:rsid w:val="009C78D8"/>
    <w:rsid w:val="009D5428"/>
    <w:rsid w:val="009E2418"/>
    <w:rsid w:val="009F02A6"/>
    <w:rsid w:val="009F3A25"/>
    <w:rsid w:val="00A12558"/>
    <w:rsid w:val="00A13903"/>
    <w:rsid w:val="00A170CD"/>
    <w:rsid w:val="00A171B9"/>
    <w:rsid w:val="00A211AF"/>
    <w:rsid w:val="00A245E6"/>
    <w:rsid w:val="00A34ED5"/>
    <w:rsid w:val="00A40F2D"/>
    <w:rsid w:val="00A4339D"/>
    <w:rsid w:val="00A45DBF"/>
    <w:rsid w:val="00A54AC9"/>
    <w:rsid w:val="00A57CC9"/>
    <w:rsid w:val="00A6526E"/>
    <w:rsid w:val="00A67400"/>
    <w:rsid w:val="00A755A2"/>
    <w:rsid w:val="00AA6660"/>
    <w:rsid w:val="00AB2C36"/>
    <w:rsid w:val="00AB6154"/>
    <w:rsid w:val="00AB6DDE"/>
    <w:rsid w:val="00AB70B6"/>
    <w:rsid w:val="00AD1A86"/>
    <w:rsid w:val="00AD2866"/>
    <w:rsid w:val="00AE103E"/>
    <w:rsid w:val="00AE30F1"/>
    <w:rsid w:val="00AF0A07"/>
    <w:rsid w:val="00AF2597"/>
    <w:rsid w:val="00AF4AEC"/>
    <w:rsid w:val="00AF625E"/>
    <w:rsid w:val="00B024DA"/>
    <w:rsid w:val="00B11552"/>
    <w:rsid w:val="00B11ABF"/>
    <w:rsid w:val="00B1584B"/>
    <w:rsid w:val="00B22CC1"/>
    <w:rsid w:val="00B30487"/>
    <w:rsid w:val="00BB04AF"/>
    <w:rsid w:val="00BC37F4"/>
    <w:rsid w:val="00BD52C9"/>
    <w:rsid w:val="00BE3349"/>
    <w:rsid w:val="00BE6354"/>
    <w:rsid w:val="00BE7842"/>
    <w:rsid w:val="00BF66A3"/>
    <w:rsid w:val="00BF6998"/>
    <w:rsid w:val="00C0584B"/>
    <w:rsid w:val="00C0741C"/>
    <w:rsid w:val="00C10E14"/>
    <w:rsid w:val="00C138D1"/>
    <w:rsid w:val="00C15EAB"/>
    <w:rsid w:val="00C15F92"/>
    <w:rsid w:val="00C23A97"/>
    <w:rsid w:val="00C30033"/>
    <w:rsid w:val="00C46D85"/>
    <w:rsid w:val="00C64855"/>
    <w:rsid w:val="00C70EA7"/>
    <w:rsid w:val="00C7516E"/>
    <w:rsid w:val="00C75770"/>
    <w:rsid w:val="00C95A7F"/>
    <w:rsid w:val="00CA56BB"/>
    <w:rsid w:val="00CA7E96"/>
    <w:rsid w:val="00CB0542"/>
    <w:rsid w:val="00CB2A1A"/>
    <w:rsid w:val="00CB7CC9"/>
    <w:rsid w:val="00CD6D23"/>
    <w:rsid w:val="00D00B2B"/>
    <w:rsid w:val="00D0323E"/>
    <w:rsid w:val="00D24877"/>
    <w:rsid w:val="00D3142E"/>
    <w:rsid w:val="00D314ED"/>
    <w:rsid w:val="00D37282"/>
    <w:rsid w:val="00D3764E"/>
    <w:rsid w:val="00D42C59"/>
    <w:rsid w:val="00D4523F"/>
    <w:rsid w:val="00D5662B"/>
    <w:rsid w:val="00D7398E"/>
    <w:rsid w:val="00D80C0E"/>
    <w:rsid w:val="00D8250F"/>
    <w:rsid w:val="00D87825"/>
    <w:rsid w:val="00D91522"/>
    <w:rsid w:val="00D95C4C"/>
    <w:rsid w:val="00DA06A4"/>
    <w:rsid w:val="00DA36ED"/>
    <w:rsid w:val="00DC437F"/>
    <w:rsid w:val="00DC5D22"/>
    <w:rsid w:val="00DE34F1"/>
    <w:rsid w:val="00DE5295"/>
    <w:rsid w:val="00DE6160"/>
    <w:rsid w:val="00DE74BC"/>
    <w:rsid w:val="00DF1801"/>
    <w:rsid w:val="00DF4942"/>
    <w:rsid w:val="00DF52DE"/>
    <w:rsid w:val="00DF6FD1"/>
    <w:rsid w:val="00E00A39"/>
    <w:rsid w:val="00E244E1"/>
    <w:rsid w:val="00E32312"/>
    <w:rsid w:val="00E357AF"/>
    <w:rsid w:val="00E37AF9"/>
    <w:rsid w:val="00E45FD7"/>
    <w:rsid w:val="00E52E66"/>
    <w:rsid w:val="00E627B1"/>
    <w:rsid w:val="00E6789A"/>
    <w:rsid w:val="00E70169"/>
    <w:rsid w:val="00E76E7B"/>
    <w:rsid w:val="00E90D79"/>
    <w:rsid w:val="00E9376C"/>
    <w:rsid w:val="00E964B3"/>
    <w:rsid w:val="00EA10C5"/>
    <w:rsid w:val="00EA1538"/>
    <w:rsid w:val="00EA335E"/>
    <w:rsid w:val="00EA528C"/>
    <w:rsid w:val="00EA580C"/>
    <w:rsid w:val="00EC223B"/>
    <w:rsid w:val="00EC6F8D"/>
    <w:rsid w:val="00ED7D0C"/>
    <w:rsid w:val="00EE178D"/>
    <w:rsid w:val="00EF34E2"/>
    <w:rsid w:val="00F01E16"/>
    <w:rsid w:val="00F0693B"/>
    <w:rsid w:val="00F24003"/>
    <w:rsid w:val="00F30DC6"/>
    <w:rsid w:val="00F32C23"/>
    <w:rsid w:val="00F41F56"/>
    <w:rsid w:val="00F47A07"/>
    <w:rsid w:val="00F53DE9"/>
    <w:rsid w:val="00F576CB"/>
    <w:rsid w:val="00F7035D"/>
    <w:rsid w:val="00F71A02"/>
    <w:rsid w:val="00FA02FF"/>
    <w:rsid w:val="00FA0D63"/>
    <w:rsid w:val="00FA567E"/>
    <w:rsid w:val="00FB7134"/>
    <w:rsid w:val="00FD1226"/>
    <w:rsid w:val="00FD20BF"/>
    <w:rsid w:val="00FD632C"/>
    <w:rsid w:val="00FF4830"/>
    <w:rsid w:val="00FF50C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5D8F5AF-0F49-49A8-9B2C-303AD16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pPr>
        <w:spacing w:before="240" w:after="120"/>
        <w:ind w:left="567"/>
        <w:jc w:val="both"/>
      </w:pPr>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pPr>
    <w:rPr>
      <w:rFonts w:ascii="Arial" w:hAnsi="Arial" w:cs="Arial"/>
      <w:b/>
      <w:sz w:val="22"/>
      <w:szCs w:val="22"/>
      <w:lang w:val="en-GB"/>
    </w:rPr>
  </w:style>
  <w:style w:type="paragraph" w:customStyle="1" w:styleId="COMPreambulaDecisions">
    <w:name w:val="COM Preambula Decisions"/>
    <w:basedOn w:val="Normal"/>
    <w:qFormat/>
    <w:rsid w:val="00041A66"/>
    <w:pPr>
      <w:keepNext/>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pPr>
    <w:rPr>
      <w:rFonts w:ascii="Arial" w:eastAsia="SimSun" w:hAnsi="Arial" w:cs="Arial"/>
      <w:sz w:val="22"/>
      <w:szCs w:val="22"/>
      <w:u w:val="single"/>
      <w:lang w:val="en-GB"/>
    </w:rPr>
  </w:style>
  <w:style w:type="character" w:styleId="Hyperlink">
    <w:name w:val="Hyperlink"/>
    <w:basedOn w:val="DefaultParagraphFont"/>
    <w:uiPriority w:val="99"/>
    <w:unhideWhenUsed/>
    <w:rsid w:val="008220FD"/>
    <w:rPr>
      <w:color w:val="0000FF" w:themeColor="hyperlink"/>
      <w:u w:val="single"/>
    </w:rPr>
  </w:style>
  <w:style w:type="character" w:styleId="FollowedHyperlink">
    <w:name w:val="FollowedHyperlink"/>
    <w:basedOn w:val="DefaultParagraphFont"/>
    <w:uiPriority w:val="99"/>
    <w:semiHidden/>
    <w:unhideWhenUsed/>
    <w:rsid w:val="001E5E44"/>
    <w:rPr>
      <w:color w:val="800080" w:themeColor="followedHyperlink"/>
      <w:u w:val="single"/>
    </w:rPr>
  </w:style>
  <w:style w:type="character" w:styleId="CommentReference">
    <w:name w:val="annotation reference"/>
    <w:basedOn w:val="DefaultParagraphFont"/>
    <w:uiPriority w:val="99"/>
    <w:semiHidden/>
    <w:unhideWhenUsed/>
    <w:rsid w:val="00AF2597"/>
    <w:rPr>
      <w:sz w:val="16"/>
      <w:szCs w:val="16"/>
    </w:rPr>
  </w:style>
  <w:style w:type="paragraph" w:styleId="CommentText">
    <w:name w:val="annotation text"/>
    <w:basedOn w:val="Normal"/>
    <w:link w:val="CommentTextChar"/>
    <w:uiPriority w:val="99"/>
    <w:semiHidden/>
    <w:unhideWhenUsed/>
    <w:rsid w:val="00AF2597"/>
    <w:rPr>
      <w:sz w:val="20"/>
      <w:szCs w:val="20"/>
    </w:rPr>
  </w:style>
  <w:style w:type="character" w:customStyle="1" w:styleId="CommentTextChar">
    <w:name w:val="Comment Text Char"/>
    <w:basedOn w:val="DefaultParagraphFont"/>
    <w:link w:val="CommentText"/>
    <w:uiPriority w:val="99"/>
    <w:semiHidden/>
    <w:rsid w:val="00AF25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2597"/>
    <w:rPr>
      <w:b/>
      <w:bCs/>
    </w:rPr>
  </w:style>
  <w:style w:type="character" w:customStyle="1" w:styleId="CommentSubjectChar">
    <w:name w:val="Comment Subject Char"/>
    <w:basedOn w:val="CommentTextChar"/>
    <w:link w:val="CommentSubject"/>
    <w:uiPriority w:val="99"/>
    <w:semiHidden/>
    <w:rsid w:val="00AF2597"/>
    <w:rPr>
      <w:rFonts w:ascii="Times New Roman" w:eastAsia="Times New Roman" w:hAnsi="Times New Roman"/>
      <w:b/>
      <w:bCs/>
    </w:rPr>
  </w:style>
  <w:style w:type="paragraph" w:styleId="Revision">
    <w:name w:val="Revision"/>
    <w:hidden/>
    <w:uiPriority w:val="99"/>
    <w:semiHidden/>
    <w:rsid w:val="00296703"/>
    <w:pPr>
      <w:spacing w:before="0" w:after="0"/>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Decisions/10.COM/19" TargetMode="External"/><Relationship Id="rId13" Type="http://schemas.openxmlformats.org/officeDocument/2006/relationships/hyperlink" Target="http://www.unesco.org/culture/ich/fr/decisions/10.COM/19?dec=decisions&amp;ref_decision=10.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culture/ich/fr/Decisions/10.COM/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fr/Decisions/10.COM/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esco.org/culture/ich/fr/Decisions/10.COM/19" TargetMode="External"/><Relationship Id="rId4" Type="http://schemas.openxmlformats.org/officeDocument/2006/relationships/settings" Target="settings.xml"/><Relationship Id="rId9" Type="http://schemas.openxmlformats.org/officeDocument/2006/relationships/hyperlink" Target="http://www.unesco.org/culture/ich/fr/Decisions/10.COM/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C8E3-5508-407D-AFD7-32D41B1A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15</TotalTime>
  <Pages>5</Pages>
  <Words>2584</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5</cp:revision>
  <cp:lastPrinted>2016-10-12T16:15:00Z</cp:lastPrinted>
  <dcterms:created xsi:type="dcterms:W3CDTF">2016-10-28T14:44:00Z</dcterms:created>
  <dcterms:modified xsi:type="dcterms:W3CDTF">2016-10-31T09:52:00Z</dcterms:modified>
</cp:coreProperties>
</file>