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F8D" w:rsidRPr="007511CB" w:rsidRDefault="00EC6F8D" w:rsidP="00EC6F8D">
      <w:pPr>
        <w:spacing w:before="1440"/>
        <w:jc w:val="center"/>
        <w:rPr>
          <w:rFonts w:ascii="Arial" w:hAnsi="Arial" w:cs="Arial"/>
          <w:b/>
          <w:sz w:val="22"/>
          <w:szCs w:val="22"/>
          <w:lang w:val="en-GB"/>
        </w:rPr>
      </w:pPr>
      <w:r w:rsidRPr="007511CB">
        <w:rPr>
          <w:rFonts w:ascii="Arial" w:hAnsi="Arial" w:cs="Arial"/>
          <w:b/>
          <w:sz w:val="22"/>
          <w:szCs w:val="22"/>
          <w:lang w:val="en-GB"/>
        </w:rPr>
        <w:t xml:space="preserve">CONVENTION FOR THE SAFEGUARDING OF THE </w:t>
      </w:r>
      <w:r w:rsidRPr="007511CB">
        <w:rPr>
          <w:rFonts w:ascii="Arial" w:hAnsi="Arial" w:cs="Arial"/>
          <w:b/>
          <w:sz w:val="22"/>
          <w:szCs w:val="22"/>
          <w:lang w:val="en-GB"/>
        </w:rPr>
        <w:br/>
        <w:t>INTANGIBLE CULTURAL HERITAGE</w:t>
      </w:r>
    </w:p>
    <w:p w:rsidR="00EC6F8D" w:rsidRPr="007511CB" w:rsidRDefault="00EC6F8D" w:rsidP="00EC6F8D">
      <w:pPr>
        <w:spacing w:before="1200"/>
        <w:jc w:val="center"/>
        <w:rPr>
          <w:rFonts w:ascii="Arial" w:hAnsi="Arial" w:cs="Arial"/>
          <w:b/>
          <w:sz w:val="22"/>
          <w:szCs w:val="22"/>
          <w:lang w:val="en-GB"/>
        </w:rPr>
      </w:pPr>
      <w:r w:rsidRPr="007511CB">
        <w:rPr>
          <w:rFonts w:ascii="Arial" w:hAnsi="Arial" w:cs="Arial"/>
          <w:b/>
          <w:sz w:val="22"/>
          <w:szCs w:val="22"/>
          <w:lang w:val="en-GB"/>
        </w:rPr>
        <w:t>INTERGOVERNMENTAL COMMITTEE FOR THE</w:t>
      </w:r>
      <w:r w:rsidRPr="007511CB">
        <w:rPr>
          <w:rFonts w:ascii="Arial" w:hAnsi="Arial" w:cs="Arial"/>
          <w:b/>
          <w:sz w:val="22"/>
          <w:szCs w:val="22"/>
          <w:lang w:val="en-GB"/>
        </w:rPr>
        <w:br/>
        <w:t>SAFEGUARDING OF THE INTANGIBLE CULTURAL HERITAGE</w:t>
      </w:r>
    </w:p>
    <w:p w:rsidR="00EC6F8D" w:rsidRPr="007511CB" w:rsidRDefault="00D8250F" w:rsidP="00EC6F8D">
      <w:pPr>
        <w:spacing w:before="840"/>
        <w:jc w:val="center"/>
        <w:rPr>
          <w:rFonts w:ascii="Arial" w:hAnsi="Arial" w:cs="Arial"/>
          <w:b/>
          <w:sz w:val="22"/>
          <w:szCs w:val="22"/>
          <w:lang w:val="en-GB"/>
        </w:rPr>
      </w:pPr>
      <w:r w:rsidRPr="007511CB">
        <w:rPr>
          <w:rFonts w:ascii="Arial" w:hAnsi="Arial" w:cs="Arial"/>
          <w:b/>
          <w:sz w:val="22"/>
          <w:szCs w:val="22"/>
          <w:lang w:val="en-GB"/>
        </w:rPr>
        <w:t>Tenth</w:t>
      </w:r>
      <w:r w:rsidR="00EC6F8D" w:rsidRPr="007511CB">
        <w:rPr>
          <w:rFonts w:ascii="Arial" w:hAnsi="Arial" w:cs="Arial"/>
          <w:b/>
          <w:sz w:val="22"/>
          <w:szCs w:val="22"/>
          <w:lang w:val="en-GB"/>
        </w:rPr>
        <w:t xml:space="preserve"> session</w:t>
      </w:r>
    </w:p>
    <w:p w:rsidR="009D5428" w:rsidRPr="007511CB" w:rsidRDefault="00487E67" w:rsidP="005E7074">
      <w:pPr>
        <w:jc w:val="center"/>
        <w:rPr>
          <w:rFonts w:ascii="Arial" w:hAnsi="Arial" w:cs="Arial"/>
          <w:b/>
          <w:sz w:val="22"/>
          <w:szCs w:val="22"/>
          <w:lang w:val="en-GB"/>
        </w:rPr>
      </w:pPr>
      <w:r w:rsidRPr="007511CB">
        <w:rPr>
          <w:rFonts w:ascii="Arial" w:hAnsi="Arial" w:cs="Arial"/>
          <w:b/>
          <w:sz w:val="22"/>
          <w:szCs w:val="22"/>
          <w:lang w:val="en-GB"/>
        </w:rPr>
        <w:t>Windhoek</w:t>
      </w:r>
      <w:r w:rsidR="00EA580C" w:rsidRPr="007511CB">
        <w:rPr>
          <w:rFonts w:ascii="Arial" w:hAnsi="Arial" w:cs="Arial"/>
          <w:b/>
          <w:sz w:val="22"/>
          <w:szCs w:val="22"/>
          <w:lang w:val="en-GB"/>
        </w:rPr>
        <w:t>,</w:t>
      </w:r>
      <w:r w:rsidR="00D8250F" w:rsidRPr="007511CB">
        <w:rPr>
          <w:rFonts w:ascii="Arial" w:hAnsi="Arial" w:cs="Arial"/>
          <w:b/>
          <w:sz w:val="22"/>
          <w:szCs w:val="22"/>
          <w:lang w:val="en-GB"/>
        </w:rPr>
        <w:t xml:space="preserve"> Namibia</w:t>
      </w:r>
    </w:p>
    <w:p w:rsidR="00EC6F8D" w:rsidRPr="007511CB" w:rsidRDefault="00D8250F" w:rsidP="00EC6F8D">
      <w:pPr>
        <w:jc w:val="center"/>
        <w:rPr>
          <w:rFonts w:ascii="Arial" w:hAnsi="Arial" w:cs="Arial"/>
          <w:b/>
          <w:sz w:val="22"/>
          <w:szCs w:val="22"/>
          <w:lang w:val="en-GB"/>
        </w:rPr>
      </w:pPr>
      <w:r w:rsidRPr="007511CB">
        <w:rPr>
          <w:rFonts w:ascii="Arial" w:hAnsi="Arial" w:cs="Arial"/>
          <w:b/>
          <w:sz w:val="22"/>
          <w:szCs w:val="22"/>
          <w:lang w:val="en-GB"/>
        </w:rPr>
        <w:t>30 November</w:t>
      </w:r>
      <w:r w:rsidR="00EC6F8D" w:rsidRPr="007511CB">
        <w:rPr>
          <w:rFonts w:ascii="Arial" w:hAnsi="Arial" w:cs="Arial"/>
          <w:b/>
          <w:sz w:val="22"/>
          <w:szCs w:val="22"/>
          <w:lang w:val="en-GB"/>
        </w:rPr>
        <w:t xml:space="preserve"> to </w:t>
      </w:r>
      <w:r w:rsidR="00574DAE" w:rsidRPr="007511CB">
        <w:rPr>
          <w:rFonts w:ascii="Arial" w:hAnsi="Arial" w:cs="Arial"/>
          <w:b/>
          <w:sz w:val="22"/>
          <w:szCs w:val="22"/>
          <w:lang w:val="en-GB"/>
        </w:rPr>
        <w:t>4 </w:t>
      </w:r>
      <w:r w:rsidRPr="007511CB">
        <w:rPr>
          <w:rFonts w:ascii="Arial" w:hAnsi="Arial" w:cs="Arial"/>
          <w:b/>
          <w:sz w:val="22"/>
          <w:szCs w:val="22"/>
          <w:lang w:val="en-GB"/>
        </w:rPr>
        <w:t>December 2015</w:t>
      </w:r>
    </w:p>
    <w:p w:rsidR="00EC6F8D" w:rsidRPr="007511CB" w:rsidRDefault="00EC6F8D" w:rsidP="00EC6F8D">
      <w:pPr>
        <w:pStyle w:val="Sansinterligne2"/>
        <w:spacing w:before="1200"/>
        <w:jc w:val="center"/>
        <w:rPr>
          <w:rFonts w:ascii="Arial" w:hAnsi="Arial" w:cs="Arial"/>
          <w:b/>
          <w:sz w:val="22"/>
          <w:szCs w:val="22"/>
          <w:lang w:val="en-GB"/>
        </w:rPr>
      </w:pPr>
      <w:r w:rsidRPr="007511CB">
        <w:rPr>
          <w:rFonts w:ascii="Arial" w:hAnsi="Arial" w:cs="Arial"/>
          <w:b/>
          <w:sz w:val="22"/>
          <w:szCs w:val="22"/>
          <w:u w:val="single"/>
          <w:lang w:val="en-GB"/>
        </w:rPr>
        <w:t xml:space="preserve">Item </w:t>
      </w:r>
      <w:r w:rsidR="002F3285">
        <w:rPr>
          <w:rFonts w:ascii="Arial" w:hAnsi="Arial" w:cs="Arial"/>
          <w:b/>
          <w:sz w:val="22"/>
          <w:szCs w:val="22"/>
          <w:u w:val="single"/>
          <w:lang w:val="en-GB"/>
        </w:rPr>
        <w:t>15</w:t>
      </w:r>
      <w:r w:rsidR="00F1463E" w:rsidRPr="007511CB">
        <w:rPr>
          <w:rFonts w:ascii="Arial" w:hAnsi="Arial" w:cs="Arial"/>
          <w:b/>
          <w:sz w:val="22"/>
          <w:szCs w:val="22"/>
          <w:u w:val="single"/>
          <w:lang w:val="en-GB"/>
        </w:rPr>
        <w:t>.b</w:t>
      </w:r>
      <w:r w:rsidRPr="007511CB">
        <w:rPr>
          <w:rFonts w:ascii="Arial" w:hAnsi="Arial" w:cs="Arial"/>
          <w:b/>
          <w:sz w:val="22"/>
          <w:szCs w:val="22"/>
          <w:u w:val="single"/>
          <w:lang w:val="en-GB"/>
        </w:rPr>
        <w:t xml:space="preserve"> of the Provisional Agenda</w:t>
      </w:r>
      <w:r w:rsidRPr="007511CB">
        <w:rPr>
          <w:rFonts w:ascii="Arial" w:hAnsi="Arial" w:cs="Arial"/>
          <w:b/>
          <w:sz w:val="22"/>
          <w:szCs w:val="22"/>
          <w:lang w:val="en-GB"/>
        </w:rPr>
        <w:t>:</w:t>
      </w:r>
    </w:p>
    <w:p w:rsidR="00EC6F8D" w:rsidRPr="007511CB" w:rsidRDefault="00F1463E" w:rsidP="00EC6F8D">
      <w:pPr>
        <w:pStyle w:val="Sansinterligne2"/>
        <w:spacing w:after="1200"/>
        <w:jc w:val="center"/>
        <w:rPr>
          <w:rFonts w:ascii="Arial" w:hAnsi="Arial" w:cs="Arial"/>
          <w:b/>
          <w:sz w:val="22"/>
          <w:szCs w:val="22"/>
          <w:lang w:val="en-GB"/>
        </w:rPr>
      </w:pPr>
      <w:r w:rsidRPr="007511CB">
        <w:rPr>
          <w:rFonts w:ascii="Arial" w:hAnsi="Arial" w:cs="Arial"/>
          <w:b/>
          <w:sz w:val="22"/>
          <w:szCs w:val="22"/>
          <w:lang w:val="en-GB"/>
        </w:rPr>
        <w:t xml:space="preserve">Guidelines </w:t>
      </w:r>
      <w:r w:rsidR="004C4366" w:rsidRPr="007511CB">
        <w:rPr>
          <w:rFonts w:ascii="Arial" w:hAnsi="Arial" w:cs="Arial"/>
          <w:b/>
          <w:sz w:val="22"/>
          <w:szCs w:val="22"/>
          <w:lang w:val="en-GB"/>
        </w:rPr>
        <w:t>for the treatment of correspondence with regard to periodic reports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5D132B" w:rsidTr="00EC6F8D">
        <w:trPr>
          <w:jc w:val="center"/>
        </w:trPr>
        <w:tc>
          <w:tcPr>
            <w:tcW w:w="5670" w:type="dxa"/>
            <w:vAlign w:val="center"/>
          </w:tcPr>
          <w:p w:rsidR="00EC6F8D" w:rsidRPr="007511CB" w:rsidRDefault="00EC6F8D" w:rsidP="00CA56BB">
            <w:pPr>
              <w:pStyle w:val="Sansinterligne1"/>
              <w:spacing w:before="200" w:after="200"/>
              <w:jc w:val="center"/>
              <w:rPr>
                <w:rFonts w:ascii="Arial" w:hAnsi="Arial" w:cs="Arial"/>
                <w:b/>
                <w:sz w:val="22"/>
                <w:szCs w:val="22"/>
                <w:lang w:val="en-GB"/>
              </w:rPr>
            </w:pPr>
            <w:r w:rsidRPr="007511CB">
              <w:rPr>
                <w:rFonts w:ascii="Arial" w:hAnsi="Arial" w:cs="Arial"/>
                <w:b/>
                <w:sz w:val="22"/>
                <w:szCs w:val="22"/>
                <w:lang w:val="en-GB"/>
              </w:rPr>
              <w:t>Summary</w:t>
            </w:r>
          </w:p>
          <w:p w:rsidR="00EC6F8D" w:rsidRPr="0057457D" w:rsidRDefault="00FE5C50" w:rsidP="0057457D">
            <w:pPr>
              <w:spacing w:after="120"/>
              <w:ind w:left="284" w:right="284"/>
              <w:jc w:val="both"/>
              <w:rPr>
                <w:rFonts w:ascii="Arial" w:hAnsi="Arial" w:cs="Arial"/>
                <w:sz w:val="22"/>
                <w:szCs w:val="22"/>
                <w:lang w:val="en-GB"/>
              </w:rPr>
            </w:pPr>
            <w:r w:rsidRPr="007511CB">
              <w:rPr>
                <w:rFonts w:ascii="Arial" w:hAnsi="Arial" w:cs="Arial"/>
                <w:sz w:val="22"/>
                <w:szCs w:val="22"/>
                <w:lang w:val="en-GB"/>
              </w:rPr>
              <w:t xml:space="preserve">In its decision 9.COM 5.a, the Committee decided ‘to apply to periodic reports, </w:t>
            </w:r>
            <w:r w:rsidRPr="007511CB">
              <w:rPr>
                <w:rFonts w:ascii="Arial" w:hAnsi="Arial" w:cs="Arial"/>
                <w:i/>
                <w:iCs/>
                <w:sz w:val="22"/>
                <w:szCs w:val="22"/>
                <w:lang w:val="en-GB"/>
              </w:rPr>
              <w:t>mutatis mutandis</w:t>
            </w:r>
            <w:r w:rsidRPr="007511CB">
              <w:rPr>
                <w:rFonts w:ascii="Arial" w:hAnsi="Arial" w:cs="Arial"/>
                <w:sz w:val="22"/>
                <w:szCs w:val="22"/>
                <w:lang w:val="en-GB"/>
              </w:rPr>
              <w:t>, the guidelines for the treatment of correspondence from the public or other concerned parties with regard to nominations, as found in Decision</w:t>
            </w:r>
            <w:r w:rsidR="005D132B">
              <w:rPr>
                <w:rFonts w:ascii="Arial" w:hAnsi="Arial" w:cs="Arial"/>
                <w:sz w:val="22"/>
                <w:szCs w:val="22"/>
                <w:lang w:val="en-GB"/>
              </w:rPr>
              <w:t> </w:t>
            </w:r>
            <w:bookmarkStart w:id="0" w:name="_GoBack"/>
            <w:bookmarkEnd w:id="0"/>
            <w:r w:rsidRPr="007511CB">
              <w:rPr>
                <w:rFonts w:ascii="Arial" w:hAnsi="Arial" w:cs="Arial"/>
                <w:sz w:val="22"/>
                <w:szCs w:val="22"/>
                <w:lang w:val="en-GB"/>
              </w:rPr>
              <w:t xml:space="preserve">7.COM 15’, and requested the Secretariat ‘to propose for its examination at its tenth session guidelines specifically applicable to periodic reports’. This document proposes such </w:t>
            </w:r>
            <w:r w:rsidR="00D84731" w:rsidRPr="007511CB">
              <w:rPr>
                <w:rFonts w:ascii="Arial" w:hAnsi="Arial" w:cs="Arial"/>
                <w:sz w:val="22"/>
                <w:szCs w:val="22"/>
                <w:lang w:val="en-GB"/>
              </w:rPr>
              <w:t xml:space="preserve">specific </w:t>
            </w:r>
            <w:r w:rsidRPr="007511CB">
              <w:rPr>
                <w:rFonts w:ascii="Arial" w:hAnsi="Arial" w:cs="Arial"/>
                <w:sz w:val="22"/>
                <w:szCs w:val="22"/>
                <w:lang w:val="en-GB"/>
              </w:rPr>
              <w:t>guidelines.</w:t>
            </w:r>
          </w:p>
          <w:p w:rsidR="00EC6F8D" w:rsidRPr="007511CB" w:rsidRDefault="00EC6F8D" w:rsidP="00BC3DA0">
            <w:pPr>
              <w:pStyle w:val="Sansinterligne2"/>
              <w:spacing w:before="200" w:after="200"/>
              <w:jc w:val="both"/>
              <w:rPr>
                <w:rFonts w:ascii="Arial" w:hAnsi="Arial" w:cs="Arial"/>
                <w:b/>
                <w:sz w:val="22"/>
                <w:szCs w:val="22"/>
                <w:lang w:val="en-GB"/>
              </w:rPr>
            </w:pPr>
            <w:r w:rsidRPr="007511CB">
              <w:rPr>
                <w:rFonts w:ascii="Arial" w:hAnsi="Arial" w:cs="Arial"/>
                <w:b/>
                <w:sz w:val="22"/>
                <w:szCs w:val="22"/>
                <w:lang w:val="en-GB"/>
              </w:rPr>
              <w:t xml:space="preserve">Decision required: </w:t>
            </w:r>
            <w:r w:rsidRPr="00CD1CCC">
              <w:rPr>
                <w:rFonts w:ascii="Arial" w:hAnsi="Arial" w:cs="Arial"/>
                <w:bCs/>
                <w:sz w:val="22"/>
                <w:szCs w:val="22"/>
                <w:lang w:val="en-GB"/>
              </w:rPr>
              <w:t xml:space="preserve">paragraph </w:t>
            </w:r>
            <w:r w:rsidR="00BC3DA0" w:rsidRPr="00CD1CCC">
              <w:rPr>
                <w:rFonts w:ascii="Arial" w:hAnsi="Arial" w:cs="Arial"/>
                <w:bCs/>
                <w:sz w:val="22"/>
                <w:szCs w:val="22"/>
                <w:lang w:val="en-GB"/>
              </w:rPr>
              <w:t>7</w:t>
            </w:r>
          </w:p>
        </w:tc>
      </w:tr>
    </w:tbl>
    <w:p w:rsidR="00FE5C50" w:rsidRPr="007511CB" w:rsidRDefault="00655736" w:rsidP="0057457D">
      <w:pPr>
        <w:pStyle w:val="Marge"/>
        <w:numPr>
          <w:ilvl w:val="0"/>
          <w:numId w:val="9"/>
        </w:numPr>
        <w:spacing w:after="120"/>
        <w:ind w:left="567" w:hanging="567"/>
        <w:rPr>
          <w:rFonts w:cs="Arial"/>
          <w:szCs w:val="22"/>
          <w:lang w:val="en-GB"/>
        </w:rPr>
      </w:pPr>
      <w:r w:rsidRPr="007511CB">
        <w:rPr>
          <w:lang w:val="en-GB"/>
        </w:rPr>
        <w:br w:type="page"/>
      </w:r>
      <w:r w:rsidR="00843CD2" w:rsidRPr="007511CB">
        <w:rPr>
          <w:lang w:val="en-GB"/>
        </w:rPr>
        <w:lastRenderedPageBreak/>
        <w:t xml:space="preserve">In 2014, during </w:t>
      </w:r>
      <w:r w:rsidR="00FE5C50" w:rsidRPr="007511CB">
        <w:rPr>
          <w:rFonts w:cs="Arial"/>
          <w:szCs w:val="22"/>
          <w:lang w:val="en-GB"/>
        </w:rPr>
        <w:t xml:space="preserve">the fourth cycle of periodic reporting on the implementation of the Convention and on the current </w:t>
      </w:r>
      <w:r w:rsidR="00FE5C50" w:rsidRPr="007511CB">
        <w:rPr>
          <w:lang w:val="en-GB"/>
        </w:rPr>
        <w:t>status</w:t>
      </w:r>
      <w:r w:rsidR="00FE5C50" w:rsidRPr="007511CB">
        <w:rPr>
          <w:rFonts w:cs="Arial"/>
          <w:szCs w:val="22"/>
          <w:lang w:val="en-GB"/>
        </w:rPr>
        <w:t xml:space="preserve"> of elements of intangible cultural heritage inscribed on the Representative List, the Secretariat received a </w:t>
      </w:r>
      <w:r w:rsidR="00843CD2" w:rsidRPr="007511CB">
        <w:rPr>
          <w:rFonts w:cs="Arial"/>
          <w:szCs w:val="22"/>
          <w:lang w:val="en-GB"/>
        </w:rPr>
        <w:t xml:space="preserve">letter </w:t>
      </w:r>
      <w:r w:rsidR="00067A12">
        <w:rPr>
          <w:rFonts w:cs="Arial"/>
          <w:szCs w:val="22"/>
          <w:lang w:val="en-GB"/>
        </w:rPr>
        <w:t>from a State Party to the Convention</w:t>
      </w:r>
      <w:r w:rsidR="0054610A">
        <w:rPr>
          <w:rFonts w:cs="Arial"/>
          <w:szCs w:val="22"/>
          <w:lang w:val="en-GB"/>
        </w:rPr>
        <w:t xml:space="preserve">, </w:t>
      </w:r>
      <w:r w:rsidR="00D84731" w:rsidRPr="007511CB">
        <w:rPr>
          <w:rFonts w:cs="Arial"/>
          <w:szCs w:val="22"/>
          <w:lang w:val="en-GB"/>
        </w:rPr>
        <w:t xml:space="preserve">concerning a </w:t>
      </w:r>
      <w:r w:rsidR="0054610A">
        <w:rPr>
          <w:rFonts w:cs="Arial"/>
          <w:szCs w:val="22"/>
          <w:lang w:val="en-GB"/>
        </w:rPr>
        <w:t xml:space="preserve">periodic </w:t>
      </w:r>
      <w:r w:rsidR="00D84731" w:rsidRPr="007511CB">
        <w:rPr>
          <w:rFonts w:cs="Arial"/>
          <w:szCs w:val="22"/>
          <w:lang w:val="en-GB"/>
        </w:rPr>
        <w:t>report</w:t>
      </w:r>
      <w:r w:rsidR="00843CD2" w:rsidRPr="007511CB">
        <w:rPr>
          <w:rFonts w:cs="Arial"/>
          <w:szCs w:val="22"/>
          <w:lang w:val="en-GB"/>
        </w:rPr>
        <w:t xml:space="preserve"> submitted by a</w:t>
      </w:r>
      <w:r w:rsidR="00067A12">
        <w:rPr>
          <w:rFonts w:cs="Arial"/>
          <w:szCs w:val="22"/>
          <w:lang w:val="en-GB"/>
        </w:rPr>
        <w:t>nother</w:t>
      </w:r>
      <w:r w:rsidR="00843CD2" w:rsidRPr="007511CB">
        <w:rPr>
          <w:rFonts w:cs="Arial"/>
          <w:szCs w:val="22"/>
          <w:lang w:val="en-GB"/>
        </w:rPr>
        <w:t xml:space="preserve"> State Party</w:t>
      </w:r>
      <w:r w:rsidR="00D84731" w:rsidRPr="007511CB">
        <w:rPr>
          <w:rFonts w:cs="Arial"/>
          <w:szCs w:val="22"/>
          <w:lang w:val="en-GB"/>
        </w:rPr>
        <w:t>.</w:t>
      </w:r>
    </w:p>
    <w:p w:rsidR="00843CD2" w:rsidRPr="007511CB" w:rsidRDefault="002F1125" w:rsidP="0057457D">
      <w:pPr>
        <w:pStyle w:val="Marge"/>
        <w:numPr>
          <w:ilvl w:val="0"/>
          <w:numId w:val="9"/>
        </w:numPr>
        <w:spacing w:after="120"/>
        <w:ind w:left="567" w:hanging="567"/>
        <w:rPr>
          <w:rFonts w:eastAsia="SimSun"/>
          <w:lang w:val="en-GB"/>
        </w:rPr>
      </w:pPr>
      <w:r>
        <w:rPr>
          <w:rFonts w:cs="Arial"/>
          <w:szCs w:val="22"/>
          <w:lang w:val="en-GB"/>
        </w:rPr>
        <w:t>T</w:t>
      </w:r>
      <w:r w:rsidR="00843CD2" w:rsidRPr="007511CB">
        <w:rPr>
          <w:rFonts w:cs="Arial"/>
          <w:szCs w:val="22"/>
          <w:lang w:val="en-GB"/>
        </w:rPr>
        <w:t xml:space="preserve">he </w:t>
      </w:r>
      <w:r w:rsidR="00067A12" w:rsidRPr="007511CB">
        <w:rPr>
          <w:rFonts w:cs="Arial"/>
          <w:szCs w:val="22"/>
          <w:lang w:val="en-GB"/>
        </w:rPr>
        <w:t>Secretar</w:t>
      </w:r>
      <w:r w:rsidR="00067A12">
        <w:rPr>
          <w:rFonts w:cs="Arial"/>
          <w:szCs w:val="22"/>
          <w:lang w:val="en-GB"/>
        </w:rPr>
        <w:t>iat</w:t>
      </w:r>
      <w:r w:rsidR="00067A12" w:rsidRPr="007511CB">
        <w:rPr>
          <w:rFonts w:cs="Arial"/>
          <w:szCs w:val="22"/>
          <w:lang w:val="en-GB"/>
        </w:rPr>
        <w:t xml:space="preserve"> </w:t>
      </w:r>
      <w:r w:rsidR="00843CD2" w:rsidRPr="007511CB">
        <w:rPr>
          <w:rFonts w:cs="Arial"/>
          <w:szCs w:val="22"/>
          <w:lang w:val="en-GB"/>
        </w:rPr>
        <w:t xml:space="preserve">informed the Intergovernmental Committee </w:t>
      </w:r>
      <w:r w:rsidR="0054610A">
        <w:rPr>
          <w:rFonts w:cs="Arial"/>
          <w:szCs w:val="22"/>
          <w:lang w:val="en-GB"/>
        </w:rPr>
        <w:t xml:space="preserve">at its </w:t>
      </w:r>
      <w:r w:rsidR="00E1290B">
        <w:rPr>
          <w:rFonts w:cs="Arial"/>
          <w:szCs w:val="22"/>
          <w:lang w:val="en-GB"/>
        </w:rPr>
        <w:t xml:space="preserve">ninth </w:t>
      </w:r>
      <w:r w:rsidR="0054610A">
        <w:rPr>
          <w:rFonts w:cs="Arial"/>
          <w:szCs w:val="22"/>
          <w:lang w:val="en-GB"/>
        </w:rPr>
        <w:t>session</w:t>
      </w:r>
      <w:r w:rsidRPr="007511CB">
        <w:rPr>
          <w:rFonts w:cs="Arial"/>
          <w:szCs w:val="22"/>
          <w:lang w:val="en-GB"/>
        </w:rPr>
        <w:t xml:space="preserve"> </w:t>
      </w:r>
      <w:r w:rsidR="0054610A">
        <w:rPr>
          <w:rFonts w:cs="Arial"/>
          <w:szCs w:val="22"/>
          <w:lang w:val="en-GB"/>
        </w:rPr>
        <w:t xml:space="preserve">in </w:t>
      </w:r>
      <w:r w:rsidRPr="007511CB">
        <w:rPr>
          <w:rFonts w:cs="Arial"/>
          <w:szCs w:val="22"/>
          <w:lang w:val="en-GB"/>
        </w:rPr>
        <w:t>November 2014</w:t>
      </w:r>
      <w:r>
        <w:rPr>
          <w:rFonts w:cs="Arial"/>
          <w:szCs w:val="22"/>
          <w:lang w:val="en-GB"/>
        </w:rPr>
        <w:t xml:space="preserve"> </w:t>
      </w:r>
      <w:r w:rsidR="00843CD2" w:rsidRPr="007511CB">
        <w:rPr>
          <w:rFonts w:cs="Arial"/>
          <w:szCs w:val="22"/>
          <w:lang w:val="en-GB"/>
        </w:rPr>
        <w:t xml:space="preserve">of the receipt of this letter and </w:t>
      </w:r>
      <w:r w:rsidR="00843CD2" w:rsidRPr="007511CB">
        <w:rPr>
          <w:rFonts w:eastAsia="SimSun"/>
          <w:lang w:val="en-GB"/>
        </w:rPr>
        <w:t>explained that it was the first time that the Secretariat had received correspondence from one State Party concerning a periodic report of another State Party. It was noted that there was nothing in the current texts or in Committee decisions to guide the Secretariat on how to react, unlike for nominations to the Lists that had a mechanism in place to deal with such correspondence.</w:t>
      </w:r>
    </w:p>
    <w:p w:rsidR="00BC3DA0" w:rsidRPr="00BC3DA0" w:rsidRDefault="00843CD2" w:rsidP="0057457D">
      <w:pPr>
        <w:pStyle w:val="Marge"/>
        <w:numPr>
          <w:ilvl w:val="0"/>
          <w:numId w:val="9"/>
        </w:numPr>
        <w:spacing w:after="120"/>
        <w:ind w:left="567" w:hanging="567"/>
        <w:rPr>
          <w:rFonts w:eastAsia="SimSun"/>
          <w:lang w:val="en-GB"/>
        </w:rPr>
      </w:pPr>
      <w:r w:rsidRPr="007511CB">
        <w:rPr>
          <w:rFonts w:eastAsia="SimSun"/>
          <w:lang w:val="en-GB"/>
        </w:rPr>
        <w:t>The Secretar</w:t>
      </w:r>
      <w:r w:rsidR="00067A12">
        <w:rPr>
          <w:rFonts w:eastAsia="SimSun"/>
          <w:lang w:val="en-GB"/>
        </w:rPr>
        <w:t>iat</w:t>
      </w:r>
      <w:r w:rsidRPr="007511CB">
        <w:rPr>
          <w:rFonts w:eastAsia="SimSun"/>
          <w:lang w:val="en-GB"/>
        </w:rPr>
        <w:t xml:space="preserve"> recalled that the Committee </w:t>
      </w:r>
      <w:r w:rsidR="0054610A">
        <w:rPr>
          <w:rFonts w:eastAsia="SimSun"/>
          <w:lang w:val="en-GB"/>
        </w:rPr>
        <w:t xml:space="preserve">had </w:t>
      </w:r>
      <w:r w:rsidRPr="007511CB">
        <w:rPr>
          <w:rFonts w:eastAsia="SimSun"/>
          <w:lang w:val="en-GB"/>
        </w:rPr>
        <w:t>adopted Decision</w:t>
      </w:r>
      <w:r w:rsidR="00E1290B">
        <w:rPr>
          <w:rFonts w:eastAsia="SimSun"/>
          <w:lang w:val="en-GB"/>
        </w:rPr>
        <w:t> </w:t>
      </w:r>
      <w:r w:rsidRPr="007511CB">
        <w:rPr>
          <w:rFonts w:eastAsia="SimSun"/>
          <w:lang w:val="en-GB"/>
        </w:rPr>
        <w:t xml:space="preserve">7.COM 15 in 2012 that </w:t>
      </w:r>
      <w:r w:rsidR="0054610A">
        <w:rPr>
          <w:rFonts w:eastAsia="SimSun"/>
          <w:lang w:val="en-GB"/>
        </w:rPr>
        <w:t>set out</w:t>
      </w:r>
      <w:r w:rsidR="0054610A" w:rsidRPr="007511CB">
        <w:rPr>
          <w:rFonts w:eastAsia="SimSun"/>
          <w:lang w:val="en-GB"/>
        </w:rPr>
        <w:t xml:space="preserve"> </w:t>
      </w:r>
      <w:r w:rsidRPr="007511CB">
        <w:rPr>
          <w:rFonts w:eastAsia="SimSun"/>
          <w:lang w:val="en-GB"/>
        </w:rPr>
        <w:t>the procedure for treating correspondence with regard to nominations</w:t>
      </w:r>
      <w:r w:rsidR="00893CB6">
        <w:rPr>
          <w:rFonts w:eastAsia="SimSun"/>
          <w:lang w:val="en-GB"/>
        </w:rPr>
        <w:t>.</w:t>
      </w:r>
      <w:r w:rsidR="007511CB">
        <w:rPr>
          <w:rFonts w:eastAsia="SimSun"/>
          <w:lang w:val="en-GB"/>
        </w:rPr>
        <w:t xml:space="preserve"> </w:t>
      </w:r>
      <w:r w:rsidR="00893CB6">
        <w:rPr>
          <w:rFonts w:eastAsia="SimSun"/>
          <w:lang w:val="en-GB"/>
        </w:rPr>
        <w:t>It</w:t>
      </w:r>
      <w:r w:rsidR="00BC3DA0">
        <w:rPr>
          <w:rFonts w:eastAsia="SimSun"/>
          <w:lang w:val="en-GB"/>
        </w:rPr>
        <w:t xml:space="preserve"> informed the Committee</w:t>
      </w:r>
      <w:r w:rsidRPr="007511CB">
        <w:rPr>
          <w:rFonts w:eastAsia="SimSun"/>
          <w:lang w:val="en-GB"/>
        </w:rPr>
        <w:t xml:space="preserve"> </w:t>
      </w:r>
      <w:r w:rsidR="00BC3DA0">
        <w:rPr>
          <w:rFonts w:cs="Arial"/>
          <w:szCs w:val="22"/>
          <w:lang w:val="en-GB"/>
        </w:rPr>
        <w:t xml:space="preserve">that </w:t>
      </w:r>
      <w:r w:rsidR="00BC3DA0" w:rsidRPr="007511CB">
        <w:rPr>
          <w:rFonts w:cs="Arial"/>
          <w:szCs w:val="22"/>
          <w:lang w:val="en-GB"/>
        </w:rPr>
        <w:t xml:space="preserve">the Secretariat treated </w:t>
      </w:r>
      <w:r w:rsidR="00BC3DA0">
        <w:rPr>
          <w:rFonts w:cs="Arial"/>
          <w:szCs w:val="22"/>
          <w:lang w:val="en-GB"/>
        </w:rPr>
        <w:t xml:space="preserve">the </w:t>
      </w:r>
      <w:r w:rsidR="0054610A">
        <w:rPr>
          <w:rFonts w:cs="Arial"/>
          <w:szCs w:val="22"/>
          <w:lang w:val="en-GB"/>
        </w:rPr>
        <w:t xml:space="preserve">abovementioned letter </w:t>
      </w:r>
      <w:r w:rsidR="00BC3DA0">
        <w:rPr>
          <w:rFonts w:cs="Arial"/>
          <w:szCs w:val="22"/>
          <w:lang w:val="en-GB"/>
        </w:rPr>
        <w:t xml:space="preserve">received </w:t>
      </w:r>
      <w:r w:rsidR="00BC3DA0" w:rsidRPr="007511CB">
        <w:rPr>
          <w:rFonts w:cs="Arial"/>
          <w:szCs w:val="22"/>
          <w:lang w:val="en-GB"/>
        </w:rPr>
        <w:t xml:space="preserve">on an </w:t>
      </w:r>
      <w:r w:rsidR="00BC3DA0" w:rsidRPr="007511CB">
        <w:rPr>
          <w:rFonts w:cs="Arial"/>
          <w:i/>
          <w:szCs w:val="22"/>
          <w:lang w:val="en-GB"/>
        </w:rPr>
        <w:t>ad hoc</w:t>
      </w:r>
      <w:r w:rsidR="00BC3DA0" w:rsidRPr="007511CB">
        <w:rPr>
          <w:rFonts w:cs="Arial"/>
          <w:szCs w:val="22"/>
          <w:lang w:val="en-GB"/>
        </w:rPr>
        <w:t xml:space="preserve"> basis</w:t>
      </w:r>
      <w:r w:rsidR="00067A12">
        <w:rPr>
          <w:rFonts w:cs="Arial"/>
          <w:szCs w:val="22"/>
          <w:lang w:val="en-GB"/>
        </w:rPr>
        <w:t>,</w:t>
      </w:r>
      <w:r w:rsidR="00BC3DA0" w:rsidRPr="007511CB">
        <w:rPr>
          <w:rFonts w:cs="Arial"/>
          <w:szCs w:val="22"/>
          <w:lang w:val="en-GB"/>
        </w:rPr>
        <w:t xml:space="preserve"> applying the treatment of correspondence with regard to nominations already adopted by the Committee in 2012.</w:t>
      </w:r>
    </w:p>
    <w:p w:rsidR="00843CD2" w:rsidRDefault="00BC3DA0" w:rsidP="0057457D">
      <w:pPr>
        <w:pStyle w:val="Marge"/>
        <w:numPr>
          <w:ilvl w:val="0"/>
          <w:numId w:val="9"/>
        </w:numPr>
        <w:spacing w:after="120"/>
        <w:ind w:left="567" w:hanging="567"/>
        <w:rPr>
          <w:rFonts w:eastAsia="SimSun"/>
          <w:lang w:val="en-GB"/>
        </w:rPr>
      </w:pPr>
      <w:r>
        <w:rPr>
          <w:rFonts w:eastAsia="SimSun"/>
          <w:lang w:val="en-GB"/>
        </w:rPr>
        <w:t>To fill this gap, t</w:t>
      </w:r>
      <w:r w:rsidR="00843CD2" w:rsidRPr="007511CB">
        <w:rPr>
          <w:rFonts w:eastAsia="SimSun"/>
          <w:lang w:val="en-GB"/>
        </w:rPr>
        <w:t>he Secretariat therefore proposed to include a paragraph in the draft decision</w:t>
      </w:r>
      <w:r w:rsidR="00E1290B">
        <w:rPr>
          <w:rFonts w:eastAsia="SimSun"/>
          <w:lang w:val="en-GB"/>
        </w:rPr>
        <w:t> </w:t>
      </w:r>
      <w:r w:rsidR="00067A12">
        <w:rPr>
          <w:rFonts w:eastAsia="SimSun"/>
          <w:lang w:val="en-GB"/>
        </w:rPr>
        <w:t>9.COM 5.</w:t>
      </w:r>
      <w:proofErr w:type="spellStart"/>
      <w:r w:rsidR="00067A12">
        <w:rPr>
          <w:rFonts w:eastAsia="SimSun"/>
          <w:lang w:val="en-GB"/>
        </w:rPr>
        <w:t>a</w:t>
      </w:r>
      <w:proofErr w:type="spellEnd"/>
      <w:r w:rsidR="00067A12">
        <w:rPr>
          <w:rFonts w:eastAsia="SimSun"/>
          <w:lang w:val="en-GB"/>
        </w:rPr>
        <w:t xml:space="preserve"> on periodic reports</w:t>
      </w:r>
      <w:r w:rsidR="00843CD2" w:rsidRPr="007511CB">
        <w:rPr>
          <w:rFonts w:eastAsia="SimSun"/>
          <w:lang w:val="en-GB"/>
        </w:rPr>
        <w:t xml:space="preserve"> </w:t>
      </w:r>
      <w:r w:rsidR="009904E0">
        <w:rPr>
          <w:rFonts w:eastAsia="SimSun"/>
          <w:lang w:val="en-GB"/>
        </w:rPr>
        <w:t xml:space="preserve">that </w:t>
      </w:r>
      <w:r w:rsidR="00843CD2" w:rsidRPr="007511CB">
        <w:rPr>
          <w:rFonts w:eastAsia="SimSun"/>
          <w:lang w:val="en-GB"/>
        </w:rPr>
        <w:t xml:space="preserve">would provide a dedicated mechanism for treating and processing correspondence of this nature for the Committee’s next session, while applying </w:t>
      </w:r>
      <w:r w:rsidR="00843CD2" w:rsidRPr="007511CB">
        <w:rPr>
          <w:rFonts w:eastAsia="SimSun"/>
          <w:i/>
          <w:lang w:val="en-GB"/>
        </w:rPr>
        <w:t xml:space="preserve">mutatis mutandis </w:t>
      </w:r>
      <w:r w:rsidR="00893CB6" w:rsidRPr="00F41828">
        <w:rPr>
          <w:rFonts w:eastAsia="SimSun"/>
          <w:lang w:val="en-GB"/>
        </w:rPr>
        <w:t>the guidelines for</w:t>
      </w:r>
      <w:r w:rsidR="00893CB6">
        <w:rPr>
          <w:rFonts w:eastAsia="SimSun"/>
          <w:i/>
          <w:lang w:val="en-GB"/>
        </w:rPr>
        <w:t xml:space="preserve"> </w:t>
      </w:r>
      <w:r w:rsidR="00067A12" w:rsidRPr="007511CB">
        <w:rPr>
          <w:rFonts w:cs="Arial"/>
          <w:szCs w:val="22"/>
          <w:lang w:val="en-GB"/>
        </w:rPr>
        <w:t>the treatment of correspondence with regard to nominations already adopted by the Committee in 2012</w:t>
      </w:r>
      <w:r w:rsidR="00067A12">
        <w:rPr>
          <w:rFonts w:cs="Arial"/>
          <w:szCs w:val="22"/>
          <w:lang w:val="en-GB"/>
        </w:rPr>
        <w:t xml:space="preserve"> </w:t>
      </w:r>
      <w:r w:rsidR="00843CD2" w:rsidRPr="007511CB">
        <w:rPr>
          <w:rFonts w:eastAsia="SimSun"/>
          <w:lang w:val="en-GB"/>
        </w:rPr>
        <w:t xml:space="preserve">in case further correspondence was received on other periodic reports during the </w:t>
      </w:r>
      <w:r w:rsidR="007511CB">
        <w:rPr>
          <w:rFonts w:eastAsia="SimSun"/>
          <w:lang w:val="en-GB"/>
        </w:rPr>
        <w:t>fifth cycle of reporting in 2015</w:t>
      </w:r>
      <w:r w:rsidR="00843CD2" w:rsidRPr="007511CB">
        <w:rPr>
          <w:rFonts w:eastAsia="SimSun"/>
          <w:lang w:val="en-GB"/>
        </w:rPr>
        <w:t>.</w:t>
      </w:r>
    </w:p>
    <w:p w:rsidR="00FE5C50" w:rsidRPr="007511CB" w:rsidRDefault="007511CB" w:rsidP="0057457D">
      <w:pPr>
        <w:pStyle w:val="Marge"/>
        <w:numPr>
          <w:ilvl w:val="0"/>
          <w:numId w:val="9"/>
        </w:numPr>
        <w:spacing w:after="120"/>
        <w:ind w:left="567" w:hanging="567"/>
        <w:rPr>
          <w:rFonts w:cs="Arial"/>
          <w:szCs w:val="22"/>
          <w:lang w:val="en-GB"/>
        </w:rPr>
      </w:pPr>
      <w:r w:rsidRPr="007511CB">
        <w:rPr>
          <w:rFonts w:eastAsia="SimSun"/>
          <w:lang w:val="en-GB"/>
        </w:rPr>
        <w:t>The Committee agreed with th</w:t>
      </w:r>
      <w:r>
        <w:rPr>
          <w:rFonts w:eastAsia="SimSun"/>
          <w:lang w:val="en-GB"/>
        </w:rPr>
        <w:t>e Secretar</w:t>
      </w:r>
      <w:r w:rsidR="00BC3DA0">
        <w:rPr>
          <w:rFonts w:eastAsia="SimSun"/>
          <w:lang w:val="en-GB"/>
        </w:rPr>
        <w:t>iat</w:t>
      </w:r>
      <w:r>
        <w:rPr>
          <w:rFonts w:eastAsia="SimSun"/>
          <w:lang w:val="en-GB"/>
        </w:rPr>
        <w:t>’s</w:t>
      </w:r>
      <w:r w:rsidRPr="007511CB">
        <w:rPr>
          <w:rFonts w:eastAsia="SimSun"/>
          <w:lang w:val="en-GB"/>
        </w:rPr>
        <w:t xml:space="preserve"> </w:t>
      </w:r>
      <w:r>
        <w:rPr>
          <w:rFonts w:eastAsia="SimSun"/>
          <w:lang w:val="en-GB"/>
        </w:rPr>
        <w:t xml:space="preserve">proposal </w:t>
      </w:r>
      <w:r w:rsidRPr="007511CB">
        <w:rPr>
          <w:rFonts w:eastAsia="SimSun"/>
          <w:lang w:val="en-GB"/>
        </w:rPr>
        <w:t xml:space="preserve">and therefore </w:t>
      </w:r>
      <w:r>
        <w:rPr>
          <w:rFonts w:eastAsia="SimSun"/>
          <w:lang w:val="en-GB"/>
        </w:rPr>
        <w:t xml:space="preserve">included </w:t>
      </w:r>
      <w:r w:rsidR="0054610A">
        <w:rPr>
          <w:rFonts w:eastAsia="SimSun"/>
          <w:lang w:val="en-GB"/>
        </w:rPr>
        <w:t>a</w:t>
      </w:r>
      <w:r w:rsidR="0054610A" w:rsidRPr="007511CB">
        <w:rPr>
          <w:rFonts w:eastAsia="SimSun"/>
          <w:lang w:val="en-GB"/>
        </w:rPr>
        <w:t xml:space="preserve"> </w:t>
      </w:r>
      <w:r w:rsidRPr="007511CB">
        <w:rPr>
          <w:rFonts w:eastAsia="SimSun"/>
          <w:lang w:val="en-GB"/>
        </w:rPr>
        <w:t xml:space="preserve">paragraph </w:t>
      </w:r>
      <w:r>
        <w:rPr>
          <w:rFonts w:eastAsia="SimSun"/>
          <w:lang w:val="en-GB"/>
        </w:rPr>
        <w:t>i</w:t>
      </w:r>
      <w:r w:rsidR="00FE5C50" w:rsidRPr="007511CB">
        <w:rPr>
          <w:rFonts w:cs="Arial"/>
          <w:szCs w:val="22"/>
          <w:lang w:val="en-GB"/>
        </w:rPr>
        <w:t>n its decision 9.COM 5.</w:t>
      </w:r>
      <w:proofErr w:type="spellStart"/>
      <w:r w:rsidR="00FE5C50" w:rsidRPr="007511CB">
        <w:rPr>
          <w:rFonts w:cs="Arial"/>
          <w:szCs w:val="22"/>
          <w:lang w:val="en-GB"/>
        </w:rPr>
        <w:t>a</w:t>
      </w:r>
      <w:proofErr w:type="spellEnd"/>
      <w:r w:rsidR="00FE5C50" w:rsidRPr="007511CB">
        <w:rPr>
          <w:rFonts w:cs="Arial"/>
          <w:szCs w:val="22"/>
          <w:lang w:val="en-GB"/>
        </w:rPr>
        <w:t xml:space="preserve"> </w:t>
      </w:r>
      <w:r>
        <w:rPr>
          <w:rFonts w:cs="Arial"/>
          <w:szCs w:val="22"/>
          <w:lang w:val="en-GB"/>
        </w:rPr>
        <w:t>in which it explicitly requested</w:t>
      </w:r>
      <w:r w:rsidR="00FE5C50" w:rsidRPr="007511CB">
        <w:rPr>
          <w:rFonts w:cs="Arial"/>
          <w:szCs w:val="22"/>
          <w:lang w:val="en-GB"/>
        </w:rPr>
        <w:t xml:space="preserve"> the Secretariat ‘</w:t>
      </w:r>
      <w:r w:rsidR="00BE4FE7" w:rsidRPr="007511CB">
        <w:rPr>
          <w:rFonts w:cs="Arial"/>
          <w:szCs w:val="22"/>
          <w:lang w:val="en-GB"/>
        </w:rPr>
        <w:t>to propose for its examination at its tenth session guidelines specifically applicable to periodic reports’</w:t>
      </w:r>
      <w:r w:rsidR="00FE5C50" w:rsidRPr="007511CB">
        <w:rPr>
          <w:rFonts w:cs="Arial"/>
          <w:szCs w:val="22"/>
          <w:lang w:val="en-GB"/>
        </w:rPr>
        <w:t>.</w:t>
      </w:r>
    </w:p>
    <w:p w:rsidR="00FE5C50" w:rsidRPr="007511CB" w:rsidRDefault="00FE5C50" w:rsidP="0057457D">
      <w:pPr>
        <w:pStyle w:val="Marge"/>
        <w:numPr>
          <w:ilvl w:val="0"/>
          <w:numId w:val="9"/>
        </w:numPr>
        <w:spacing w:after="120"/>
        <w:ind w:left="567" w:hanging="567"/>
        <w:rPr>
          <w:rFonts w:cs="Arial"/>
          <w:szCs w:val="22"/>
          <w:lang w:val="en-GB"/>
        </w:rPr>
      </w:pPr>
      <w:r w:rsidRPr="007511CB">
        <w:rPr>
          <w:rFonts w:cs="Arial"/>
          <w:szCs w:val="22"/>
          <w:lang w:val="en-GB"/>
        </w:rPr>
        <w:t xml:space="preserve">The annex to this document contains a set of guidelines for the treatment of correspondence from </w:t>
      </w:r>
      <w:r w:rsidR="00BE4FE7" w:rsidRPr="007511CB">
        <w:rPr>
          <w:rFonts w:cs="Arial"/>
          <w:szCs w:val="22"/>
          <w:lang w:val="en-GB"/>
        </w:rPr>
        <w:t xml:space="preserve">States, </w:t>
      </w:r>
      <w:r w:rsidRPr="007511CB">
        <w:rPr>
          <w:rFonts w:cs="Arial"/>
          <w:szCs w:val="22"/>
          <w:lang w:val="en-GB"/>
        </w:rPr>
        <w:t xml:space="preserve">the public or other concerned parties with regard to </w:t>
      </w:r>
      <w:r w:rsidR="00BE4FE7" w:rsidRPr="007511CB">
        <w:rPr>
          <w:rFonts w:cs="Arial"/>
          <w:szCs w:val="22"/>
          <w:lang w:val="en-GB"/>
        </w:rPr>
        <w:t>reports</w:t>
      </w:r>
      <w:r w:rsidR="00BC3DA0">
        <w:rPr>
          <w:rFonts w:cs="Arial"/>
          <w:szCs w:val="22"/>
          <w:lang w:val="en-GB"/>
        </w:rPr>
        <w:t xml:space="preserve"> submitted by a State</w:t>
      </w:r>
      <w:r w:rsidRPr="007511CB">
        <w:rPr>
          <w:rFonts w:cs="Arial"/>
          <w:szCs w:val="22"/>
          <w:lang w:val="en-GB"/>
        </w:rPr>
        <w:t>.</w:t>
      </w:r>
    </w:p>
    <w:p w:rsidR="00FE5C50" w:rsidRPr="007511CB" w:rsidRDefault="00FE5C50" w:rsidP="0057457D">
      <w:pPr>
        <w:pStyle w:val="Marge"/>
        <w:numPr>
          <w:ilvl w:val="0"/>
          <w:numId w:val="9"/>
        </w:numPr>
        <w:spacing w:after="120"/>
        <w:ind w:left="567" w:hanging="567"/>
        <w:rPr>
          <w:rFonts w:cs="Arial"/>
          <w:szCs w:val="22"/>
          <w:lang w:val="en-GB"/>
        </w:rPr>
      </w:pPr>
      <w:r w:rsidRPr="007511CB">
        <w:rPr>
          <w:rFonts w:cs="Arial"/>
          <w:szCs w:val="22"/>
          <w:lang w:val="en-GB"/>
        </w:rPr>
        <w:t>The Committee may wish to adopt the following decision:</w:t>
      </w:r>
    </w:p>
    <w:p w:rsidR="00FE5C50" w:rsidRPr="007511CB" w:rsidRDefault="002F3285" w:rsidP="00FE5C50">
      <w:pPr>
        <w:pStyle w:val="Marge"/>
        <w:spacing w:before="360"/>
        <w:ind w:left="1134" w:hanging="567"/>
        <w:rPr>
          <w:rFonts w:cs="Arial"/>
          <w:b/>
          <w:szCs w:val="22"/>
          <w:lang w:val="en-GB"/>
        </w:rPr>
      </w:pPr>
      <w:r>
        <w:rPr>
          <w:rFonts w:cs="Arial"/>
          <w:b/>
          <w:szCs w:val="22"/>
          <w:lang w:val="en-GB"/>
        </w:rPr>
        <w:t>DRAFT DECISION 10.COM 15</w:t>
      </w:r>
      <w:r w:rsidR="00F61019">
        <w:rPr>
          <w:rFonts w:cs="Arial"/>
          <w:b/>
          <w:szCs w:val="22"/>
          <w:lang w:val="en-GB"/>
        </w:rPr>
        <w:t>.b</w:t>
      </w:r>
    </w:p>
    <w:p w:rsidR="00FE5C50" w:rsidRPr="007511CB" w:rsidRDefault="00FE5C50" w:rsidP="0057457D">
      <w:pPr>
        <w:pStyle w:val="Marge"/>
        <w:spacing w:after="120"/>
        <w:ind w:left="1134" w:hanging="567"/>
        <w:rPr>
          <w:rFonts w:cs="Arial"/>
          <w:szCs w:val="22"/>
          <w:lang w:val="en-GB"/>
        </w:rPr>
      </w:pPr>
      <w:r w:rsidRPr="007511CB">
        <w:rPr>
          <w:rFonts w:cs="Arial"/>
          <w:szCs w:val="22"/>
          <w:lang w:val="en-GB"/>
        </w:rPr>
        <w:t>The Committee,</w:t>
      </w:r>
    </w:p>
    <w:p w:rsidR="00FE5C50" w:rsidRPr="007511CB" w:rsidRDefault="00FE5C50" w:rsidP="0057457D">
      <w:pPr>
        <w:numPr>
          <w:ilvl w:val="0"/>
          <w:numId w:val="10"/>
        </w:numPr>
        <w:autoSpaceDE w:val="0"/>
        <w:autoSpaceDN w:val="0"/>
        <w:adjustRightInd w:val="0"/>
        <w:spacing w:after="120"/>
        <w:ind w:left="1134" w:hanging="567"/>
        <w:jc w:val="both"/>
        <w:rPr>
          <w:rFonts w:ascii="Arial" w:hAnsi="Arial" w:cs="Arial"/>
          <w:sz w:val="22"/>
          <w:szCs w:val="22"/>
          <w:lang w:val="en-GB"/>
        </w:rPr>
      </w:pPr>
      <w:r w:rsidRPr="007511CB">
        <w:rPr>
          <w:rFonts w:ascii="Arial" w:hAnsi="Arial" w:cs="Arial"/>
          <w:sz w:val="22"/>
          <w:szCs w:val="22"/>
          <w:u w:val="single"/>
          <w:lang w:val="en-GB"/>
        </w:rPr>
        <w:t>Having examined</w:t>
      </w:r>
      <w:r w:rsidRPr="007511CB">
        <w:rPr>
          <w:rFonts w:ascii="Arial" w:hAnsi="Arial" w:cs="Arial"/>
          <w:sz w:val="22"/>
          <w:szCs w:val="22"/>
          <w:lang w:val="en-GB"/>
        </w:rPr>
        <w:t xml:space="preserve"> Document ITH/</w:t>
      </w:r>
      <w:r w:rsidR="00BE4FE7" w:rsidRPr="007511CB">
        <w:rPr>
          <w:rFonts w:ascii="Arial" w:hAnsi="Arial" w:cs="Arial"/>
          <w:sz w:val="22"/>
          <w:szCs w:val="22"/>
          <w:lang w:val="en-GB"/>
        </w:rPr>
        <w:t>15</w:t>
      </w:r>
      <w:r w:rsidRPr="007511CB">
        <w:rPr>
          <w:rFonts w:ascii="Arial" w:hAnsi="Arial" w:cs="Arial"/>
          <w:sz w:val="22"/>
          <w:szCs w:val="22"/>
          <w:lang w:val="en-GB"/>
        </w:rPr>
        <w:t>/</w:t>
      </w:r>
      <w:r w:rsidR="00BE4FE7" w:rsidRPr="007511CB">
        <w:rPr>
          <w:rFonts w:ascii="Arial" w:hAnsi="Arial" w:cs="Arial"/>
          <w:sz w:val="22"/>
          <w:szCs w:val="22"/>
          <w:lang w:val="en-GB"/>
        </w:rPr>
        <w:t>10</w:t>
      </w:r>
      <w:r w:rsidRPr="007511CB">
        <w:rPr>
          <w:rFonts w:ascii="Arial" w:hAnsi="Arial" w:cs="Arial"/>
          <w:sz w:val="22"/>
          <w:szCs w:val="22"/>
          <w:lang w:val="en-GB"/>
        </w:rPr>
        <w:t>.COM/1</w:t>
      </w:r>
      <w:r w:rsidR="002F3285">
        <w:rPr>
          <w:rFonts w:ascii="Arial" w:hAnsi="Arial" w:cs="Arial"/>
          <w:sz w:val="22"/>
          <w:szCs w:val="22"/>
          <w:lang w:val="en-GB"/>
        </w:rPr>
        <w:t>5</w:t>
      </w:r>
      <w:r w:rsidR="00BE4FE7" w:rsidRPr="007511CB">
        <w:rPr>
          <w:rFonts w:ascii="Arial" w:hAnsi="Arial" w:cs="Arial"/>
          <w:sz w:val="22"/>
          <w:szCs w:val="22"/>
          <w:lang w:val="en-GB"/>
        </w:rPr>
        <w:t>.b</w:t>
      </w:r>
      <w:r w:rsidRPr="007511CB">
        <w:rPr>
          <w:rFonts w:ascii="Arial" w:hAnsi="Arial" w:cs="Arial"/>
          <w:sz w:val="22"/>
          <w:szCs w:val="22"/>
          <w:lang w:val="en-GB"/>
        </w:rPr>
        <w:t>,</w:t>
      </w:r>
    </w:p>
    <w:p w:rsidR="00FE5C50" w:rsidRPr="007511CB" w:rsidRDefault="00FE5C50" w:rsidP="0057457D">
      <w:pPr>
        <w:numPr>
          <w:ilvl w:val="0"/>
          <w:numId w:val="10"/>
        </w:numPr>
        <w:autoSpaceDE w:val="0"/>
        <w:autoSpaceDN w:val="0"/>
        <w:adjustRightInd w:val="0"/>
        <w:spacing w:after="120"/>
        <w:ind w:left="1134" w:hanging="567"/>
        <w:jc w:val="both"/>
        <w:rPr>
          <w:rFonts w:ascii="Arial" w:hAnsi="Arial" w:cs="Arial"/>
          <w:sz w:val="22"/>
          <w:szCs w:val="22"/>
          <w:lang w:val="en-GB"/>
        </w:rPr>
      </w:pPr>
      <w:r w:rsidRPr="007511CB">
        <w:rPr>
          <w:rStyle w:val="goog-gtc-translatable"/>
          <w:rFonts w:ascii="Arial" w:hAnsi="Arial" w:cs="Arial"/>
          <w:sz w:val="22"/>
          <w:szCs w:val="22"/>
          <w:u w:val="single"/>
          <w:lang w:val="en-GB"/>
        </w:rPr>
        <w:t>Recalling</w:t>
      </w:r>
      <w:r w:rsidR="00BE4FE7" w:rsidRPr="007511CB">
        <w:rPr>
          <w:rStyle w:val="goog-gtc-translatable"/>
          <w:rFonts w:ascii="Arial" w:hAnsi="Arial" w:cs="Arial"/>
          <w:sz w:val="22"/>
          <w:szCs w:val="22"/>
          <w:lang w:val="en-GB"/>
        </w:rPr>
        <w:t xml:space="preserve"> its decision 9.COM 5.a</w:t>
      </w:r>
      <w:r w:rsidRPr="007511CB">
        <w:rPr>
          <w:rStyle w:val="goog-gtc-translatable"/>
          <w:rFonts w:ascii="Arial" w:hAnsi="Arial" w:cs="Arial"/>
          <w:sz w:val="22"/>
          <w:szCs w:val="22"/>
          <w:lang w:val="en-GB"/>
        </w:rPr>
        <w:t>,</w:t>
      </w:r>
    </w:p>
    <w:p w:rsidR="00FE5C50" w:rsidRPr="007511CB" w:rsidRDefault="00FE5C50" w:rsidP="00FE5C50">
      <w:pPr>
        <w:numPr>
          <w:ilvl w:val="0"/>
          <w:numId w:val="10"/>
        </w:numPr>
        <w:autoSpaceDE w:val="0"/>
        <w:autoSpaceDN w:val="0"/>
        <w:adjustRightInd w:val="0"/>
        <w:spacing w:before="120" w:after="360"/>
        <w:ind w:left="1134" w:hanging="567"/>
        <w:jc w:val="both"/>
        <w:rPr>
          <w:rFonts w:ascii="Arial" w:hAnsi="Arial" w:cs="Arial"/>
          <w:sz w:val="22"/>
          <w:szCs w:val="22"/>
          <w:lang w:val="en-GB"/>
        </w:rPr>
      </w:pPr>
      <w:r w:rsidRPr="007511CB">
        <w:rPr>
          <w:rStyle w:val="goog-gtc-translatable"/>
          <w:rFonts w:ascii="Arial" w:hAnsi="Arial" w:cs="Arial"/>
          <w:sz w:val="22"/>
          <w:szCs w:val="22"/>
          <w:u w:val="single"/>
          <w:lang w:val="en-GB"/>
        </w:rPr>
        <w:t>Adopts</w:t>
      </w:r>
      <w:r w:rsidRPr="007511CB">
        <w:rPr>
          <w:rStyle w:val="goog-gtc-translatable"/>
          <w:rFonts w:ascii="Arial" w:hAnsi="Arial" w:cs="Arial"/>
          <w:sz w:val="22"/>
          <w:szCs w:val="22"/>
          <w:lang w:val="en-GB"/>
        </w:rPr>
        <w:t xml:space="preserve"> the guidelines for the treatment of correspondence with regard to </w:t>
      </w:r>
      <w:r w:rsidR="00BE4FE7" w:rsidRPr="007511CB">
        <w:rPr>
          <w:rFonts w:ascii="Arial" w:hAnsi="Arial" w:cs="Arial"/>
          <w:sz w:val="22"/>
          <w:szCs w:val="22"/>
          <w:lang w:val="en-GB"/>
        </w:rPr>
        <w:t>periodic reports</w:t>
      </w:r>
      <w:r w:rsidRPr="007511CB">
        <w:rPr>
          <w:rStyle w:val="goog-gtc-translatable"/>
          <w:rFonts w:ascii="Arial" w:hAnsi="Arial" w:cs="Arial"/>
          <w:sz w:val="22"/>
          <w:szCs w:val="22"/>
          <w:lang w:val="en-GB"/>
        </w:rPr>
        <w:t>, as annexed to this Decision</w:t>
      </w:r>
      <w:r w:rsidRPr="007511CB">
        <w:rPr>
          <w:rFonts w:ascii="Arial" w:hAnsi="Arial" w:cs="Arial"/>
          <w:sz w:val="22"/>
          <w:szCs w:val="22"/>
          <w:lang w:val="en-GB"/>
        </w:rPr>
        <w:t>.</w:t>
      </w:r>
    </w:p>
    <w:tbl>
      <w:tblPr>
        <w:tblW w:w="0" w:type="auto"/>
        <w:tblInd w:w="637" w:type="dxa"/>
        <w:tblCellMar>
          <w:left w:w="0" w:type="dxa"/>
          <w:right w:w="0" w:type="dxa"/>
        </w:tblCellMar>
        <w:tblLook w:val="04A0" w:firstRow="1" w:lastRow="0" w:firstColumn="1" w:lastColumn="0" w:noHBand="0" w:noVBand="1"/>
      </w:tblPr>
      <w:tblGrid>
        <w:gridCol w:w="567"/>
        <w:gridCol w:w="8574"/>
      </w:tblGrid>
      <w:tr w:rsidR="00FE5C50" w:rsidRPr="00CD1CCC" w:rsidTr="00E34D2E">
        <w:tc>
          <w:tcPr>
            <w:tcW w:w="914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E5C50" w:rsidRPr="007511CB" w:rsidRDefault="00FE5C50" w:rsidP="0057457D">
            <w:pPr>
              <w:pStyle w:val="Heading1"/>
              <w:pageBreakBefore/>
              <w:spacing w:before="120"/>
              <w:jc w:val="center"/>
              <w:rPr>
                <w:rFonts w:ascii="Arial" w:hAnsi="Arial" w:cs="Arial"/>
                <w:sz w:val="22"/>
                <w:szCs w:val="22"/>
                <w:lang w:val="en-GB"/>
              </w:rPr>
            </w:pPr>
            <w:r w:rsidRPr="007511CB">
              <w:rPr>
                <w:rStyle w:val="goog-gtc-translatable"/>
                <w:rFonts w:ascii="Arial" w:hAnsi="Arial" w:cs="Arial"/>
                <w:sz w:val="22"/>
                <w:szCs w:val="22"/>
                <w:lang w:val="en-GB"/>
              </w:rPr>
              <w:lastRenderedPageBreak/>
              <w:t>ANNEX</w:t>
            </w:r>
          </w:p>
          <w:p w:rsidR="00FE5C50" w:rsidRPr="007511CB" w:rsidRDefault="00FE5C50" w:rsidP="00101EB0">
            <w:pPr>
              <w:pStyle w:val="Heading1"/>
              <w:spacing w:after="120"/>
              <w:jc w:val="center"/>
              <w:rPr>
                <w:rFonts w:ascii="Arial" w:hAnsi="Arial" w:cs="Arial"/>
                <w:sz w:val="22"/>
                <w:szCs w:val="22"/>
                <w:lang w:val="en-GB"/>
              </w:rPr>
            </w:pPr>
            <w:r w:rsidRPr="007511CB">
              <w:rPr>
                <w:rStyle w:val="goog-gtc-translatable"/>
                <w:rFonts w:ascii="Arial" w:hAnsi="Arial" w:cs="Arial"/>
                <w:sz w:val="22"/>
                <w:szCs w:val="22"/>
                <w:lang w:val="en-GB"/>
              </w:rPr>
              <w:t xml:space="preserve">Guidelines for the treatment of correspondence </w:t>
            </w:r>
            <w:r w:rsidR="001A1A3F">
              <w:rPr>
                <w:rStyle w:val="goog-gtc-translatable"/>
                <w:rFonts w:ascii="Arial" w:hAnsi="Arial" w:cs="Arial"/>
                <w:sz w:val="22"/>
                <w:szCs w:val="22"/>
                <w:lang w:val="en-GB"/>
              </w:rPr>
              <w:br/>
            </w:r>
            <w:r w:rsidRPr="007511CB">
              <w:rPr>
                <w:rStyle w:val="goog-gtc-translatable"/>
                <w:rFonts w:ascii="Arial" w:hAnsi="Arial" w:cs="Arial"/>
                <w:spacing w:val="-2"/>
                <w:sz w:val="22"/>
                <w:szCs w:val="22"/>
                <w:lang w:val="en-GB"/>
              </w:rPr>
              <w:t xml:space="preserve">with regard to </w:t>
            </w:r>
            <w:r w:rsidR="0054610A">
              <w:rPr>
                <w:rStyle w:val="goog-gtc-translatable"/>
                <w:rFonts w:ascii="Arial" w:hAnsi="Arial" w:cs="Arial"/>
                <w:spacing w:val="-2"/>
                <w:sz w:val="22"/>
                <w:szCs w:val="22"/>
                <w:lang w:val="en-GB"/>
              </w:rPr>
              <w:t xml:space="preserve">periodic </w:t>
            </w:r>
            <w:r w:rsidR="00BE4FE7" w:rsidRPr="007511CB">
              <w:rPr>
                <w:rFonts w:ascii="Arial" w:hAnsi="Arial" w:cs="Arial"/>
                <w:spacing w:val="-2"/>
                <w:sz w:val="22"/>
                <w:szCs w:val="22"/>
                <w:lang w:val="en-GB"/>
              </w:rPr>
              <w:t>reports</w:t>
            </w:r>
            <w:r w:rsidR="002544DD" w:rsidRPr="007511CB">
              <w:rPr>
                <w:rFonts w:ascii="Arial" w:hAnsi="Arial" w:cs="Arial"/>
                <w:spacing w:val="-2"/>
                <w:sz w:val="22"/>
                <w:szCs w:val="22"/>
                <w:lang w:val="en-GB"/>
              </w:rPr>
              <w:t xml:space="preserve"> </w:t>
            </w:r>
          </w:p>
        </w:tc>
      </w:tr>
      <w:tr w:rsidR="00FE5C50" w:rsidRPr="00CD1CCC" w:rsidTr="00E34D2E">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E5C50" w:rsidRPr="007511CB" w:rsidRDefault="00FE5C50" w:rsidP="00E34D2E">
            <w:pPr>
              <w:pStyle w:val="NormalWeb"/>
              <w:spacing w:before="60" w:beforeAutospacing="0" w:after="240" w:afterAutospacing="0"/>
              <w:jc w:val="center"/>
              <w:rPr>
                <w:rFonts w:ascii="Arial" w:hAnsi="Arial" w:cs="Arial"/>
                <w:sz w:val="22"/>
                <w:szCs w:val="22"/>
              </w:rPr>
            </w:pPr>
            <w:r w:rsidRPr="007511CB">
              <w:rPr>
                <w:rStyle w:val="goog-gtc-translatable"/>
                <w:rFonts w:ascii="Arial" w:hAnsi="Arial" w:cs="Arial"/>
                <w:sz w:val="22"/>
                <w:szCs w:val="22"/>
              </w:rPr>
              <w:t>1.</w:t>
            </w:r>
          </w:p>
        </w:tc>
        <w:tc>
          <w:tcPr>
            <w:tcW w:w="8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E5C50" w:rsidRPr="007511CB" w:rsidRDefault="00FE5C50" w:rsidP="005932E5">
            <w:pPr>
              <w:pStyle w:val="NormalWeb"/>
              <w:spacing w:before="60" w:beforeAutospacing="0" w:after="60" w:afterAutospacing="0"/>
              <w:jc w:val="both"/>
              <w:rPr>
                <w:rFonts w:ascii="Arial" w:hAnsi="Arial" w:cs="Arial"/>
                <w:sz w:val="22"/>
                <w:szCs w:val="22"/>
              </w:rPr>
            </w:pPr>
            <w:r w:rsidRPr="007511CB">
              <w:rPr>
                <w:rStyle w:val="goog-gtc-translatable"/>
                <w:rFonts w:ascii="Arial" w:hAnsi="Arial" w:cs="Arial"/>
                <w:spacing w:val="-2"/>
                <w:sz w:val="22"/>
                <w:szCs w:val="22"/>
              </w:rPr>
              <w:t xml:space="preserve">The Secretariat posts on the website of the Convention, in their original language, </w:t>
            </w:r>
            <w:r w:rsidR="0054610A">
              <w:rPr>
                <w:rStyle w:val="goog-gtc-translatable"/>
                <w:rFonts w:ascii="Arial" w:hAnsi="Arial" w:cs="Arial"/>
                <w:spacing w:val="-2"/>
                <w:sz w:val="22"/>
                <w:szCs w:val="22"/>
              </w:rPr>
              <w:t xml:space="preserve">periodic </w:t>
            </w:r>
            <w:r w:rsidR="002544DD" w:rsidRPr="007511CB">
              <w:rPr>
                <w:rStyle w:val="goog-gtc-translatable"/>
                <w:rFonts w:ascii="Arial" w:hAnsi="Arial" w:cs="Arial"/>
                <w:spacing w:val="-2"/>
                <w:sz w:val="22"/>
                <w:szCs w:val="22"/>
              </w:rPr>
              <w:t>reports</w:t>
            </w:r>
            <w:r w:rsidRPr="007511CB">
              <w:rPr>
                <w:rStyle w:val="goog-gtc-translatable"/>
                <w:rFonts w:ascii="Arial" w:hAnsi="Arial" w:cs="Arial"/>
                <w:spacing w:val="-2"/>
                <w:sz w:val="22"/>
                <w:szCs w:val="22"/>
              </w:rPr>
              <w:t xml:space="preserve"> as </w:t>
            </w:r>
            <w:r w:rsidR="007511CB">
              <w:rPr>
                <w:rStyle w:val="goog-gtc-translatable"/>
                <w:rFonts w:ascii="Arial" w:hAnsi="Arial" w:cs="Arial"/>
                <w:spacing w:val="-2"/>
                <w:sz w:val="22"/>
                <w:szCs w:val="22"/>
              </w:rPr>
              <w:t>received for the current cycle.</w:t>
            </w:r>
          </w:p>
        </w:tc>
      </w:tr>
      <w:tr w:rsidR="00FE5C50" w:rsidRPr="00CD1CCC" w:rsidTr="00E34D2E">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E5C50" w:rsidRPr="007511CB" w:rsidRDefault="00FE5C50" w:rsidP="00E34D2E">
            <w:pPr>
              <w:pStyle w:val="NormalWeb"/>
              <w:spacing w:before="60" w:beforeAutospacing="0" w:after="240" w:afterAutospacing="0"/>
              <w:jc w:val="center"/>
              <w:rPr>
                <w:rFonts w:ascii="Arial" w:hAnsi="Arial" w:cs="Arial"/>
                <w:sz w:val="22"/>
                <w:szCs w:val="22"/>
              </w:rPr>
            </w:pPr>
            <w:r w:rsidRPr="007511CB">
              <w:rPr>
                <w:rStyle w:val="goog-gtc-translatable"/>
                <w:rFonts w:ascii="Arial" w:hAnsi="Arial" w:cs="Arial"/>
                <w:sz w:val="22"/>
                <w:szCs w:val="22"/>
              </w:rPr>
              <w:t>2.</w:t>
            </w:r>
          </w:p>
        </w:tc>
        <w:tc>
          <w:tcPr>
            <w:tcW w:w="8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E5C50" w:rsidRPr="007511CB" w:rsidRDefault="00FE5C50" w:rsidP="00A50C4C">
            <w:pPr>
              <w:pStyle w:val="NormalWeb"/>
              <w:spacing w:before="60" w:beforeAutospacing="0" w:after="60" w:afterAutospacing="0"/>
              <w:jc w:val="both"/>
              <w:rPr>
                <w:rFonts w:ascii="Arial" w:hAnsi="Arial" w:cs="Arial"/>
                <w:sz w:val="22"/>
                <w:szCs w:val="22"/>
              </w:rPr>
            </w:pPr>
            <w:r w:rsidRPr="007511CB">
              <w:rPr>
                <w:rStyle w:val="goog-gtc-translatable"/>
                <w:rFonts w:ascii="Arial" w:hAnsi="Arial" w:cs="Arial"/>
                <w:spacing w:val="-2"/>
                <w:sz w:val="22"/>
                <w:szCs w:val="22"/>
              </w:rPr>
              <w:t xml:space="preserve">The Secretariat receives and registers correspondence relating to </w:t>
            </w:r>
            <w:r w:rsidR="0054610A">
              <w:rPr>
                <w:rStyle w:val="goog-gtc-translatable"/>
                <w:rFonts w:ascii="Arial" w:hAnsi="Arial" w:cs="Arial"/>
                <w:spacing w:val="-2"/>
                <w:sz w:val="22"/>
                <w:szCs w:val="22"/>
              </w:rPr>
              <w:t xml:space="preserve">periodic </w:t>
            </w:r>
            <w:r w:rsidR="007511CB">
              <w:rPr>
                <w:rStyle w:val="goog-gtc-translatable"/>
                <w:rFonts w:ascii="Arial" w:hAnsi="Arial" w:cs="Arial"/>
                <w:spacing w:val="-2"/>
                <w:sz w:val="22"/>
                <w:szCs w:val="22"/>
              </w:rPr>
              <w:t>report</w:t>
            </w:r>
            <w:r w:rsidR="00FB2271">
              <w:rPr>
                <w:rStyle w:val="goog-gtc-translatable"/>
                <w:rFonts w:ascii="Arial" w:hAnsi="Arial" w:cs="Arial"/>
                <w:spacing w:val="-2"/>
                <w:sz w:val="22"/>
                <w:szCs w:val="22"/>
              </w:rPr>
              <w:t>s</w:t>
            </w:r>
            <w:r w:rsidRPr="007511CB">
              <w:rPr>
                <w:rStyle w:val="goog-gtc-translatable"/>
                <w:rFonts w:ascii="Arial" w:hAnsi="Arial" w:cs="Arial"/>
                <w:spacing w:val="-2"/>
                <w:sz w:val="22"/>
                <w:szCs w:val="22"/>
              </w:rPr>
              <w:t>, which can arrive at any time.</w:t>
            </w:r>
          </w:p>
        </w:tc>
      </w:tr>
      <w:tr w:rsidR="00FE5C50" w:rsidRPr="00CD1CCC" w:rsidTr="00E34D2E">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E5C50" w:rsidRPr="007511CB" w:rsidRDefault="00FE5C50" w:rsidP="00E34D2E">
            <w:pPr>
              <w:pStyle w:val="NormalWeb"/>
              <w:spacing w:before="60" w:beforeAutospacing="0" w:after="240" w:afterAutospacing="0"/>
              <w:jc w:val="center"/>
              <w:rPr>
                <w:rFonts w:ascii="Arial" w:hAnsi="Arial" w:cs="Arial"/>
                <w:sz w:val="22"/>
                <w:szCs w:val="22"/>
              </w:rPr>
            </w:pPr>
            <w:r w:rsidRPr="007511CB">
              <w:rPr>
                <w:rStyle w:val="goog-gtc-translatable"/>
                <w:rFonts w:ascii="Arial" w:hAnsi="Arial" w:cs="Arial"/>
                <w:sz w:val="22"/>
                <w:szCs w:val="22"/>
              </w:rPr>
              <w:t>3.</w:t>
            </w:r>
          </w:p>
        </w:tc>
        <w:tc>
          <w:tcPr>
            <w:tcW w:w="8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E5C50" w:rsidRPr="007511CB" w:rsidRDefault="00FE5C50" w:rsidP="00101EB0">
            <w:pPr>
              <w:pStyle w:val="NormalWeb"/>
              <w:spacing w:before="60" w:beforeAutospacing="0" w:after="120" w:afterAutospacing="0"/>
              <w:jc w:val="both"/>
              <w:rPr>
                <w:rFonts w:ascii="Arial" w:hAnsi="Arial" w:cs="Arial"/>
                <w:sz w:val="22"/>
                <w:szCs w:val="22"/>
              </w:rPr>
            </w:pPr>
            <w:r w:rsidRPr="007511CB">
              <w:rPr>
                <w:rStyle w:val="goog-gtc-translatable"/>
                <w:rFonts w:ascii="Arial" w:hAnsi="Arial" w:cs="Arial"/>
                <w:sz w:val="22"/>
                <w:szCs w:val="22"/>
              </w:rPr>
              <w:t xml:space="preserve">Any correspondence received up to four weeks before the meeting of the </w:t>
            </w:r>
            <w:r w:rsidR="007511CB">
              <w:rPr>
                <w:rStyle w:val="goog-gtc-translatable"/>
                <w:rFonts w:ascii="Arial" w:hAnsi="Arial" w:cs="Arial"/>
                <w:sz w:val="22"/>
                <w:szCs w:val="22"/>
              </w:rPr>
              <w:t xml:space="preserve">Intergovernmental Committee </w:t>
            </w:r>
            <w:r w:rsidRPr="007511CB">
              <w:rPr>
                <w:rStyle w:val="goog-gtc-translatable"/>
                <w:rFonts w:ascii="Arial" w:hAnsi="Arial" w:cs="Arial"/>
                <w:sz w:val="22"/>
                <w:szCs w:val="22"/>
              </w:rPr>
              <w:t>is transmitted</w:t>
            </w:r>
            <w:r w:rsidR="00101EB0">
              <w:rPr>
                <w:rStyle w:val="goog-gtc-translatable"/>
                <w:rFonts w:ascii="Arial" w:hAnsi="Arial" w:cs="Arial"/>
                <w:sz w:val="22"/>
                <w:szCs w:val="22"/>
              </w:rPr>
              <w:t>,</w:t>
            </w:r>
            <w:r w:rsidRPr="007511CB">
              <w:rPr>
                <w:rStyle w:val="goog-gtc-translatable"/>
                <w:rFonts w:ascii="Arial" w:hAnsi="Arial" w:cs="Arial"/>
                <w:sz w:val="22"/>
                <w:szCs w:val="22"/>
              </w:rPr>
              <w:t xml:space="preserve"> in the language in which it was received</w:t>
            </w:r>
            <w:r w:rsidR="00101EB0">
              <w:rPr>
                <w:rStyle w:val="goog-gtc-translatable"/>
                <w:rFonts w:ascii="Arial" w:hAnsi="Arial" w:cs="Arial"/>
                <w:sz w:val="22"/>
                <w:szCs w:val="22"/>
              </w:rPr>
              <w:t>,</w:t>
            </w:r>
            <w:r w:rsidRPr="007511CB">
              <w:rPr>
                <w:rStyle w:val="goog-gtc-translatable"/>
                <w:rFonts w:ascii="Arial" w:hAnsi="Arial" w:cs="Arial"/>
                <w:sz w:val="22"/>
                <w:szCs w:val="22"/>
              </w:rPr>
              <w:t xml:space="preserve"> to the Permanent Delegation </w:t>
            </w:r>
            <w:r w:rsidR="0054610A">
              <w:rPr>
                <w:rStyle w:val="goog-gtc-translatable"/>
                <w:rFonts w:ascii="Arial" w:hAnsi="Arial" w:cs="Arial"/>
                <w:sz w:val="22"/>
                <w:szCs w:val="22"/>
              </w:rPr>
              <w:t xml:space="preserve">concerned </w:t>
            </w:r>
            <w:r w:rsidR="005932E5">
              <w:rPr>
                <w:rStyle w:val="goog-gtc-translatable"/>
                <w:rFonts w:ascii="Arial" w:hAnsi="Arial" w:cs="Arial"/>
                <w:sz w:val="22"/>
                <w:szCs w:val="22"/>
              </w:rPr>
              <w:t xml:space="preserve">as well as to the contact person indicated in the </w:t>
            </w:r>
            <w:r w:rsidR="00101EB0">
              <w:rPr>
                <w:rStyle w:val="goog-gtc-translatable"/>
                <w:rFonts w:ascii="Arial" w:hAnsi="Arial" w:cs="Arial"/>
                <w:sz w:val="22"/>
                <w:szCs w:val="22"/>
              </w:rPr>
              <w:t xml:space="preserve">periodic </w:t>
            </w:r>
            <w:r w:rsidR="005932E5">
              <w:rPr>
                <w:rStyle w:val="goog-gtc-translatable"/>
                <w:rFonts w:ascii="Arial" w:hAnsi="Arial" w:cs="Arial"/>
                <w:sz w:val="22"/>
                <w:szCs w:val="22"/>
              </w:rPr>
              <w:t>report</w:t>
            </w:r>
            <w:r w:rsidR="005932E5" w:rsidRPr="007511CB">
              <w:rPr>
                <w:rStyle w:val="goog-gtc-translatable"/>
                <w:rFonts w:ascii="Arial" w:hAnsi="Arial" w:cs="Arial"/>
                <w:sz w:val="22"/>
                <w:szCs w:val="22"/>
              </w:rPr>
              <w:t xml:space="preserve"> of the submitting State</w:t>
            </w:r>
            <w:r w:rsidR="00101EB0">
              <w:rPr>
                <w:rStyle w:val="goog-gtc-translatable"/>
                <w:rFonts w:ascii="Arial" w:hAnsi="Arial" w:cs="Arial"/>
                <w:sz w:val="22"/>
                <w:szCs w:val="22"/>
              </w:rPr>
              <w:t xml:space="preserve"> Party</w:t>
            </w:r>
            <w:r w:rsidRPr="007511CB">
              <w:rPr>
                <w:rStyle w:val="goog-gtc-translatable"/>
                <w:rFonts w:ascii="Arial" w:hAnsi="Arial" w:cs="Arial"/>
                <w:sz w:val="22"/>
                <w:szCs w:val="22"/>
              </w:rPr>
              <w:t>.</w:t>
            </w:r>
          </w:p>
        </w:tc>
      </w:tr>
      <w:tr w:rsidR="00FE5C50" w:rsidRPr="00CD1CCC" w:rsidTr="00E34D2E">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E5C50" w:rsidRPr="007511CB" w:rsidRDefault="00FE5C50" w:rsidP="00E34D2E">
            <w:pPr>
              <w:pStyle w:val="NormalWeb"/>
              <w:spacing w:before="60" w:beforeAutospacing="0" w:after="240" w:afterAutospacing="0"/>
              <w:jc w:val="center"/>
              <w:rPr>
                <w:rFonts w:ascii="Arial" w:hAnsi="Arial" w:cs="Arial"/>
                <w:sz w:val="22"/>
                <w:szCs w:val="22"/>
              </w:rPr>
            </w:pPr>
            <w:r w:rsidRPr="007511CB">
              <w:rPr>
                <w:rStyle w:val="goog-gtc-translatable"/>
                <w:rFonts w:ascii="Arial" w:hAnsi="Arial" w:cs="Arial"/>
                <w:sz w:val="22"/>
                <w:szCs w:val="22"/>
              </w:rPr>
              <w:t>4.</w:t>
            </w:r>
          </w:p>
        </w:tc>
        <w:tc>
          <w:tcPr>
            <w:tcW w:w="8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E5C50" w:rsidRPr="007511CB" w:rsidRDefault="00101EB0" w:rsidP="006C28BA">
            <w:pPr>
              <w:pStyle w:val="NormalWeb"/>
              <w:spacing w:before="60" w:beforeAutospacing="0" w:after="120" w:afterAutospacing="0"/>
              <w:jc w:val="both"/>
              <w:rPr>
                <w:rFonts w:ascii="Arial" w:hAnsi="Arial" w:cs="Arial"/>
                <w:sz w:val="22"/>
                <w:szCs w:val="22"/>
              </w:rPr>
            </w:pPr>
            <w:r>
              <w:rPr>
                <w:rStyle w:val="goog-gtc-translatable"/>
                <w:rFonts w:ascii="Arial" w:hAnsi="Arial" w:cs="Arial"/>
                <w:sz w:val="22"/>
                <w:szCs w:val="22"/>
              </w:rPr>
              <w:t xml:space="preserve">The </w:t>
            </w:r>
            <w:r w:rsidR="00FE5C50" w:rsidRPr="007511CB">
              <w:rPr>
                <w:rStyle w:val="goog-gtc-translatable"/>
                <w:rFonts w:ascii="Arial" w:hAnsi="Arial" w:cs="Arial"/>
                <w:sz w:val="22"/>
                <w:szCs w:val="22"/>
              </w:rPr>
              <w:t xml:space="preserve">State </w:t>
            </w:r>
            <w:r>
              <w:rPr>
                <w:rStyle w:val="goog-gtc-translatable"/>
                <w:rFonts w:ascii="Arial" w:hAnsi="Arial" w:cs="Arial"/>
                <w:sz w:val="22"/>
                <w:szCs w:val="22"/>
              </w:rPr>
              <w:t>Party</w:t>
            </w:r>
            <w:r w:rsidRPr="007511CB">
              <w:rPr>
                <w:rStyle w:val="goog-gtc-translatable"/>
                <w:rFonts w:ascii="Arial" w:hAnsi="Arial" w:cs="Arial"/>
                <w:sz w:val="22"/>
                <w:szCs w:val="22"/>
              </w:rPr>
              <w:t xml:space="preserve"> </w:t>
            </w:r>
            <w:r>
              <w:rPr>
                <w:rStyle w:val="goog-gtc-translatable"/>
                <w:rFonts w:ascii="Arial" w:hAnsi="Arial" w:cs="Arial"/>
                <w:sz w:val="22"/>
                <w:szCs w:val="22"/>
              </w:rPr>
              <w:t xml:space="preserve">that has submitted the periodic report concerned </w:t>
            </w:r>
            <w:r w:rsidR="0054610A">
              <w:rPr>
                <w:rStyle w:val="goog-gtc-translatable"/>
                <w:rFonts w:ascii="Arial" w:hAnsi="Arial" w:cs="Arial"/>
                <w:sz w:val="22"/>
                <w:szCs w:val="22"/>
              </w:rPr>
              <w:t>may</w:t>
            </w:r>
            <w:r w:rsidR="006C28BA">
              <w:rPr>
                <w:rStyle w:val="goog-gtc-translatable"/>
                <w:rFonts w:ascii="Arial" w:hAnsi="Arial" w:cs="Arial"/>
                <w:sz w:val="22"/>
                <w:szCs w:val="22"/>
              </w:rPr>
              <w:t xml:space="preserve"> submit to the Secretariat comments</w:t>
            </w:r>
            <w:r>
              <w:rPr>
                <w:rStyle w:val="goog-gtc-translatable"/>
                <w:rFonts w:ascii="Arial" w:hAnsi="Arial" w:cs="Arial"/>
                <w:sz w:val="22"/>
                <w:szCs w:val="22"/>
              </w:rPr>
              <w:t xml:space="preserve"> </w:t>
            </w:r>
            <w:r w:rsidR="00FE5C50" w:rsidRPr="007511CB">
              <w:rPr>
                <w:rStyle w:val="goog-gtc-translatable"/>
                <w:rFonts w:ascii="Arial" w:hAnsi="Arial" w:cs="Arial"/>
                <w:sz w:val="22"/>
                <w:szCs w:val="22"/>
              </w:rPr>
              <w:t xml:space="preserve">no later than two weeks before the meeting of the </w:t>
            </w:r>
            <w:r w:rsidR="005932E5">
              <w:rPr>
                <w:rStyle w:val="goog-gtc-translatable"/>
                <w:rFonts w:ascii="Arial" w:hAnsi="Arial" w:cs="Arial"/>
                <w:sz w:val="22"/>
                <w:szCs w:val="22"/>
              </w:rPr>
              <w:t>Committee</w:t>
            </w:r>
            <w:r w:rsidR="00FE5C50" w:rsidRPr="007511CB">
              <w:rPr>
                <w:rStyle w:val="goog-gtc-translatable"/>
                <w:rFonts w:ascii="Arial" w:hAnsi="Arial" w:cs="Arial"/>
                <w:sz w:val="22"/>
                <w:szCs w:val="22"/>
              </w:rPr>
              <w:t>.</w:t>
            </w:r>
            <w:r w:rsidR="005932E5">
              <w:rPr>
                <w:rStyle w:val="goog-gtc-translatable"/>
                <w:rFonts w:ascii="Arial" w:hAnsi="Arial" w:cs="Arial"/>
                <w:sz w:val="22"/>
                <w:szCs w:val="22"/>
              </w:rPr>
              <w:t xml:space="preserve"> </w:t>
            </w:r>
            <w:r>
              <w:rPr>
                <w:rStyle w:val="goog-gtc-translatable"/>
                <w:rFonts w:ascii="Arial" w:hAnsi="Arial" w:cs="Arial"/>
                <w:sz w:val="22"/>
                <w:szCs w:val="22"/>
              </w:rPr>
              <w:t>The</w:t>
            </w:r>
            <w:r w:rsidRPr="007511CB">
              <w:rPr>
                <w:rStyle w:val="goog-gtc-translatable"/>
                <w:rFonts w:ascii="Arial" w:hAnsi="Arial" w:cs="Arial"/>
                <w:sz w:val="22"/>
                <w:szCs w:val="22"/>
              </w:rPr>
              <w:t xml:space="preserve"> </w:t>
            </w:r>
            <w:r w:rsidR="00F61019" w:rsidRPr="007511CB">
              <w:rPr>
                <w:rStyle w:val="goog-gtc-translatable"/>
                <w:rFonts w:ascii="Arial" w:hAnsi="Arial" w:cs="Arial"/>
                <w:sz w:val="22"/>
                <w:szCs w:val="22"/>
              </w:rPr>
              <w:t>response, if any, is communicated to the entity that sent the correspondence.</w:t>
            </w:r>
            <w:r w:rsidR="00F61019">
              <w:rPr>
                <w:rStyle w:val="goog-gtc-translatable"/>
                <w:rFonts w:ascii="Arial" w:hAnsi="Arial" w:cs="Arial"/>
                <w:sz w:val="22"/>
                <w:szCs w:val="22"/>
              </w:rPr>
              <w:t xml:space="preserve"> </w:t>
            </w:r>
          </w:p>
        </w:tc>
      </w:tr>
      <w:tr w:rsidR="00F61019" w:rsidRPr="00CD1CCC" w:rsidTr="00E34D2E">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61019" w:rsidRPr="007511CB" w:rsidRDefault="00F61019" w:rsidP="00E34D2E">
            <w:pPr>
              <w:pStyle w:val="NormalWeb"/>
              <w:spacing w:before="60" w:beforeAutospacing="0" w:after="240" w:afterAutospacing="0"/>
              <w:jc w:val="center"/>
              <w:rPr>
                <w:rStyle w:val="goog-gtc-translatable"/>
                <w:rFonts w:ascii="Arial" w:hAnsi="Arial" w:cs="Arial"/>
                <w:sz w:val="22"/>
                <w:szCs w:val="22"/>
              </w:rPr>
            </w:pPr>
            <w:r>
              <w:rPr>
                <w:rStyle w:val="goog-gtc-translatable"/>
                <w:rFonts w:ascii="Arial" w:hAnsi="Arial" w:cs="Arial"/>
                <w:sz w:val="22"/>
                <w:szCs w:val="22"/>
              </w:rPr>
              <w:t>5.</w:t>
            </w:r>
          </w:p>
        </w:tc>
        <w:tc>
          <w:tcPr>
            <w:tcW w:w="8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61019" w:rsidRPr="007511CB" w:rsidRDefault="00F61019" w:rsidP="006C28BA">
            <w:pPr>
              <w:pStyle w:val="NormalWeb"/>
              <w:spacing w:before="60" w:beforeAutospacing="0" w:after="120" w:afterAutospacing="0"/>
              <w:jc w:val="both"/>
              <w:rPr>
                <w:rStyle w:val="goog-gtc-translatable"/>
                <w:rFonts w:ascii="Arial" w:hAnsi="Arial" w:cs="Arial"/>
                <w:sz w:val="22"/>
                <w:szCs w:val="22"/>
              </w:rPr>
            </w:pPr>
            <w:r w:rsidRPr="007511CB">
              <w:rPr>
                <w:rStyle w:val="goog-gtc-translatable"/>
                <w:rFonts w:ascii="Arial" w:hAnsi="Arial" w:cs="Arial"/>
                <w:sz w:val="22"/>
                <w:szCs w:val="22"/>
              </w:rPr>
              <w:t xml:space="preserve">The Secretariat makes available to </w:t>
            </w:r>
            <w:r>
              <w:rPr>
                <w:rStyle w:val="goog-gtc-translatable"/>
                <w:rFonts w:ascii="Arial" w:hAnsi="Arial" w:cs="Arial"/>
                <w:sz w:val="22"/>
                <w:szCs w:val="22"/>
              </w:rPr>
              <w:t>the Committee</w:t>
            </w:r>
            <w:r w:rsidRPr="007511CB">
              <w:rPr>
                <w:rStyle w:val="goog-gtc-translatable"/>
                <w:rFonts w:ascii="Arial" w:hAnsi="Arial" w:cs="Arial"/>
                <w:sz w:val="22"/>
                <w:szCs w:val="22"/>
              </w:rPr>
              <w:t xml:space="preserve"> </w:t>
            </w:r>
            <w:r>
              <w:rPr>
                <w:rStyle w:val="goog-gtc-translatable"/>
                <w:rFonts w:ascii="Arial" w:hAnsi="Arial" w:cs="Arial"/>
                <w:sz w:val="22"/>
                <w:szCs w:val="22"/>
              </w:rPr>
              <w:t xml:space="preserve">the </w:t>
            </w:r>
            <w:r w:rsidRPr="007511CB">
              <w:rPr>
                <w:rStyle w:val="goog-gtc-translatable"/>
                <w:rFonts w:ascii="Arial" w:hAnsi="Arial" w:cs="Arial"/>
                <w:sz w:val="22"/>
                <w:szCs w:val="22"/>
              </w:rPr>
              <w:t xml:space="preserve">correspondence and any comments by the submitting State concerned, in their original language. These </w:t>
            </w:r>
            <w:r w:rsidR="006C28BA">
              <w:rPr>
                <w:rStyle w:val="goog-gtc-translatable"/>
                <w:rFonts w:ascii="Arial" w:hAnsi="Arial" w:cs="Arial"/>
                <w:sz w:val="22"/>
                <w:szCs w:val="22"/>
              </w:rPr>
              <w:t>correspondences</w:t>
            </w:r>
            <w:r w:rsidR="006C28BA" w:rsidRPr="007511CB">
              <w:rPr>
                <w:rStyle w:val="goog-gtc-translatable"/>
                <w:rFonts w:ascii="Arial" w:hAnsi="Arial" w:cs="Arial"/>
                <w:sz w:val="22"/>
                <w:szCs w:val="22"/>
              </w:rPr>
              <w:t xml:space="preserve"> </w:t>
            </w:r>
            <w:r w:rsidRPr="007511CB">
              <w:rPr>
                <w:rStyle w:val="goog-gtc-translatable"/>
                <w:rFonts w:ascii="Arial" w:hAnsi="Arial" w:cs="Arial"/>
                <w:sz w:val="22"/>
                <w:szCs w:val="22"/>
              </w:rPr>
              <w:t>and comments are also posted on the website of the Convention.</w:t>
            </w:r>
          </w:p>
        </w:tc>
      </w:tr>
      <w:tr w:rsidR="00FE5C50" w:rsidRPr="00CD1CCC" w:rsidTr="00E34D2E">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E5C50" w:rsidRPr="007511CB" w:rsidRDefault="00F61019" w:rsidP="00E34D2E">
            <w:pPr>
              <w:pStyle w:val="NormalWeb"/>
              <w:spacing w:before="60" w:beforeAutospacing="0" w:after="240" w:afterAutospacing="0"/>
              <w:jc w:val="center"/>
              <w:rPr>
                <w:rFonts w:ascii="Arial" w:hAnsi="Arial" w:cs="Arial"/>
                <w:sz w:val="22"/>
                <w:szCs w:val="22"/>
              </w:rPr>
            </w:pPr>
            <w:r>
              <w:rPr>
                <w:rStyle w:val="goog-gtc-translatable"/>
                <w:rFonts w:ascii="Arial" w:hAnsi="Arial" w:cs="Arial"/>
                <w:sz w:val="22"/>
                <w:szCs w:val="22"/>
              </w:rPr>
              <w:t>6</w:t>
            </w:r>
            <w:r w:rsidR="00FE5C50" w:rsidRPr="007511CB">
              <w:rPr>
                <w:rStyle w:val="goog-gtc-translatable"/>
                <w:rFonts w:ascii="Arial" w:hAnsi="Arial" w:cs="Arial"/>
                <w:sz w:val="22"/>
                <w:szCs w:val="22"/>
              </w:rPr>
              <w:t>.</w:t>
            </w:r>
          </w:p>
        </w:tc>
        <w:tc>
          <w:tcPr>
            <w:tcW w:w="8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E5C50" w:rsidRPr="007511CB" w:rsidRDefault="00FE5C50" w:rsidP="00A50C4C">
            <w:pPr>
              <w:pStyle w:val="NormalWeb"/>
              <w:spacing w:before="60" w:beforeAutospacing="0" w:after="120" w:afterAutospacing="0"/>
              <w:jc w:val="both"/>
              <w:rPr>
                <w:rFonts w:ascii="Arial" w:hAnsi="Arial" w:cs="Arial"/>
                <w:sz w:val="22"/>
                <w:szCs w:val="22"/>
              </w:rPr>
            </w:pPr>
            <w:r w:rsidRPr="007511CB">
              <w:rPr>
                <w:rStyle w:val="goog-gtc-translatable"/>
                <w:rFonts w:ascii="Arial" w:hAnsi="Arial" w:cs="Arial"/>
                <w:sz w:val="22"/>
                <w:szCs w:val="22"/>
              </w:rPr>
              <w:t xml:space="preserve">After </w:t>
            </w:r>
            <w:r w:rsidR="005932E5">
              <w:rPr>
                <w:rStyle w:val="goog-gtc-translatable"/>
                <w:rFonts w:ascii="Arial" w:hAnsi="Arial" w:cs="Arial"/>
                <w:sz w:val="22"/>
                <w:szCs w:val="22"/>
              </w:rPr>
              <w:t xml:space="preserve">the examination </w:t>
            </w:r>
            <w:r w:rsidRPr="007511CB">
              <w:rPr>
                <w:rStyle w:val="goog-gtc-translatable"/>
                <w:rFonts w:ascii="Arial" w:hAnsi="Arial" w:cs="Arial"/>
                <w:sz w:val="22"/>
                <w:szCs w:val="22"/>
              </w:rPr>
              <w:t xml:space="preserve">of </w:t>
            </w:r>
            <w:r w:rsidR="00A50C4C">
              <w:rPr>
                <w:rStyle w:val="goog-gtc-translatable"/>
                <w:rFonts w:ascii="Arial" w:hAnsi="Arial" w:cs="Arial"/>
                <w:sz w:val="22"/>
                <w:szCs w:val="22"/>
              </w:rPr>
              <w:t>the</w:t>
            </w:r>
            <w:r w:rsidR="00101EB0">
              <w:rPr>
                <w:rStyle w:val="goog-gtc-translatable"/>
                <w:rFonts w:ascii="Arial" w:hAnsi="Arial" w:cs="Arial"/>
                <w:sz w:val="22"/>
                <w:szCs w:val="22"/>
              </w:rPr>
              <w:t xml:space="preserve"> periodic </w:t>
            </w:r>
            <w:r w:rsidR="005932E5">
              <w:rPr>
                <w:rStyle w:val="goog-gtc-translatable"/>
                <w:rFonts w:ascii="Arial" w:hAnsi="Arial" w:cs="Arial"/>
                <w:sz w:val="22"/>
                <w:szCs w:val="22"/>
              </w:rPr>
              <w:t xml:space="preserve">reports </w:t>
            </w:r>
            <w:r w:rsidR="00101EB0">
              <w:rPr>
                <w:rStyle w:val="goog-gtc-translatable"/>
                <w:rFonts w:ascii="Arial" w:hAnsi="Arial" w:cs="Arial"/>
                <w:sz w:val="22"/>
                <w:szCs w:val="22"/>
              </w:rPr>
              <w:t xml:space="preserve">concerned </w:t>
            </w:r>
            <w:r w:rsidR="005932E5">
              <w:rPr>
                <w:rStyle w:val="goog-gtc-translatable"/>
                <w:rFonts w:ascii="Arial" w:hAnsi="Arial" w:cs="Arial"/>
                <w:sz w:val="22"/>
                <w:szCs w:val="22"/>
              </w:rPr>
              <w:t>by the Committee</w:t>
            </w:r>
            <w:r w:rsidRPr="007511CB">
              <w:rPr>
                <w:rStyle w:val="goog-gtc-translatable"/>
                <w:rFonts w:ascii="Arial" w:hAnsi="Arial" w:cs="Arial"/>
                <w:sz w:val="22"/>
                <w:szCs w:val="22"/>
              </w:rPr>
              <w:t xml:space="preserve">, correspondence and </w:t>
            </w:r>
            <w:r w:rsidR="00101EB0">
              <w:rPr>
                <w:rStyle w:val="goog-gtc-translatable"/>
                <w:rFonts w:ascii="Arial" w:hAnsi="Arial" w:cs="Arial"/>
                <w:sz w:val="22"/>
                <w:szCs w:val="22"/>
              </w:rPr>
              <w:t xml:space="preserve">response </w:t>
            </w:r>
            <w:r w:rsidRPr="007511CB">
              <w:rPr>
                <w:rStyle w:val="goog-gtc-translatable"/>
                <w:rFonts w:ascii="Arial" w:hAnsi="Arial" w:cs="Arial"/>
                <w:sz w:val="22"/>
                <w:szCs w:val="22"/>
              </w:rPr>
              <w:t>are removed from the website of the Convention</w:t>
            </w:r>
            <w:r w:rsidR="005932E5">
              <w:rPr>
                <w:rStyle w:val="goog-gtc-translatable"/>
                <w:rFonts w:ascii="Arial" w:hAnsi="Arial" w:cs="Arial"/>
                <w:sz w:val="22"/>
                <w:szCs w:val="22"/>
              </w:rPr>
              <w:t>, unless decided otherwise by the Committee</w:t>
            </w:r>
            <w:r w:rsidRPr="007511CB">
              <w:rPr>
                <w:rStyle w:val="goog-gtc-translatable"/>
                <w:rFonts w:ascii="Arial" w:hAnsi="Arial" w:cs="Arial"/>
                <w:sz w:val="22"/>
                <w:szCs w:val="22"/>
              </w:rPr>
              <w:t>.</w:t>
            </w:r>
          </w:p>
        </w:tc>
      </w:tr>
      <w:tr w:rsidR="00FE5C50" w:rsidRPr="00CD1CCC" w:rsidTr="00E34D2E">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E5C50" w:rsidRPr="007511CB" w:rsidRDefault="00F61019" w:rsidP="00E34D2E">
            <w:pPr>
              <w:pStyle w:val="NormalWeb"/>
              <w:spacing w:before="60" w:beforeAutospacing="0" w:after="240" w:afterAutospacing="0"/>
              <w:jc w:val="center"/>
              <w:rPr>
                <w:rFonts w:ascii="Arial" w:hAnsi="Arial" w:cs="Arial"/>
                <w:sz w:val="22"/>
                <w:szCs w:val="22"/>
              </w:rPr>
            </w:pPr>
            <w:r>
              <w:rPr>
                <w:rStyle w:val="goog-gtc-translatable"/>
                <w:rFonts w:ascii="Arial" w:hAnsi="Arial" w:cs="Arial"/>
                <w:sz w:val="22"/>
                <w:szCs w:val="22"/>
              </w:rPr>
              <w:t>7</w:t>
            </w:r>
            <w:r w:rsidR="00FE5C50" w:rsidRPr="007511CB">
              <w:rPr>
                <w:rStyle w:val="goog-gtc-translatable"/>
                <w:rFonts w:ascii="Arial" w:hAnsi="Arial" w:cs="Arial"/>
                <w:sz w:val="22"/>
                <w:szCs w:val="22"/>
              </w:rPr>
              <w:t>.</w:t>
            </w:r>
          </w:p>
        </w:tc>
        <w:tc>
          <w:tcPr>
            <w:tcW w:w="8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E5C50" w:rsidRPr="007511CB" w:rsidRDefault="00FE5C50" w:rsidP="00101EB0">
            <w:pPr>
              <w:pStyle w:val="NormalWeb"/>
              <w:spacing w:before="60" w:beforeAutospacing="0" w:after="120" w:afterAutospacing="0"/>
              <w:jc w:val="both"/>
              <w:rPr>
                <w:rFonts w:ascii="Arial" w:hAnsi="Arial" w:cs="Arial"/>
                <w:sz w:val="22"/>
                <w:szCs w:val="22"/>
              </w:rPr>
            </w:pPr>
            <w:r w:rsidRPr="007511CB">
              <w:rPr>
                <w:rStyle w:val="goog-gtc-translatable"/>
                <w:rFonts w:ascii="Arial" w:hAnsi="Arial" w:cs="Arial"/>
                <w:sz w:val="22"/>
                <w:szCs w:val="22"/>
              </w:rPr>
              <w:t>Any correspondence received after th</w:t>
            </w:r>
            <w:r w:rsidR="005932E5">
              <w:rPr>
                <w:rStyle w:val="goog-gtc-translatable"/>
                <w:rFonts w:ascii="Arial" w:hAnsi="Arial" w:cs="Arial"/>
                <w:sz w:val="22"/>
                <w:szCs w:val="22"/>
              </w:rPr>
              <w:t>e deadlines</w:t>
            </w:r>
            <w:r w:rsidR="00101EB0">
              <w:rPr>
                <w:rStyle w:val="goog-gtc-translatable"/>
                <w:rFonts w:ascii="Arial" w:hAnsi="Arial" w:cs="Arial"/>
                <w:sz w:val="22"/>
                <w:szCs w:val="22"/>
              </w:rPr>
              <w:t xml:space="preserve"> defined above</w:t>
            </w:r>
            <w:r w:rsidR="005932E5">
              <w:rPr>
                <w:rStyle w:val="goog-gtc-translatable"/>
                <w:rFonts w:ascii="Arial" w:hAnsi="Arial" w:cs="Arial"/>
                <w:sz w:val="22"/>
                <w:szCs w:val="22"/>
              </w:rPr>
              <w:t xml:space="preserve">, or concerning a </w:t>
            </w:r>
            <w:r w:rsidR="00101EB0">
              <w:rPr>
                <w:rStyle w:val="goog-gtc-translatable"/>
                <w:rFonts w:ascii="Arial" w:hAnsi="Arial" w:cs="Arial"/>
                <w:sz w:val="22"/>
                <w:szCs w:val="22"/>
              </w:rPr>
              <w:t xml:space="preserve">periodic </w:t>
            </w:r>
            <w:r w:rsidR="005932E5">
              <w:rPr>
                <w:rStyle w:val="goog-gtc-translatable"/>
                <w:rFonts w:ascii="Arial" w:hAnsi="Arial" w:cs="Arial"/>
                <w:sz w:val="22"/>
                <w:szCs w:val="22"/>
              </w:rPr>
              <w:t xml:space="preserve">report </w:t>
            </w:r>
            <w:r w:rsidRPr="007511CB">
              <w:rPr>
                <w:rStyle w:val="goog-gtc-translatable"/>
                <w:rFonts w:ascii="Arial" w:hAnsi="Arial" w:cs="Arial"/>
                <w:sz w:val="22"/>
                <w:szCs w:val="22"/>
              </w:rPr>
              <w:t xml:space="preserve">already </w:t>
            </w:r>
            <w:r w:rsidR="005932E5">
              <w:rPr>
                <w:rStyle w:val="goog-gtc-translatable"/>
                <w:rFonts w:ascii="Arial" w:hAnsi="Arial" w:cs="Arial"/>
                <w:sz w:val="22"/>
                <w:szCs w:val="22"/>
              </w:rPr>
              <w:t>examined by the Committee in a previous cycle</w:t>
            </w:r>
            <w:r w:rsidRPr="007511CB">
              <w:rPr>
                <w:rStyle w:val="goog-gtc-translatable"/>
                <w:rFonts w:ascii="Arial" w:hAnsi="Arial" w:cs="Arial"/>
                <w:sz w:val="22"/>
                <w:szCs w:val="22"/>
              </w:rPr>
              <w:t>, is transmitted</w:t>
            </w:r>
            <w:r w:rsidR="00101EB0">
              <w:rPr>
                <w:rStyle w:val="goog-gtc-translatable"/>
                <w:rFonts w:ascii="Arial" w:hAnsi="Arial" w:cs="Arial"/>
                <w:sz w:val="22"/>
                <w:szCs w:val="22"/>
              </w:rPr>
              <w:t>,</w:t>
            </w:r>
            <w:r w:rsidRPr="007511CB">
              <w:rPr>
                <w:rStyle w:val="goog-gtc-translatable"/>
                <w:rFonts w:ascii="Arial" w:hAnsi="Arial" w:cs="Arial"/>
                <w:sz w:val="22"/>
                <w:szCs w:val="22"/>
              </w:rPr>
              <w:t xml:space="preserve"> in the language in which it was received</w:t>
            </w:r>
            <w:r w:rsidR="00101EB0">
              <w:rPr>
                <w:rStyle w:val="goog-gtc-translatable"/>
                <w:rFonts w:ascii="Arial" w:hAnsi="Arial" w:cs="Arial"/>
                <w:sz w:val="22"/>
                <w:szCs w:val="22"/>
              </w:rPr>
              <w:t>,</w:t>
            </w:r>
            <w:r w:rsidRPr="007511CB">
              <w:rPr>
                <w:rStyle w:val="goog-gtc-translatable"/>
                <w:rFonts w:ascii="Arial" w:hAnsi="Arial" w:cs="Arial"/>
                <w:sz w:val="22"/>
                <w:szCs w:val="22"/>
              </w:rPr>
              <w:t xml:space="preserve"> to the Permanent Delegation </w:t>
            </w:r>
            <w:r w:rsidR="00101EB0">
              <w:rPr>
                <w:rStyle w:val="goog-gtc-translatable"/>
                <w:rFonts w:ascii="Arial" w:hAnsi="Arial" w:cs="Arial"/>
                <w:sz w:val="22"/>
                <w:szCs w:val="22"/>
              </w:rPr>
              <w:t xml:space="preserve">concerned </w:t>
            </w:r>
            <w:r w:rsidR="005932E5">
              <w:rPr>
                <w:rStyle w:val="goog-gtc-translatable"/>
                <w:rFonts w:ascii="Arial" w:hAnsi="Arial" w:cs="Arial"/>
                <w:sz w:val="22"/>
                <w:szCs w:val="22"/>
              </w:rPr>
              <w:t xml:space="preserve">as well as to the contact person indicated in the </w:t>
            </w:r>
            <w:r w:rsidR="00101EB0">
              <w:rPr>
                <w:rStyle w:val="goog-gtc-translatable"/>
                <w:rFonts w:ascii="Arial" w:hAnsi="Arial" w:cs="Arial"/>
                <w:sz w:val="22"/>
                <w:szCs w:val="22"/>
              </w:rPr>
              <w:t xml:space="preserve">periodic </w:t>
            </w:r>
            <w:r w:rsidR="005932E5">
              <w:rPr>
                <w:rStyle w:val="goog-gtc-translatable"/>
                <w:rFonts w:ascii="Arial" w:hAnsi="Arial" w:cs="Arial"/>
                <w:sz w:val="22"/>
                <w:szCs w:val="22"/>
              </w:rPr>
              <w:t>report</w:t>
            </w:r>
            <w:r w:rsidR="005932E5" w:rsidRPr="007511CB">
              <w:rPr>
                <w:rStyle w:val="goog-gtc-translatable"/>
                <w:rFonts w:ascii="Arial" w:hAnsi="Arial" w:cs="Arial"/>
                <w:sz w:val="22"/>
                <w:szCs w:val="22"/>
              </w:rPr>
              <w:t xml:space="preserve"> </w:t>
            </w:r>
            <w:r w:rsidRPr="007511CB">
              <w:rPr>
                <w:rStyle w:val="goog-gtc-translatable"/>
                <w:rFonts w:ascii="Arial" w:hAnsi="Arial" w:cs="Arial"/>
                <w:sz w:val="22"/>
                <w:szCs w:val="22"/>
              </w:rPr>
              <w:t xml:space="preserve">of the </w:t>
            </w:r>
            <w:r w:rsidR="005932E5">
              <w:rPr>
                <w:rStyle w:val="goog-gtc-translatable"/>
                <w:rFonts w:ascii="Arial" w:hAnsi="Arial" w:cs="Arial"/>
                <w:sz w:val="22"/>
                <w:szCs w:val="22"/>
              </w:rPr>
              <w:t xml:space="preserve">submitting </w:t>
            </w:r>
            <w:r w:rsidRPr="007511CB">
              <w:rPr>
                <w:rStyle w:val="goog-gtc-translatable"/>
                <w:rFonts w:ascii="Arial" w:hAnsi="Arial" w:cs="Arial"/>
                <w:sz w:val="22"/>
                <w:szCs w:val="22"/>
              </w:rPr>
              <w:t>State</w:t>
            </w:r>
            <w:r w:rsidR="00101EB0">
              <w:rPr>
                <w:rStyle w:val="goog-gtc-translatable"/>
                <w:rFonts w:ascii="Arial" w:hAnsi="Arial" w:cs="Arial"/>
                <w:sz w:val="22"/>
                <w:szCs w:val="22"/>
              </w:rPr>
              <w:t xml:space="preserve"> Party</w:t>
            </w:r>
            <w:r w:rsidRPr="007511CB">
              <w:rPr>
                <w:rStyle w:val="goog-gtc-translatable"/>
                <w:rFonts w:ascii="Arial" w:hAnsi="Arial" w:cs="Arial"/>
                <w:sz w:val="22"/>
                <w:szCs w:val="22"/>
              </w:rPr>
              <w:t xml:space="preserve">. The response of the </w:t>
            </w:r>
            <w:r w:rsidR="00101EB0">
              <w:rPr>
                <w:rStyle w:val="goog-gtc-translatable"/>
                <w:rFonts w:ascii="Arial" w:hAnsi="Arial" w:cs="Arial"/>
                <w:sz w:val="22"/>
                <w:szCs w:val="22"/>
              </w:rPr>
              <w:t xml:space="preserve">submitting </w:t>
            </w:r>
            <w:r w:rsidRPr="007511CB">
              <w:rPr>
                <w:rStyle w:val="goog-gtc-translatable"/>
                <w:rFonts w:ascii="Arial" w:hAnsi="Arial" w:cs="Arial"/>
                <w:sz w:val="22"/>
                <w:szCs w:val="22"/>
              </w:rPr>
              <w:t xml:space="preserve">State Party, if any, is communicated to the entity that </w:t>
            </w:r>
            <w:r w:rsidR="00101EB0">
              <w:rPr>
                <w:rStyle w:val="goog-gtc-translatable"/>
                <w:rFonts w:ascii="Arial" w:hAnsi="Arial" w:cs="Arial"/>
                <w:sz w:val="22"/>
                <w:szCs w:val="22"/>
              </w:rPr>
              <w:t>has submitted</w:t>
            </w:r>
            <w:r w:rsidR="00101EB0" w:rsidRPr="007511CB">
              <w:rPr>
                <w:rStyle w:val="goog-gtc-translatable"/>
                <w:rFonts w:ascii="Arial" w:hAnsi="Arial" w:cs="Arial"/>
                <w:sz w:val="22"/>
                <w:szCs w:val="22"/>
              </w:rPr>
              <w:t xml:space="preserve"> </w:t>
            </w:r>
            <w:r w:rsidRPr="007511CB">
              <w:rPr>
                <w:rStyle w:val="goog-gtc-translatable"/>
                <w:rFonts w:ascii="Arial" w:hAnsi="Arial" w:cs="Arial"/>
                <w:sz w:val="22"/>
                <w:szCs w:val="22"/>
              </w:rPr>
              <w:t>the correspondence.</w:t>
            </w:r>
          </w:p>
        </w:tc>
      </w:tr>
    </w:tbl>
    <w:p w:rsidR="00101EB0" w:rsidRPr="00101EB0" w:rsidRDefault="00101EB0" w:rsidP="00397E8C">
      <w:pPr>
        <w:pStyle w:val="COMPara"/>
        <w:numPr>
          <w:ilvl w:val="0"/>
          <w:numId w:val="0"/>
        </w:numPr>
        <w:jc w:val="both"/>
        <w:rPr>
          <w:b/>
        </w:rPr>
      </w:pPr>
    </w:p>
    <w:sectPr w:rsidR="00101EB0" w:rsidRPr="00101EB0" w:rsidSect="00655736">
      <w:headerReference w:type="even" r:id="rId9"/>
      <w:headerReference w:type="default" r:id="rId10"/>
      <w:headerReference w:type="first" r:id="rId11"/>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785" w:rsidRDefault="00497785" w:rsidP="00655736">
      <w:r>
        <w:separator/>
      </w:r>
    </w:p>
  </w:endnote>
  <w:endnote w:type="continuationSeparator" w:id="0">
    <w:p w:rsidR="00497785" w:rsidRDefault="00497785"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785" w:rsidRDefault="00497785" w:rsidP="00655736">
      <w:r>
        <w:separator/>
      </w:r>
    </w:p>
  </w:footnote>
  <w:footnote w:type="continuationSeparator" w:id="0">
    <w:p w:rsidR="00497785" w:rsidRDefault="00497785" w:rsidP="00655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4C" w:rsidRPr="00C23A97" w:rsidRDefault="00D8250F">
    <w:pPr>
      <w:pStyle w:val="Header"/>
      <w:rPr>
        <w:rFonts w:ascii="Arial" w:hAnsi="Arial" w:cs="Arial"/>
        <w:lang w:val="en-GB"/>
      </w:rPr>
    </w:pPr>
    <w:r>
      <w:rPr>
        <w:rFonts w:ascii="Arial" w:hAnsi="Arial" w:cs="Arial"/>
        <w:sz w:val="20"/>
        <w:szCs w:val="20"/>
        <w:lang w:val="en-GB"/>
      </w:rPr>
      <w:t>ITH/15/10</w:t>
    </w:r>
    <w:r w:rsidR="00EC6F8D">
      <w:rPr>
        <w:rFonts w:ascii="Arial" w:hAnsi="Arial" w:cs="Arial"/>
        <w:sz w:val="20"/>
        <w:szCs w:val="20"/>
        <w:lang w:val="en-GB"/>
      </w:rPr>
      <w:t>.COM</w:t>
    </w:r>
    <w:r w:rsidR="00D95C4C" w:rsidRPr="00C23A97">
      <w:rPr>
        <w:rFonts w:ascii="Arial" w:hAnsi="Arial" w:cs="Arial"/>
        <w:sz w:val="20"/>
        <w:szCs w:val="20"/>
        <w:lang w:val="en-GB"/>
      </w:rPr>
      <w:t>/</w:t>
    </w:r>
    <w:r w:rsidR="002F3285">
      <w:rPr>
        <w:rFonts w:ascii="Arial" w:hAnsi="Arial" w:cs="Arial"/>
        <w:sz w:val="20"/>
        <w:szCs w:val="20"/>
        <w:lang w:val="en-GB"/>
      </w:rPr>
      <w:t>15</w:t>
    </w:r>
    <w:r w:rsidR="00FE5C50">
      <w:rPr>
        <w:rFonts w:ascii="Arial" w:hAnsi="Arial" w:cs="Arial"/>
        <w:sz w:val="20"/>
        <w:szCs w:val="20"/>
        <w:lang w:val="en-GB"/>
      </w:rPr>
      <w:t>.b</w:t>
    </w:r>
    <w:r w:rsidR="00D95C4C" w:rsidRPr="00C23A97">
      <w:rPr>
        <w:rFonts w:ascii="Arial" w:hAnsi="Arial" w:cs="Arial"/>
        <w:sz w:val="20"/>
        <w:szCs w:val="20"/>
        <w:lang w:val="en-GB"/>
      </w:rPr>
      <w:t xml:space="preserve"> – page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5D132B">
      <w:rPr>
        <w:rStyle w:val="PageNumber"/>
        <w:rFonts w:ascii="Arial" w:hAnsi="Arial" w:cs="Arial"/>
        <w:noProof/>
        <w:sz w:val="20"/>
        <w:szCs w:val="20"/>
        <w:lang w:val="en-GB"/>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4C" w:rsidRPr="0063300C" w:rsidRDefault="00D8250F" w:rsidP="0063300C">
    <w:pPr>
      <w:pStyle w:val="Header"/>
      <w:jc w:val="right"/>
      <w:rPr>
        <w:rFonts w:ascii="Arial" w:hAnsi="Arial" w:cs="Arial"/>
        <w:lang w:val="en-GB"/>
      </w:rPr>
    </w:pPr>
    <w:r>
      <w:rPr>
        <w:rFonts w:ascii="Arial" w:hAnsi="Arial" w:cs="Arial"/>
        <w:sz w:val="20"/>
        <w:szCs w:val="20"/>
        <w:lang w:val="en-GB"/>
      </w:rPr>
      <w:t>ITH/15/10</w:t>
    </w:r>
    <w:r w:rsidR="00EC6F8D">
      <w:rPr>
        <w:rFonts w:ascii="Arial" w:hAnsi="Arial" w:cs="Arial"/>
        <w:sz w:val="20"/>
        <w:szCs w:val="20"/>
        <w:lang w:val="en-GB"/>
      </w:rPr>
      <w:t>.COM</w:t>
    </w:r>
    <w:r w:rsidR="004A34A0" w:rsidRPr="0063300C">
      <w:rPr>
        <w:rFonts w:ascii="Arial" w:hAnsi="Arial" w:cs="Arial"/>
        <w:sz w:val="20"/>
        <w:szCs w:val="20"/>
        <w:lang w:val="en-GB"/>
      </w:rPr>
      <w:t>/</w:t>
    </w:r>
    <w:r w:rsidR="002F3285">
      <w:rPr>
        <w:rFonts w:ascii="Arial" w:hAnsi="Arial" w:cs="Arial"/>
        <w:sz w:val="20"/>
        <w:szCs w:val="20"/>
        <w:lang w:val="en-GB"/>
      </w:rPr>
      <w:t>15</w:t>
    </w:r>
    <w:r w:rsidR="00FE5C50">
      <w:rPr>
        <w:rFonts w:ascii="Arial" w:hAnsi="Arial" w:cs="Arial"/>
        <w:sz w:val="20"/>
        <w:szCs w:val="20"/>
        <w:lang w:val="en-GB"/>
      </w:rPr>
      <w:t>.b</w:t>
    </w:r>
    <w:r w:rsidR="004A34A0" w:rsidRPr="0063300C">
      <w:rPr>
        <w:rFonts w:ascii="Arial" w:hAnsi="Arial" w:cs="Arial"/>
        <w:sz w:val="20"/>
        <w:szCs w:val="20"/>
        <w:lang w:val="en-GB"/>
      </w:rPr>
      <w:t xml:space="preserve"> –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5D132B">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4C" w:rsidRPr="00F32C23" w:rsidRDefault="00955877">
    <w:pPr>
      <w:pStyle w:val="Header"/>
      <w:rPr>
        <w:lang w:val="en-GB"/>
      </w:rPr>
    </w:pPr>
    <w:r>
      <w:rPr>
        <w:noProof/>
      </w:rPr>
      <w:drawing>
        <wp:anchor distT="0" distB="0" distL="114300" distR="114300" simplePos="0" relativeHeight="251657728" behindDoc="0" locked="0" layoutInCell="1" allowOverlap="1">
          <wp:simplePos x="0" y="0"/>
          <wp:positionH relativeFrom="column">
            <wp:posOffset>-567690</wp:posOffset>
          </wp:positionH>
          <wp:positionV relativeFrom="paragraph">
            <wp:posOffset>3810</wp:posOffset>
          </wp:positionV>
          <wp:extent cx="2228215" cy="136779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5C4C" w:rsidRPr="000466CE" w:rsidRDefault="00D8250F" w:rsidP="00655736">
    <w:pPr>
      <w:pStyle w:val="Header"/>
      <w:spacing w:after="520"/>
      <w:jc w:val="right"/>
      <w:rPr>
        <w:rFonts w:ascii="Arial" w:hAnsi="Arial" w:cs="Arial"/>
        <w:b/>
        <w:sz w:val="44"/>
        <w:szCs w:val="44"/>
        <w:lang w:val="pt-BR"/>
      </w:rPr>
    </w:pPr>
    <w:r w:rsidRPr="000466CE">
      <w:rPr>
        <w:rFonts w:ascii="Arial" w:hAnsi="Arial" w:cs="Arial"/>
        <w:b/>
        <w:sz w:val="44"/>
        <w:szCs w:val="44"/>
        <w:lang w:val="pt-BR"/>
      </w:rPr>
      <w:t>10</w:t>
    </w:r>
    <w:r w:rsidR="00EC6F8D" w:rsidRPr="000466CE">
      <w:rPr>
        <w:rFonts w:ascii="Arial" w:hAnsi="Arial" w:cs="Arial"/>
        <w:b/>
        <w:sz w:val="44"/>
        <w:szCs w:val="44"/>
        <w:lang w:val="pt-BR"/>
      </w:rPr>
      <w:t xml:space="preserve"> COM</w:t>
    </w:r>
  </w:p>
  <w:p w:rsidR="00D95C4C" w:rsidRPr="000466CE" w:rsidRDefault="00D8250F" w:rsidP="00655736">
    <w:pPr>
      <w:jc w:val="right"/>
      <w:rPr>
        <w:rFonts w:ascii="Arial" w:hAnsi="Arial" w:cs="Arial"/>
        <w:b/>
        <w:sz w:val="22"/>
        <w:szCs w:val="22"/>
        <w:lang w:val="pt-BR"/>
      </w:rPr>
    </w:pPr>
    <w:r w:rsidRPr="000466CE">
      <w:rPr>
        <w:rFonts w:ascii="Arial" w:hAnsi="Arial" w:cs="Arial"/>
        <w:b/>
        <w:sz w:val="22"/>
        <w:szCs w:val="22"/>
        <w:lang w:val="pt-BR"/>
      </w:rPr>
      <w:t>ITH/15</w:t>
    </w:r>
    <w:r w:rsidR="00D95C4C" w:rsidRPr="000466CE">
      <w:rPr>
        <w:rFonts w:ascii="Arial" w:hAnsi="Arial" w:cs="Arial"/>
        <w:b/>
        <w:sz w:val="22"/>
        <w:szCs w:val="22"/>
        <w:lang w:val="pt-BR"/>
      </w:rPr>
      <w:t>/</w:t>
    </w:r>
    <w:r w:rsidRPr="000466CE">
      <w:rPr>
        <w:rFonts w:ascii="Arial" w:hAnsi="Arial" w:cs="Arial"/>
        <w:b/>
        <w:sz w:val="22"/>
        <w:szCs w:val="22"/>
        <w:lang w:val="pt-BR"/>
      </w:rPr>
      <w:t>10</w:t>
    </w:r>
    <w:r w:rsidR="00D95C4C" w:rsidRPr="000466CE">
      <w:rPr>
        <w:rFonts w:ascii="Arial" w:hAnsi="Arial" w:cs="Arial"/>
        <w:b/>
        <w:sz w:val="22"/>
        <w:szCs w:val="22"/>
        <w:lang w:val="pt-BR"/>
      </w:rPr>
      <w:t>.</w:t>
    </w:r>
    <w:r w:rsidR="00EC6F8D" w:rsidRPr="000466CE">
      <w:rPr>
        <w:rFonts w:ascii="Arial" w:hAnsi="Arial" w:cs="Arial"/>
        <w:b/>
        <w:sz w:val="22"/>
        <w:szCs w:val="22"/>
        <w:lang w:val="pt-BR"/>
      </w:rPr>
      <w:t>COM</w:t>
    </w:r>
    <w:r w:rsidR="00D95C4C" w:rsidRPr="000466CE">
      <w:rPr>
        <w:rFonts w:ascii="Arial" w:hAnsi="Arial" w:cs="Arial"/>
        <w:b/>
        <w:sz w:val="22"/>
        <w:szCs w:val="22"/>
        <w:lang w:val="pt-BR"/>
      </w:rPr>
      <w:t>/</w:t>
    </w:r>
    <w:r w:rsidR="002F3285">
      <w:rPr>
        <w:rFonts w:ascii="Arial" w:hAnsi="Arial" w:cs="Arial"/>
        <w:b/>
        <w:sz w:val="22"/>
        <w:szCs w:val="22"/>
        <w:lang w:val="pt-BR"/>
      </w:rPr>
      <w:t>15</w:t>
    </w:r>
    <w:r w:rsidR="00F1463E" w:rsidRPr="000466CE">
      <w:rPr>
        <w:rFonts w:ascii="Arial" w:hAnsi="Arial" w:cs="Arial"/>
        <w:b/>
        <w:sz w:val="22"/>
        <w:szCs w:val="22"/>
        <w:lang w:val="pt-BR"/>
      </w:rPr>
      <w:t>.b</w:t>
    </w:r>
  </w:p>
  <w:p w:rsidR="00D95C4C" w:rsidRPr="000466CE" w:rsidRDefault="00D95C4C" w:rsidP="00655736">
    <w:pPr>
      <w:jc w:val="right"/>
      <w:rPr>
        <w:rFonts w:ascii="Arial" w:hAnsi="Arial" w:cs="Arial"/>
        <w:b/>
        <w:sz w:val="22"/>
        <w:szCs w:val="22"/>
        <w:lang w:val="pt-BR"/>
      </w:rPr>
    </w:pPr>
    <w:r w:rsidRPr="000466CE">
      <w:rPr>
        <w:rFonts w:ascii="Arial" w:hAnsi="Arial" w:cs="Arial"/>
        <w:b/>
        <w:sz w:val="22"/>
        <w:szCs w:val="22"/>
        <w:lang w:val="pt-BR"/>
      </w:rPr>
      <w:t xml:space="preserve">Paris, </w:t>
    </w:r>
    <w:r w:rsidR="00CD1CCC">
      <w:rPr>
        <w:rFonts w:ascii="Arial" w:hAnsi="Arial" w:cs="Arial"/>
        <w:b/>
        <w:sz w:val="22"/>
        <w:szCs w:val="22"/>
        <w:lang w:val="pt-BR"/>
      </w:rPr>
      <w:t>1</w:t>
    </w:r>
    <w:r w:rsidR="005D132B">
      <w:rPr>
        <w:rFonts w:ascii="Arial" w:hAnsi="Arial" w:cs="Arial"/>
        <w:b/>
        <w:sz w:val="22"/>
        <w:szCs w:val="22"/>
        <w:lang w:val="pt-BR"/>
      </w:rPr>
      <w:t>6</w:t>
    </w:r>
    <w:r w:rsidR="00CD1CCC">
      <w:rPr>
        <w:rFonts w:ascii="Arial" w:hAnsi="Arial" w:cs="Arial"/>
        <w:b/>
        <w:sz w:val="22"/>
        <w:szCs w:val="22"/>
        <w:lang w:val="pt-BR"/>
      </w:rPr>
      <w:t xml:space="preserve"> October</w:t>
    </w:r>
    <w:r w:rsidRPr="000466CE">
      <w:rPr>
        <w:rFonts w:ascii="Arial" w:hAnsi="Arial" w:cs="Arial"/>
        <w:b/>
        <w:sz w:val="22"/>
        <w:szCs w:val="22"/>
        <w:lang w:val="pt-BR"/>
      </w:rPr>
      <w:t xml:space="preserve"> </w:t>
    </w:r>
    <w:r w:rsidR="00D8250F" w:rsidRPr="000466CE">
      <w:rPr>
        <w:rFonts w:ascii="Arial" w:hAnsi="Arial" w:cs="Arial"/>
        <w:b/>
        <w:sz w:val="22"/>
        <w:szCs w:val="22"/>
        <w:lang w:val="pt-BR"/>
      </w:rPr>
      <w:t>2015</w:t>
    </w:r>
  </w:p>
  <w:p w:rsidR="00D95C4C" w:rsidRPr="00F32C23" w:rsidRDefault="00D95C4C" w:rsidP="000048ED">
    <w:pPr>
      <w:jc w:val="right"/>
      <w:rPr>
        <w:rFonts w:ascii="Arial" w:hAnsi="Arial" w:cs="Arial"/>
        <w:b/>
        <w:sz w:val="22"/>
        <w:szCs w:val="22"/>
        <w:lang w:val="en-GB"/>
      </w:rPr>
    </w:pPr>
    <w:r w:rsidRPr="00F32C23">
      <w:rPr>
        <w:rFonts w:ascii="Arial" w:hAnsi="Arial" w:cs="Arial"/>
        <w:b/>
        <w:sz w:val="22"/>
        <w:szCs w:val="22"/>
        <w:lang w:val="en-GB"/>
      </w:rPr>
      <w:t xml:space="preserve">Original: </w:t>
    </w:r>
    <w:r w:rsidR="00F1463E">
      <w:rPr>
        <w:rFonts w:ascii="Arial" w:hAnsi="Arial" w:cs="Arial"/>
        <w:b/>
        <w:sz w:val="22"/>
        <w:szCs w:val="22"/>
        <w:lang w:val="en-GB"/>
      </w:rPr>
      <w:t>English</w:t>
    </w:r>
  </w:p>
  <w:p w:rsidR="00D95C4C" w:rsidRPr="00F32C23" w:rsidRDefault="00D95C4C">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AC6"/>
    <w:multiLevelType w:val="hybridMultilevel"/>
    <w:tmpl w:val="A5228786"/>
    <w:lvl w:ilvl="0" w:tplc="BBF08662">
      <w:start w:val="1"/>
      <w:numFmt w:val="decimal"/>
      <w:pStyle w:val="Orateurengris"/>
      <w:lvlText w:val="%1."/>
      <w:lvlJc w:val="left"/>
      <w:pPr>
        <w:tabs>
          <w:tab w:val="num" w:pos="3686"/>
        </w:tabs>
        <w:ind w:left="3686" w:hanging="567"/>
      </w:pPr>
      <w:rPr>
        <w:rFonts w:hint="default"/>
        <w:b w:val="0"/>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9">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1">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5"/>
  </w:num>
  <w:num w:numId="3">
    <w:abstractNumId w:val="2"/>
  </w:num>
  <w:num w:numId="4">
    <w:abstractNumId w:val="12"/>
  </w:num>
  <w:num w:numId="5">
    <w:abstractNumId w:val="11"/>
  </w:num>
  <w:num w:numId="6">
    <w:abstractNumId w:val="1"/>
  </w:num>
  <w:num w:numId="7">
    <w:abstractNumId w:val="3"/>
  </w:num>
  <w:num w:numId="8">
    <w:abstractNumId w:val="9"/>
  </w:num>
  <w:num w:numId="9">
    <w:abstractNumId w:val="4"/>
  </w:num>
  <w:num w:numId="10">
    <w:abstractNumId w:val="6"/>
  </w:num>
  <w:num w:numId="11">
    <w:abstractNumId w:val="8"/>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3E"/>
    <w:rsid w:val="000048ED"/>
    <w:rsid w:val="00041A66"/>
    <w:rsid w:val="000466CE"/>
    <w:rsid w:val="0005176E"/>
    <w:rsid w:val="00067A12"/>
    <w:rsid w:val="000765F7"/>
    <w:rsid w:val="00077AB7"/>
    <w:rsid w:val="00081CD8"/>
    <w:rsid w:val="000A7F0E"/>
    <w:rsid w:val="000B1C8F"/>
    <w:rsid w:val="000C0D61"/>
    <w:rsid w:val="000F3A3F"/>
    <w:rsid w:val="00101EB0"/>
    <w:rsid w:val="00102557"/>
    <w:rsid w:val="00164D56"/>
    <w:rsid w:val="00167B10"/>
    <w:rsid w:val="0017402F"/>
    <w:rsid w:val="00196C1B"/>
    <w:rsid w:val="001A1A3F"/>
    <w:rsid w:val="001B0F73"/>
    <w:rsid w:val="001C2DB7"/>
    <w:rsid w:val="001D5C04"/>
    <w:rsid w:val="001F286C"/>
    <w:rsid w:val="00222A2D"/>
    <w:rsid w:val="00223029"/>
    <w:rsid w:val="00234745"/>
    <w:rsid w:val="002407AF"/>
    <w:rsid w:val="002544DD"/>
    <w:rsid w:val="0027466B"/>
    <w:rsid w:val="002838A5"/>
    <w:rsid w:val="00285BB4"/>
    <w:rsid w:val="002C09E3"/>
    <w:rsid w:val="002F1125"/>
    <w:rsid w:val="002F3285"/>
    <w:rsid w:val="003013BF"/>
    <w:rsid w:val="00342074"/>
    <w:rsid w:val="00344B58"/>
    <w:rsid w:val="00345CB4"/>
    <w:rsid w:val="00375D42"/>
    <w:rsid w:val="00397E8C"/>
    <w:rsid w:val="003D069C"/>
    <w:rsid w:val="003D7646"/>
    <w:rsid w:val="003F113A"/>
    <w:rsid w:val="003F3E63"/>
    <w:rsid w:val="00407480"/>
    <w:rsid w:val="00414643"/>
    <w:rsid w:val="004421E5"/>
    <w:rsid w:val="00452284"/>
    <w:rsid w:val="00457C8E"/>
    <w:rsid w:val="004856CA"/>
    <w:rsid w:val="00487E67"/>
    <w:rsid w:val="0049705E"/>
    <w:rsid w:val="00497785"/>
    <w:rsid w:val="004A34A0"/>
    <w:rsid w:val="004C4366"/>
    <w:rsid w:val="005008A8"/>
    <w:rsid w:val="00526B7B"/>
    <w:rsid w:val="005308CE"/>
    <w:rsid w:val="0054610A"/>
    <w:rsid w:val="0057439C"/>
    <w:rsid w:val="0057457D"/>
    <w:rsid w:val="00574DAE"/>
    <w:rsid w:val="005932E5"/>
    <w:rsid w:val="005A5202"/>
    <w:rsid w:val="005B0127"/>
    <w:rsid w:val="005B7A35"/>
    <w:rsid w:val="005C4B73"/>
    <w:rsid w:val="005D132B"/>
    <w:rsid w:val="005E1D2B"/>
    <w:rsid w:val="005E7074"/>
    <w:rsid w:val="005F2BAF"/>
    <w:rsid w:val="00600D93"/>
    <w:rsid w:val="0063300C"/>
    <w:rsid w:val="00655736"/>
    <w:rsid w:val="00663B8D"/>
    <w:rsid w:val="00696C8D"/>
    <w:rsid w:val="006A2AC2"/>
    <w:rsid w:val="006A3617"/>
    <w:rsid w:val="006C28BA"/>
    <w:rsid w:val="006E46E4"/>
    <w:rsid w:val="00710927"/>
    <w:rsid w:val="00717DA5"/>
    <w:rsid w:val="00744484"/>
    <w:rsid w:val="00747566"/>
    <w:rsid w:val="007511CB"/>
    <w:rsid w:val="00773188"/>
    <w:rsid w:val="00783782"/>
    <w:rsid w:val="00784B8C"/>
    <w:rsid w:val="007879E1"/>
    <w:rsid w:val="00823A11"/>
    <w:rsid w:val="00843CD2"/>
    <w:rsid w:val="0085405E"/>
    <w:rsid w:val="0085414A"/>
    <w:rsid w:val="0086269D"/>
    <w:rsid w:val="0086543A"/>
    <w:rsid w:val="008724E5"/>
    <w:rsid w:val="00884A9D"/>
    <w:rsid w:val="0088512B"/>
    <w:rsid w:val="00893CB6"/>
    <w:rsid w:val="008A2B2D"/>
    <w:rsid w:val="008A4E1E"/>
    <w:rsid w:val="008A619F"/>
    <w:rsid w:val="008C296C"/>
    <w:rsid w:val="008D4305"/>
    <w:rsid w:val="008E1A85"/>
    <w:rsid w:val="009163A7"/>
    <w:rsid w:val="00946D0B"/>
    <w:rsid w:val="00955877"/>
    <w:rsid w:val="009904E0"/>
    <w:rsid w:val="009A18CD"/>
    <w:rsid w:val="009A6D40"/>
    <w:rsid w:val="009D5428"/>
    <w:rsid w:val="00A12558"/>
    <w:rsid w:val="00A13903"/>
    <w:rsid w:val="00A34ED5"/>
    <w:rsid w:val="00A45DBF"/>
    <w:rsid w:val="00A50C4C"/>
    <w:rsid w:val="00A57803"/>
    <w:rsid w:val="00A755A2"/>
    <w:rsid w:val="00AA6660"/>
    <w:rsid w:val="00AB2C36"/>
    <w:rsid w:val="00AB6DDE"/>
    <w:rsid w:val="00AB70B6"/>
    <w:rsid w:val="00AD1A86"/>
    <w:rsid w:val="00AE103E"/>
    <w:rsid w:val="00AF0A07"/>
    <w:rsid w:val="00AF4AEC"/>
    <w:rsid w:val="00AF625E"/>
    <w:rsid w:val="00BB04AF"/>
    <w:rsid w:val="00BC3DA0"/>
    <w:rsid w:val="00BD52C9"/>
    <w:rsid w:val="00BE4FE7"/>
    <w:rsid w:val="00BE6354"/>
    <w:rsid w:val="00C138D1"/>
    <w:rsid w:val="00C23A97"/>
    <w:rsid w:val="00C64855"/>
    <w:rsid w:val="00C70EA7"/>
    <w:rsid w:val="00C7516E"/>
    <w:rsid w:val="00C75770"/>
    <w:rsid w:val="00CA56BB"/>
    <w:rsid w:val="00CD1CCC"/>
    <w:rsid w:val="00CD1FC6"/>
    <w:rsid w:val="00D00B2B"/>
    <w:rsid w:val="00D24877"/>
    <w:rsid w:val="00D273E5"/>
    <w:rsid w:val="00D8250F"/>
    <w:rsid w:val="00D84731"/>
    <w:rsid w:val="00D95C4C"/>
    <w:rsid w:val="00DA36ED"/>
    <w:rsid w:val="00DE34F1"/>
    <w:rsid w:val="00DE6160"/>
    <w:rsid w:val="00DF4942"/>
    <w:rsid w:val="00E1290B"/>
    <w:rsid w:val="00E627B1"/>
    <w:rsid w:val="00E70169"/>
    <w:rsid w:val="00E9376C"/>
    <w:rsid w:val="00EA335E"/>
    <w:rsid w:val="00EA528C"/>
    <w:rsid w:val="00EA580C"/>
    <w:rsid w:val="00EC6F8D"/>
    <w:rsid w:val="00EF34E2"/>
    <w:rsid w:val="00F1463E"/>
    <w:rsid w:val="00F30DC6"/>
    <w:rsid w:val="00F32C23"/>
    <w:rsid w:val="00F41828"/>
    <w:rsid w:val="00F53DE9"/>
    <w:rsid w:val="00F576CB"/>
    <w:rsid w:val="00F61019"/>
    <w:rsid w:val="00F7035D"/>
    <w:rsid w:val="00F71A02"/>
    <w:rsid w:val="00FA0D63"/>
    <w:rsid w:val="00FB2271"/>
    <w:rsid w:val="00FD1226"/>
    <w:rsid w:val="00FE5C50"/>
    <w:rsid w:val="00FF483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qFormat/>
    <w:rsid w:val="00FE5C50"/>
    <w:pPr>
      <w:keepNext/>
      <w:spacing w:before="240" w:after="60"/>
      <w:outlineLvl w:val="0"/>
    </w:pPr>
    <w:rPr>
      <w:rFonts w:ascii="Cambria" w:hAnsi="Cambria" w:cs="Angsana New"/>
      <w:b/>
      <w:bCs/>
      <w:kern w:val="32"/>
      <w:sz w:val="32"/>
      <w:szCs w:val="32"/>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character" w:customStyle="1" w:styleId="Heading1Char">
    <w:name w:val="Heading 1 Char"/>
    <w:basedOn w:val="DefaultParagraphFont"/>
    <w:link w:val="Heading1"/>
    <w:uiPriority w:val="9"/>
    <w:rsid w:val="00FE5C50"/>
    <w:rPr>
      <w:rFonts w:ascii="Cambria" w:eastAsia="Times New Roman" w:hAnsi="Cambria" w:cs="Angsana New"/>
      <w:b/>
      <w:bCs/>
      <w:kern w:val="32"/>
      <w:sz w:val="32"/>
      <w:szCs w:val="32"/>
    </w:rPr>
  </w:style>
  <w:style w:type="character" w:customStyle="1" w:styleId="goog-gtc-translatable">
    <w:name w:val="goog-gtc-translatable"/>
    <w:rsid w:val="00FE5C50"/>
  </w:style>
  <w:style w:type="paragraph" w:styleId="NormalWeb">
    <w:name w:val="Normal (Web)"/>
    <w:basedOn w:val="Normal"/>
    <w:uiPriority w:val="99"/>
    <w:unhideWhenUsed/>
    <w:rsid w:val="00FE5C50"/>
    <w:pPr>
      <w:spacing w:before="100" w:beforeAutospacing="1" w:after="100" w:afterAutospacing="1"/>
    </w:pPr>
    <w:rPr>
      <w:lang w:val="en-GB" w:eastAsia="en-GB" w:bidi="th-TH"/>
    </w:rPr>
  </w:style>
  <w:style w:type="paragraph" w:customStyle="1" w:styleId="Orateurengris">
    <w:name w:val="Orateur en grisé"/>
    <w:basedOn w:val="Marge"/>
    <w:qFormat/>
    <w:rsid w:val="00843CD2"/>
    <w:pPr>
      <w:numPr>
        <w:numId w:val="13"/>
      </w:numPr>
      <w:tabs>
        <w:tab w:val="clear" w:pos="567"/>
        <w:tab w:val="clear" w:pos="3686"/>
        <w:tab w:val="left" w:pos="709"/>
        <w:tab w:val="left" w:pos="1418"/>
        <w:tab w:val="left" w:pos="2126"/>
        <w:tab w:val="left" w:pos="2835"/>
        <w:tab w:val="num" w:pos="3544"/>
      </w:tabs>
      <w:spacing w:after="120"/>
      <w:ind w:left="709" w:hanging="709"/>
    </w:pPr>
    <w:rPr>
      <w:rFonts w:cs="Arial"/>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qFormat/>
    <w:rsid w:val="00FE5C50"/>
    <w:pPr>
      <w:keepNext/>
      <w:spacing w:before="240" w:after="60"/>
      <w:outlineLvl w:val="0"/>
    </w:pPr>
    <w:rPr>
      <w:rFonts w:ascii="Cambria" w:hAnsi="Cambria" w:cs="Angsana New"/>
      <w:b/>
      <w:bCs/>
      <w:kern w:val="32"/>
      <w:sz w:val="32"/>
      <w:szCs w:val="32"/>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character" w:customStyle="1" w:styleId="Heading1Char">
    <w:name w:val="Heading 1 Char"/>
    <w:basedOn w:val="DefaultParagraphFont"/>
    <w:link w:val="Heading1"/>
    <w:uiPriority w:val="9"/>
    <w:rsid w:val="00FE5C50"/>
    <w:rPr>
      <w:rFonts w:ascii="Cambria" w:eastAsia="Times New Roman" w:hAnsi="Cambria" w:cs="Angsana New"/>
      <w:b/>
      <w:bCs/>
      <w:kern w:val="32"/>
      <w:sz w:val="32"/>
      <w:szCs w:val="32"/>
    </w:rPr>
  </w:style>
  <w:style w:type="character" w:customStyle="1" w:styleId="goog-gtc-translatable">
    <w:name w:val="goog-gtc-translatable"/>
    <w:rsid w:val="00FE5C50"/>
  </w:style>
  <w:style w:type="paragraph" w:styleId="NormalWeb">
    <w:name w:val="Normal (Web)"/>
    <w:basedOn w:val="Normal"/>
    <w:uiPriority w:val="99"/>
    <w:unhideWhenUsed/>
    <w:rsid w:val="00FE5C50"/>
    <w:pPr>
      <w:spacing w:before="100" w:beforeAutospacing="1" w:after="100" w:afterAutospacing="1"/>
    </w:pPr>
    <w:rPr>
      <w:lang w:val="en-GB" w:eastAsia="en-GB" w:bidi="th-TH"/>
    </w:rPr>
  </w:style>
  <w:style w:type="paragraph" w:customStyle="1" w:styleId="Orateurengris">
    <w:name w:val="Orateur en grisé"/>
    <w:basedOn w:val="Marge"/>
    <w:qFormat/>
    <w:rsid w:val="00843CD2"/>
    <w:pPr>
      <w:numPr>
        <w:numId w:val="13"/>
      </w:numPr>
      <w:tabs>
        <w:tab w:val="clear" w:pos="567"/>
        <w:tab w:val="clear" w:pos="3686"/>
        <w:tab w:val="left" w:pos="709"/>
        <w:tab w:val="left" w:pos="1418"/>
        <w:tab w:val="left" w:pos="2126"/>
        <w:tab w:val="left" w:pos="2835"/>
        <w:tab w:val="num" w:pos="3544"/>
      </w:tabs>
      <w:spacing w:after="120"/>
      <w:ind w:left="709" w:hanging="709"/>
    </w:pPr>
    <w:rPr>
      <w:rFonts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803C1-EDC2-474A-B579-0962B1F42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789</Words>
  <Characters>4345</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CLT/CEH/ITH-G.Scepi</dc:creator>
  <cp:lastModifiedBy>Elena Constantinou</cp:lastModifiedBy>
  <cp:revision>5</cp:revision>
  <cp:lastPrinted>2011-08-06T10:22:00Z</cp:lastPrinted>
  <dcterms:created xsi:type="dcterms:W3CDTF">2015-07-07T14:52:00Z</dcterms:created>
  <dcterms:modified xsi:type="dcterms:W3CDTF">2015-10-16T07:12:00Z</dcterms:modified>
</cp:coreProperties>
</file>