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rsidR="00EC6F8D" w:rsidRPr="00293C60" w:rsidRDefault="00D8250F" w:rsidP="00EC6F8D">
      <w:pPr>
        <w:spacing w:before="840"/>
        <w:jc w:val="center"/>
        <w:rPr>
          <w:rFonts w:ascii="Arial" w:hAnsi="Arial" w:cs="Arial"/>
          <w:b/>
          <w:sz w:val="22"/>
          <w:szCs w:val="22"/>
          <w:lang w:val="en-GB"/>
        </w:rPr>
      </w:pPr>
      <w:r>
        <w:rPr>
          <w:rFonts w:ascii="Arial" w:hAnsi="Arial" w:cs="Arial"/>
          <w:b/>
          <w:sz w:val="22"/>
          <w:szCs w:val="22"/>
          <w:lang w:val="en-GB"/>
        </w:rPr>
        <w:t>Tenth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rsidR="009D5428" w:rsidRDefault="009049BE" w:rsidP="005E7074">
      <w:pPr>
        <w:jc w:val="center"/>
        <w:rPr>
          <w:rFonts w:ascii="Arial" w:hAnsi="Arial" w:cs="Arial"/>
          <w:b/>
          <w:sz w:val="22"/>
          <w:szCs w:val="22"/>
          <w:lang w:val="en-GB"/>
        </w:rPr>
      </w:pPr>
      <w:r>
        <w:rPr>
          <w:rFonts w:ascii="Arial" w:hAnsi="Arial" w:cs="Arial"/>
          <w:b/>
          <w:sz w:val="22"/>
          <w:szCs w:val="22"/>
          <w:lang w:val="en-GB"/>
        </w:rPr>
        <w:t xml:space="preserve">Windhoek, </w:t>
      </w:r>
      <w:r w:rsidR="00D8250F">
        <w:rPr>
          <w:rFonts w:ascii="Arial" w:hAnsi="Arial" w:cs="Arial"/>
          <w:b/>
          <w:sz w:val="22"/>
          <w:szCs w:val="22"/>
          <w:lang w:val="en-GB"/>
        </w:rPr>
        <w:t>Namibia</w:t>
      </w:r>
    </w:p>
    <w:p w:rsidR="00EC6F8D" w:rsidRPr="00293C60" w:rsidRDefault="00D8250F" w:rsidP="00EC6F8D">
      <w:pPr>
        <w:jc w:val="center"/>
        <w:rPr>
          <w:rFonts w:ascii="Arial" w:hAnsi="Arial" w:cs="Arial"/>
          <w:b/>
          <w:sz w:val="22"/>
          <w:szCs w:val="22"/>
          <w:lang w:val="en-GB"/>
        </w:rPr>
      </w:pPr>
      <w:r>
        <w:rPr>
          <w:rFonts w:ascii="Arial" w:hAnsi="Arial" w:cs="Arial"/>
          <w:b/>
          <w:sz w:val="22"/>
          <w:szCs w:val="22"/>
          <w:lang w:val="en-GB"/>
        </w:rPr>
        <w:t>30 November</w:t>
      </w:r>
      <w:r w:rsidR="00EC6F8D" w:rsidRPr="00EC6F8D">
        <w:rPr>
          <w:rFonts w:ascii="Arial" w:hAnsi="Arial" w:cs="Arial"/>
          <w:b/>
          <w:sz w:val="22"/>
          <w:szCs w:val="22"/>
          <w:lang w:val="en-GB"/>
        </w:rPr>
        <w:t xml:space="preserve"> to </w:t>
      </w:r>
      <w:r>
        <w:rPr>
          <w:rFonts w:ascii="Arial" w:hAnsi="Arial" w:cs="Arial"/>
          <w:b/>
          <w:sz w:val="22"/>
          <w:szCs w:val="22"/>
          <w:lang w:val="en-GB"/>
        </w:rPr>
        <w:t>4 December 2015</w:t>
      </w:r>
    </w:p>
    <w:p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FC2801">
        <w:rPr>
          <w:rFonts w:ascii="Arial" w:hAnsi="Arial" w:cs="Arial"/>
          <w:b/>
          <w:sz w:val="22"/>
          <w:szCs w:val="22"/>
          <w:u w:val="single"/>
          <w:lang w:val="en-GB"/>
        </w:rPr>
        <w:t>1</w:t>
      </w:r>
      <w:r w:rsidR="001B4115">
        <w:rPr>
          <w:rFonts w:ascii="Arial" w:hAnsi="Arial" w:cs="Arial"/>
          <w:b/>
          <w:sz w:val="22"/>
          <w:szCs w:val="22"/>
          <w:u w:val="single"/>
          <w:lang w:val="en-GB"/>
        </w:rPr>
        <w:t>4</w:t>
      </w:r>
      <w:r w:rsidR="00FC2801">
        <w:rPr>
          <w:rFonts w:ascii="Arial" w:hAnsi="Arial" w:cs="Arial"/>
          <w:b/>
          <w:sz w:val="22"/>
          <w:szCs w:val="22"/>
          <w:u w:val="single"/>
          <w:lang w:val="en-GB"/>
        </w:rPr>
        <w:t>.c</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rsidR="00EC6F8D" w:rsidRPr="00293C60" w:rsidRDefault="00FC2801" w:rsidP="00EC6F8D">
      <w:pPr>
        <w:pStyle w:val="Sansinterligne2"/>
        <w:spacing w:after="1200"/>
        <w:jc w:val="center"/>
        <w:rPr>
          <w:rFonts w:ascii="Arial" w:hAnsi="Arial" w:cs="Arial"/>
          <w:b/>
          <w:sz w:val="22"/>
          <w:szCs w:val="22"/>
          <w:lang w:val="en-GB"/>
        </w:rPr>
      </w:pPr>
      <w:r>
        <w:rPr>
          <w:rFonts w:ascii="Arial" w:hAnsi="Arial" w:cs="Arial"/>
          <w:b/>
          <w:sz w:val="22"/>
          <w:szCs w:val="22"/>
          <w:lang w:val="en-GB"/>
        </w:rPr>
        <w:t xml:space="preserve">Draft amendments to the Operational Directives </w:t>
      </w:r>
      <w:r>
        <w:rPr>
          <w:rFonts w:ascii="Arial" w:hAnsi="Arial" w:cs="Arial"/>
          <w:b/>
          <w:sz w:val="22"/>
          <w:szCs w:val="22"/>
          <w:lang w:val="en-GB"/>
        </w:rPr>
        <w:br/>
        <w:t xml:space="preserve">on </w:t>
      </w:r>
      <w:r w:rsidR="00CC30DD">
        <w:rPr>
          <w:rFonts w:ascii="Arial" w:hAnsi="Arial" w:cs="Arial"/>
          <w:b/>
          <w:sz w:val="22"/>
          <w:szCs w:val="22"/>
          <w:lang w:val="en-GB"/>
        </w:rPr>
        <w:t xml:space="preserve">the </w:t>
      </w:r>
      <w:r>
        <w:rPr>
          <w:rFonts w:ascii="Arial" w:hAnsi="Arial" w:cs="Arial"/>
          <w:b/>
          <w:sz w:val="22"/>
          <w:szCs w:val="22"/>
          <w:lang w:val="en-GB"/>
        </w:rPr>
        <w:t xml:space="preserve">schedule of </w:t>
      </w:r>
      <w:r w:rsidR="00FE2829">
        <w:rPr>
          <w:rFonts w:ascii="Arial" w:hAnsi="Arial" w:cs="Arial"/>
          <w:b/>
          <w:sz w:val="22"/>
          <w:szCs w:val="22"/>
          <w:lang w:val="en-GB"/>
        </w:rPr>
        <w:t>non-governmental organizations</w:t>
      </w:r>
      <w:r>
        <w:rPr>
          <w:rFonts w:ascii="Arial" w:hAnsi="Arial" w:cs="Arial"/>
          <w:b/>
          <w:sz w:val="22"/>
          <w:szCs w:val="22"/>
          <w:lang w:val="en-GB"/>
        </w:rPr>
        <w:t xml:space="preserve"> accreditation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842F31" w:rsidTr="00EC6F8D">
        <w:trPr>
          <w:jc w:val="center"/>
        </w:trPr>
        <w:tc>
          <w:tcPr>
            <w:tcW w:w="5670" w:type="dxa"/>
            <w:vAlign w:val="center"/>
          </w:tcPr>
          <w:p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rsidR="007C327C" w:rsidRPr="00293C60" w:rsidRDefault="00C163DB" w:rsidP="001D287E">
            <w:pPr>
              <w:pStyle w:val="Sansinterligne1"/>
              <w:jc w:val="both"/>
              <w:rPr>
                <w:rFonts w:ascii="Arial" w:hAnsi="Arial" w:cs="Arial"/>
                <w:bCs/>
                <w:sz w:val="22"/>
                <w:szCs w:val="22"/>
                <w:lang w:val="en-GB"/>
              </w:rPr>
            </w:pPr>
            <w:r>
              <w:rPr>
                <w:rFonts w:ascii="Arial" w:hAnsi="Arial" w:cs="Arial"/>
                <w:sz w:val="22"/>
                <w:szCs w:val="22"/>
                <w:lang w:val="en-GB"/>
              </w:rPr>
              <w:t xml:space="preserve">At its ninth session, the Committee </w:t>
            </w:r>
            <w:r w:rsidR="00CC30DD">
              <w:rPr>
                <w:rFonts w:ascii="Arial" w:hAnsi="Arial" w:cs="Arial"/>
                <w:sz w:val="22"/>
                <w:szCs w:val="22"/>
                <w:lang w:val="en-GB"/>
              </w:rPr>
              <w:t xml:space="preserve">decided </w:t>
            </w:r>
            <w:r w:rsidR="00CC30DD" w:rsidRPr="00CC30DD">
              <w:rPr>
                <w:rFonts w:ascii="Arial" w:hAnsi="Arial" w:cs="Arial"/>
                <w:sz w:val="22"/>
                <w:szCs w:val="22"/>
                <w:lang w:val="en-GB"/>
              </w:rPr>
              <w:t xml:space="preserve">that it </w:t>
            </w:r>
            <w:r w:rsidR="00FC1703">
              <w:rPr>
                <w:rFonts w:ascii="Arial" w:hAnsi="Arial" w:cs="Arial"/>
                <w:sz w:val="22"/>
                <w:szCs w:val="22"/>
                <w:lang w:val="en-GB"/>
              </w:rPr>
              <w:t>would</w:t>
            </w:r>
            <w:r w:rsidR="00CC30DD" w:rsidRPr="00CC30DD">
              <w:rPr>
                <w:rFonts w:ascii="Arial" w:hAnsi="Arial" w:cs="Arial"/>
                <w:sz w:val="22"/>
                <w:szCs w:val="22"/>
                <w:lang w:val="en-GB"/>
              </w:rPr>
              <w:t xml:space="preserve"> henceforth examine requests f</w:t>
            </w:r>
            <w:bookmarkStart w:id="0" w:name="_GoBack"/>
            <w:bookmarkEnd w:id="0"/>
            <w:r w:rsidR="00CC30DD" w:rsidRPr="00CC30DD">
              <w:rPr>
                <w:rFonts w:ascii="Arial" w:hAnsi="Arial" w:cs="Arial"/>
                <w:sz w:val="22"/>
                <w:szCs w:val="22"/>
                <w:lang w:val="en-GB"/>
              </w:rPr>
              <w:t xml:space="preserve">or accreditation from </w:t>
            </w:r>
            <w:r w:rsidR="00FC1703">
              <w:rPr>
                <w:rFonts w:ascii="Arial" w:hAnsi="Arial" w:cs="Arial"/>
                <w:sz w:val="22"/>
                <w:szCs w:val="22"/>
                <w:lang w:val="en-GB"/>
              </w:rPr>
              <w:t>non-governmental organizations</w:t>
            </w:r>
            <w:r w:rsidR="00CC30DD" w:rsidRPr="00CC30DD">
              <w:rPr>
                <w:rFonts w:ascii="Arial" w:hAnsi="Arial" w:cs="Arial"/>
                <w:sz w:val="22"/>
                <w:szCs w:val="22"/>
                <w:lang w:val="en-GB"/>
              </w:rPr>
              <w:t xml:space="preserve"> at its ordinary sessions in odd-numbered years</w:t>
            </w:r>
            <w:r>
              <w:rPr>
                <w:rFonts w:ascii="Arial" w:hAnsi="Arial" w:cs="Arial"/>
                <w:sz w:val="22"/>
                <w:szCs w:val="22"/>
                <w:lang w:val="en-GB"/>
              </w:rPr>
              <w:t xml:space="preserve">. It further invited the Secretariat to submit </w:t>
            </w:r>
            <w:r w:rsidR="00CC30DD">
              <w:rPr>
                <w:rFonts w:ascii="Arial" w:hAnsi="Arial" w:cs="Arial"/>
                <w:sz w:val="22"/>
                <w:szCs w:val="22"/>
                <w:lang w:val="en-GB"/>
              </w:rPr>
              <w:t xml:space="preserve">draft amendments to </w:t>
            </w:r>
            <w:r w:rsidR="002F6289">
              <w:rPr>
                <w:rFonts w:ascii="Arial" w:hAnsi="Arial" w:cs="Arial"/>
                <w:sz w:val="22"/>
                <w:szCs w:val="22"/>
                <w:lang w:val="en-GB"/>
              </w:rPr>
              <w:t>the Operational Directives</w:t>
            </w:r>
            <w:r w:rsidR="00CC30DD">
              <w:rPr>
                <w:rFonts w:ascii="Arial" w:hAnsi="Arial" w:cs="Arial"/>
                <w:sz w:val="22"/>
                <w:szCs w:val="22"/>
                <w:lang w:val="en-GB"/>
              </w:rPr>
              <w:t xml:space="preserve"> to reflect this schedule</w:t>
            </w:r>
            <w:r w:rsidR="00A9470A">
              <w:rPr>
                <w:rFonts w:ascii="Arial" w:hAnsi="Arial" w:cs="Arial"/>
                <w:sz w:val="22"/>
                <w:szCs w:val="22"/>
                <w:lang w:val="en-GB"/>
              </w:rPr>
              <w:t xml:space="preserve"> (Decision 9</w:t>
            </w:r>
            <w:r w:rsidR="001B4115">
              <w:rPr>
                <w:rFonts w:ascii="Arial" w:hAnsi="Arial" w:cs="Arial"/>
                <w:sz w:val="22"/>
                <w:szCs w:val="22"/>
                <w:lang w:val="en-GB"/>
              </w:rPr>
              <w:t>.</w:t>
            </w:r>
            <w:r w:rsidR="00A9470A">
              <w:rPr>
                <w:rFonts w:ascii="Arial" w:hAnsi="Arial" w:cs="Arial"/>
                <w:sz w:val="22"/>
                <w:szCs w:val="22"/>
                <w:lang w:val="en-GB"/>
              </w:rPr>
              <w:t>COM</w:t>
            </w:r>
            <w:r w:rsidR="001A6DDE">
              <w:rPr>
                <w:rFonts w:ascii="Arial" w:hAnsi="Arial" w:cs="Arial"/>
                <w:sz w:val="22"/>
                <w:szCs w:val="22"/>
                <w:lang w:val="en-GB"/>
              </w:rPr>
              <w:t> </w:t>
            </w:r>
            <w:r w:rsidR="00A9470A">
              <w:rPr>
                <w:rFonts w:ascii="Arial" w:hAnsi="Arial" w:cs="Arial"/>
                <w:sz w:val="22"/>
                <w:szCs w:val="22"/>
                <w:lang w:val="en-GB"/>
              </w:rPr>
              <w:t>14</w:t>
            </w:r>
            <w:r w:rsidR="00652877">
              <w:rPr>
                <w:rFonts w:ascii="Arial" w:hAnsi="Arial" w:cs="Arial"/>
                <w:sz w:val="22"/>
                <w:szCs w:val="22"/>
                <w:lang w:val="en-GB"/>
              </w:rPr>
              <w:t>)</w:t>
            </w:r>
            <w:r>
              <w:rPr>
                <w:rFonts w:ascii="Arial" w:hAnsi="Arial" w:cs="Arial"/>
                <w:sz w:val="22"/>
                <w:szCs w:val="22"/>
                <w:lang w:val="en-GB"/>
              </w:rPr>
              <w:t>. This document</w:t>
            </w:r>
            <w:r w:rsidR="002F6289">
              <w:rPr>
                <w:rFonts w:ascii="Arial" w:hAnsi="Arial" w:cs="Arial"/>
                <w:sz w:val="22"/>
                <w:szCs w:val="22"/>
                <w:lang w:val="en-GB"/>
              </w:rPr>
              <w:t xml:space="preserve"> proposes</w:t>
            </w:r>
            <w:r>
              <w:rPr>
                <w:rFonts w:ascii="Arial" w:hAnsi="Arial" w:cs="Arial"/>
                <w:sz w:val="22"/>
                <w:szCs w:val="22"/>
                <w:lang w:val="en-GB"/>
              </w:rPr>
              <w:t xml:space="preserve"> </w:t>
            </w:r>
            <w:r w:rsidR="002F6289">
              <w:rPr>
                <w:rFonts w:ascii="Arial" w:hAnsi="Arial" w:cs="Arial"/>
                <w:sz w:val="22"/>
                <w:szCs w:val="22"/>
                <w:lang w:val="en-GB"/>
              </w:rPr>
              <w:t>amendments</w:t>
            </w:r>
            <w:r>
              <w:rPr>
                <w:rFonts w:ascii="Arial" w:hAnsi="Arial" w:cs="Arial"/>
                <w:sz w:val="22"/>
                <w:szCs w:val="22"/>
                <w:lang w:val="en-GB"/>
              </w:rPr>
              <w:t xml:space="preserve"> </w:t>
            </w:r>
            <w:r w:rsidR="002F6289">
              <w:rPr>
                <w:rFonts w:ascii="Arial" w:hAnsi="Arial" w:cs="Arial"/>
                <w:sz w:val="22"/>
                <w:szCs w:val="22"/>
                <w:lang w:val="en-GB"/>
              </w:rPr>
              <w:t xml:space="preserve">to the Operational Directives </w:t>
            </w:r>
            <w:r w:rsidR="00CC30DD">
              <w:rPr>
                <w:rFonts w:ascii="Arial" w:hAnsi="Arial" w:cs="Arial"/>
                <w:sz w:val="22"/>
                <w:szCs w:val="22"/>
                <w:lang w:val="en-GB"/>
              </w:rPr>
              <w:t>to that effect</w:t>
            </w:r>
            <w:r>
              <w:rPr>
                <w:rFonts w:ascii="Arial" w:hAnsi="Arial" w:cs="Arial"/>
                <w:sz w:val="22"/>
                <w:szCs w:val="22"/>
                <w:lang w:val="en-GB"/>
              </w:rPr>
              <w:t xml:space="preserve">. </w:t>
            </w:r>
          </w:p>
          <w:p w:rsidR="00EC6F8D" w:rsidRPr="00293C60" w:rsidRDefault="00EC6F8D" w:rsidP="00D74A89">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D74A89">
              <w:rPr>
                <w:rFonts w:ascii="Arial" w:hAnsi="Arial" w:cs="Arial"/>
                <w:bCs/>
                <w:sz w:val="22"/>
                <w:szCs w:val="22"/>
                <w:lang w:val="en-GB"/>
              </w:rPr>
              <w:t>4</w:t>
            </w:r>
          </w:p>
        </w:tc>
      </w:tr>
    </w:tbl>
    <w:p w:rsidR="007B3BCC" w:rsidRDefault="00655736" w:rsidP="00886393">
      <w:pPr>
        <w:pStyle w:val="COMPara"/>
        <w:jc w:val="both"/>
      </w:pPr>
      <w:r w:rsidRPr="00414643">
        <w:br w:type="page"/>
      </w:r>
      <w:r w:rsidR="00842F31" w:rsidRPr="009B683C">
        <w:lastRenderedPageBreak/>
        <w:t xml:space="preserve">The Operational Directives lay out in Chapter III.2.2 (paragraphs 91-99) the criteria and procedures for the accreditation of non-governmental organizations (‘NGOs’) to provide advisory services to the Committee, as provided in Article 9 of the Convention. </w:t>
      </w:r>
      <w:r w:rsidR="00F1654F">
        <w:t xml:space="preserve">Paragraph 98 provides that </w:t>
      </w:r>
      <w:r w:rsidR="007B3BCC">
        <w:t>requests for accreditation ‘shall be received by the Secretariat at least four months before an ordinary session of the Committee’.</w:t>
      </w:r>
      <w:r w:rsidR="00F1654F">
        <w:t xml:space="preserve"> The Committee’s recommendations are submitted to the General Assembly, which meets in June of even-numbered years, and the Assembly th</w:t>
      </w:r>
      <w:r w:rsidR="00886393">
        <w:t>en</w:t>
      </w:r>
      <w:r w:rsidR="00F1654F">
        <w:t xml:space="preserve"> decides whether to accredit NGO</w:t>
      </w:r>
      <w:r w:rsidR="00886393">
        <w:t>s recommended to it</w:t>
      </w:r>
      <w:r w:rsidR="00F1654F">
        <w:t>.</w:t>
      </w:r>
    </w:p>
    <w:p w:rsidR="00842F31" w:rsidRPr="00842F31" w:rsidRDefault="00842F31" w:rsidP="00886393">
      <w:pPr>
        <w:pStyle w:val="COMPara"/>
        <w:jc w:val="both"/>
      </w:pPr>
      <w:r>
        <w:t>In 2014, t</w:t>
      </w:r>
      <w:r w:rsidRPr="00C33BA6">
        <w:t xml:space="preserve">he Secretariat was unable to complete </w:t>
      </w:r>
      <w:r>
        <w:t>the</w:t>
      </w:r>
      <w:r w:rsidRPr="00C33BA6">
        <w:t xml:space="preserve"> treatment of 31</w:t>
      </w:r>
      <w:r>
        <w:t xml:space="preserve"> requests</w:t>
      </w:r>
      <w:r w:rsidR="00886393">
        <w:t xml:space="preserve"> for accreditation</w:t>
      </w:r>
      <w:r>
        <w:t xml:space="preserve"> submitted before </w:t>
      </w:r>
      <w:r w:rsidR="004B27D8">
        <w:t xml:space="preserve">28 </w:t>
      </w:r>
      <w:r>
        <w:t xml:space="preserve">July, 2014 and was </w:t>
      </w:r>
      <w:r w:rsidRPr="00C33BA6">
        <w:t xml:space="preserve">not in a position to present its recommendations to the </w:t>
      </w:r>
      <w:r>
        <w:t>ninth</w:t>
      </w:r>
      <w:r w:rsidRPr="00C33BA6">
        <w:t xml:space="preserve"> session of the Committee</w:t>
      </w:r>
      <w:r w:rsidR="00390C0D">
        <w:rPr>
          <w:rFonts w:eastAsia="SimSun"/>
          <w:lang w:eastAsia="zh-CN"/>
        </w:rPr>
        <w:t xml:space="preserve">. </w:t>
      </w:r>
      <w:r w:rsidR="00F1654F">
        <w:rPr>
          <w:rFonts w:eastAsia="SimSun"/>
          <w:lang w:eastAsia="zh-CN"/>
        </w:rPr>
        <w:t xml:space="preserve">Those </w:t>
      </w:r>
      <w:r>
        <w:rPr>
          <w:rFonts w:eastAsia="SimSun"/>
          <w:lang w:eastAsia="zh-CN"/>
        </w:rPr>
        <w:t xml:space="preserve">requests </w:t>
      </w:r>
      <w:r w:rsidR="00D63DC9">
        <w:rPr>
          <w:rFonts w:eastAsia="SimSun"/>
          <w:lang w:eastAsia="zh-CN"/>
        </w:rPr>
        <w:t xml:space="preserve">are to </w:t>
      </w:r>
      <w:r>
        <w:rPr>
          <w:rFonts w:eastAsia="SimSun"/>
          <w:lang w:eastAsia="zh-CN"/>
        </w:rPr>
        <w:t>be</w:t>
      </w:r>
      <w:r w:rsidRPr="00C33BA6">
        <w:rPr>
          <w:rFonts w:eastAsia="SimSun"/>
          <w:lang w:eastAsia="zh-CN"/>
        </w:rPr>
        <w:t xml:space="preserve"> </w:t>
      </w:r>
      <w:r w:rsidR="00886393">
        <w:rPr>
          <w:rFonts w:eastAsia="SimSun"/>
          <w:lang w:eastAsia="zh-CN"/>
        </w:rPr>
        <w:t>examined</w:t>
      </w:r>
      <w:r w:rsidR="00886393" w:rsidRPr="00C33BA6">
        <w:rPr>
          <w:rFonts w:eastAsia="SimSun"/>
          <w:lang w:eastAsia="zh-CN"/>
        </w:rPr>
        <w:t xml:space="preserve"> </w:t>
      </w:r>
      <w:r>
        <w:rPr>
          <w:rFonts w:eastAsia="SimSun"/>
          <w:lang w:eastAsia="zh-CN"/>
        </w:rPr>
        <w:t xml:space="preserve">at </w:t>
      </w:r>
      <w:r w:rsidR="00F1654F">
        <w:rPr>
          <w:rFonts w:eastAsia="SimSun"/>
          <w:lang w:eastAsia="zh-CN"/>
        </w:rPr>
        <w:t xml:space="preserve">the present </w:t>
      </w:r>
      <w:r>
        <w:rPr>
          <w:rFonts w:eastAsia="SimSun"/>
          <w:lang w:eastAsia="zh-CN"/>
        </w:rPr>
        <w:t>session</w:t>
      </w:r>
      <w:r w:rsidR="00886393">
        <w:rPr>
          <w:rFonts w:eastAsia="SimSun"/>
          <w:lang w:eastAsia="zh-CN"/>
        </w:rPr>
        <w:t xml:space="preserve"> (Document ITH/15/10.COM 15)</w:t>
      </w:r>
      <w:r>
        <w:rPr>
          <w:rFonts w:eastAsia="SimSun"/>
          <w:lang w:eastAsia="zh-CN"/>
        </w:rPr>
        <w:t>, together with the requests for</w:t>
      </w:r>
      <w:r w:rsidRPr="00477E7B">
        <w:rPr>
          <w:rFonts w:eastAsia="SimSun"/>
          <w:lang w:eastAsia="zh-CN"/>
        </w:rPr>
        <w:t xml:space="preserve"> accreditation </w:t>
      </w:r>
      <w:r>
        <w:rPr>
          <w:rFonts w:eastAsia="SimSun"/>
          <w:lang w:eastAsia="zh-CN"/>
        </w:rPr>
        <w:t xml:space="preserve">received </w:t>
      </w:r>
      <w:r w:rsidR="00F1654F">
        <w:rPr>
          <w:rFonts w:eastAsia="SimSun"/>
          <w:lang w:eastAsia="zh-CN"/>
        </w:rPr>
        <w:t>in</w:t>
      </w:r>
      <w:r>
        <w:rPr>
          <w:rFonts w:eastAsia="SimSun"/>
          <w:lang w:eastAsia="zh-CN"/>
        </w:rPr>
        <w:t xml:space="preserve"> 2015.</w:t>
      </w:r>
    </w:p>
    <w:p w:rsidR="0082096F" w:rsidRPr="003A3ECC" w:rsidRDefault="00F1654F" w:rsidP="001D287E">
      <w:pPr>
        <w:pStyle w:val="COMPara"/>
        <w:jc w:val="both"/>
      </w:pPr>
      <w:r>
        <w:rPr>
          <w:rFonts w:eastAsia="SimSun"/>
        </w:rPr>
        <w:t xml:space="preserve">Taking note </w:t>
      </w:r>
      <w:r w:rsidRPr="00D665F1">
        <w:t xml:space="preserve">of the ever-increasing agenda of the Committee and of the necessity to prioritize the workload of the Secretariat of </w:t>
      </w:r>
      <w:r w:rsidR="00A03535" w:rsidRPr="00D665F1">
        <w:t>the Convention</w:t>
      </w:r>
      <w:r w:rsidRPr="00D665F1">
        <w:t xml:space="preserve"> to align it with available resources</w:t>
      </w:r>
      <w:r>
        <w:t xml:space="preserve">, the Committee decided </w:t>
      </w:r>
      <w:r w:rsidR="00886393" w:rsidRPr="00886393">
        <w:t>that it shall henceforth examine requests for accreditation from NGOs at its ordinary sessions in odd-numbered years</w:t>
      </w:r>
      <w:r w:rsidR="00886393">
        <w:t xml:space="preserve">, and recommended </w:t>
      </w:r>
      <w:r w:rsidR="00886393" w:rsidRPr="00D665F1">
        <w:t>that the General Assembly amend the Operational Directives to reflect this schedule of biennial examination</w:t>
      </w:r>
      <w:r w:rsidR="00886393">
        <w:t xml:space="preserve"> (Decision 9.COM 14). It further invited </w:t>
      </w:r>
      <w:r w:rsidR="00886393" w:rsidRPr="00D665F1">
        <w:t>the Secretariat to submit draft Operational Directives to that effect for its examination at its tenth session</w:t>
      </w:r>
      <w:r w:rsidR="00886393">
        <w:t>. The Annex to the present document presents such amendments.</w:t>
      </w:r>
    </w:p>
    <w:p w:rsidR="00AF21EB" w:rsidRPr="00041A66" w:rsidRDefault="00AF21EB" w:rsidP="00842F31">
      <w:pPr>
        <w:pStyle w:val="COMPara"/>
        <w:jc w:val="both"/>
      </w:pPr>
      <w:r w:rsidRPr="000B1C8F">
        <w:t xml:space="preserve">The Committee may wish </w:t>
      </w:r>
      <w:r>
        <w:t>to adopt the following decision:</w:t>
      </w:r>
    </w:p>
    <w:p w:rsidR="00D95C4C" w:rsidRPr="00FD624F" w:rsidRDefault="004A34A0" w:rsidP="00041A66">
      <w:pPr>
        <w:pStyle w:val="COMTitleDecision"/>
        <w:rPr>
          <w:rFonts w:eastAsia="SimSun"/>
        </w:rPr>
      </w:pPr>
      <w:r>
        <w:t xml:space="preserve">DRAFT </w:t>
      </w:r>
      <w:r w:rsidR="00D8250F">
        <w:t>DECISION 10</w:t>
      </w:r>
      <w:r w:rsidR="00EC6F8D">
        <w:t>.COM</w:t>
      </w:r>
      <w:r w:rsidR="00D95C4C" w:rsidRPr="00FD624F">
        <w:t xml:space="preserve"> </w:t>
      </w:r>
      <w:r w:rsidR="003267CF">
        <w:t>1</w:t>
      </w:r>
      <w:r w:rsidR="001B4115">
        <w:t>4</w:t>
      </w:r>
      <w:r w:rsidR="003267CF">
        <w:t>.c</w:t>
      </w:r>
    </w:p>
    <w:p w:rsidR="00D95C4C" w:rsidRPr="00285BB4" w:rsidRDefault="00285BB4" w:rsidP="00285BB4">
      <w:pPr>
        <w:pStyle w:val="COMPreambulaDecisions"/>
        <w:rPr>
          <w:rFonts w:eastAsia="SimSun"/>
        </w:rPr>
      </w:pPr>
      <w:r w:rsidRPr="00285BB4">
        <w:t>The Committee,</w:t>
      </w:r>
    </w:p>
    <w:p w:rsidR="0057439C" w:rsidRPr="00345CB4" w:rsidRDefault="00D95C4C" w:rsidP="00345CB4">
      <w:pPr>
        <w:pStyle w:val="COMParaDecision"/>
      </w:pPr>
      <w:r w:rsidRPr="00345CB4">
        <w:t>Having examined</w:t>
      </w:r>
      <w:r w:rsidRPr="00F32C23">
        <w:rPr>
          <w:u w:val="none"/>
        </w:rPr>
        <w:t xml:space="preserve"> doc</w:t>
      </w:r>
      <w:r w:rsidR="00D8250F">
        <w:rPr>
          <w:u w:val="none"/>
        </w:rPr>
        <w:t>ument ITH/15/10</w:t>
      </w:r>
      <w:r w:rsidR="00EC6F8D" w:rsidRPr="00F32C23">
        <w:rPr>
          <w:u w:val="none"/>
        </w:rPr>
        <w:t>.COM</w:t>
      </w:r>
      <w:r w:rsidR="004A34A0" w:rsidRPr="00F32C23">
        <w:rPr>
          <w:u w:val="none"/>
        </w:rPr>
        <w:t>/</w:t>
      </w:r>
      <w:r w:rsidR="003267CF">
        <w:rPr>
          <w:u w:val="none"/>
        </w:rPr>
        <w:t>1</w:t>
      </w:r>
      <w:r w:rsidR="001B4115">
        <w:rPr>
          <w:u w:val="none"/>
        </w:rPr>
        <w:t>4</w:t>
      </w:r>
      <w:r w:rsidR="003267CF">
        <w:rPr>
          <w:u w:val="none"/>
        </w:rPr>
        <w:t>.c</w:t>
      </w:r>
      <w:r w:rsidRPr="00F32C23">
        <w:rPr>
          <w:u w:val="none"/>
        </w:rPr>
        <w:t>,</w:t>
      </w:r>
    </w:p>
    <w:p w:rsidR="00886393" w:rsidRPr="00345CB4" w:rsidRDefault="00886393" w:rsidP="00886393">
      <w:pPr>
        <w:pStyle w:val="COMParaDecision"/>
      </w:pPr>
      <w:r>
        <w:t>Recalling</w:t>
      </w:r>
      <w:r w:rsidRPr="00AF21EB">
        <w:rPr>
          <w:u w:val="none"/>
        </w:rPr>
        <w:t xml:space="preserve"> Article 9 of the Convention</w:t>
      </w:r>
      <w:r>
        <w:rPr>
          <w:u w:val="none"/>
        </w:rPr>
        <w:t xml:space="preserve"> and</w:t>
      </w:r>
      <w:r w:rsidRPr="00AF21EB">
        <w:rPr>
          <w:u w:val="none"/>
        </w:rPr>
        <w:t xml:space="preserve"> </w:t>
      </w:r>
      <w:r>
        <w:rPr>
          <w:u w:val="none"/>
        </w:rPr>
        <w:t>Chapter III.2.2</w:t>
      </w:r>
      <w:r w:rsidRPr="00AF21EB">
        <w:rPr>
          <w:u w:val="none"/>
        </w:rPr>
        <w:t xml:space="preserve"> of the Operational Directives,</w:t>
      </w:r>
    </w:p>
    <w:p w:rsidR="0057439C" w:rsidRPr="00AF21EB" w:rsidRDefault="00886393" w:rsidP="00886393">
      <w:pPr>
        <w:pStyle w:val="COMParaDecision"/>
      </w:pPr>
      <w:r>
        <w:t>Further r</w:t>
      </w:r>
      <w:r w:rsidRPr="00345CB4">
        <w:t>ecalling</w:t>
      </w:r>
      <w:r w:rsidRPr="00F32C23">
        <w:rPr>
          <w:u w:val="none"/>
        </w:rPr>
        <w:t xml:space="preserve"> </w:t>
      </w:r>
      <w:r w:rsidR="00A36E8F">
        <w:rPr>
          <w:u w:val="none"/>
        </w:rPr>
        <w:t>Decision 9.COM</w:t>
      </w:r>
      <w:r w:rsidR="001A6DDE">
        <w:rPr>
          <w:u w:val="none"/>
        </w:rPr>
        <w:t> </w:t>
      </w:r>
      <w:r w:rsidR="00A36E8F">
        <w:rPr>
          <w:u w:val="none"/>
        </w:rPr>
        <w:t>14</w:t>
      </w:r>
      <w:r w:rsidR="0057439C" w:rsidRPr="00F32C23">
        <w:rPr>
          <w:u w:val="none"/>
        </w:rPr>
        <w:t>,</w:t>
      </w:r>
    </w:p>
    <w:p w:rsidR="00D95C4C" w:rsidRPr="00345CB4" w:rsidRDefault="00A36E8F" w:rsidP="00345CB4">
      <w:pPr>
        <w:pStyle w:val="COMParaDecision"/>
      </w:pPr>
      <w:r>
        <w:t>Recommend</w:t>
      </w:r>
      <w:r w:rsidR="00D95C4C" w:rsidRPr="00345CB4">
        <w:t>s</w:t>
      </w:r>
      <w:r>
        <w:rPr>
          <w:u w:val="none"/>
        </w:rPr>
        <w:t xml:space="preserve"> to the General Assembly to approve the amendments to paragraph 98 of the Operational Directives, as annexed to this decision.</w:t>
      </w:r>
    </w:p>
    <w:p w:rsidR="00677B3E" w:rsidRDefault="00677B3E">
      <w:pPr>
        <w:rPr>
          <w:rFonts w:ascii="Arial" w:eastAsia="SimSun" w:hAnsi="Arial" w:cs="Arial"/>
          <w:sz w:val="22"/>
          <w:szCs w:val="22"/>
          <w:u w:val="single"/>
          <w:lang w:val="en-GB"/>
        </w:rPr>
        <w:sectPr w:rsidR="00677B3E"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pPr>
    </w:p>
    <w:p w:rsidR="003A0170" w:rsidRDefault="003A0170">
      <w:pPr>
        <w:rPr>
          <w:rFonts w:ascii="Arial" w:eastAsia="SimSun" w:hAnsi="Arial" w:cs="Arial"/>
          <w:sz w:val="22"/>
          <w:szCs w:val="22"/>
          <w:u w:val="single"/>
          <w:lang w:val="en-GB"/>
        </w:rPr>
      </w:pPr>
    </w:p>
    <w:p w:rsidR="00D8250F" w:rsidRDefault="003A0170" w:rsidP="00FA40F0">
      <w:pPr>
        <w:pStyle w:val="COMParaDecision"/>
        <w:numPr>
          <w:ilvl w:val="0"/>
          <w:numId w:val="0"/>
        </w:numPr>
        <w:spacing w:after="240"/>
        <w:jc w:val="center"/>
        <w:rPr>
          <w:b/>
          <w:u w:val="none"/>
        </w:rPr>
      </w:pPr>
      <w:r w:rsidRPr="003A0170">
        <w:rPr>
          <w:b/>
          <w:u w:val="none"/>
        </w:rPr>
        <w:t>ANNEX</w:t>
      </w: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6571"/>
        <w:gridCol w:w="850"/>
        <w:gridCol w:w="6379"/>
      </w:tblGrid>
      <w:tr w:rsidR="00677B3E" w:rsidRPr="00886393" w:rsidTr="00677B3E">
        <w:tc>
          <w:tcPr>
            <w:tcW w:w="767" w:type="dxa"/>
            <w:vAlign w:val="center"/>
          </w:tcPr>
          <w:p w:rsidR="00677B3E" w:rsidRPr="00886393" w:rsidRDefault="00677B3E" w:rsidP="003A0170">
            <w:pPr>
              <w:pStyle w:val="COMParaDecision"/>
              <w:numPr>
                <w:ilvl w:val="0"/>
                <w:numId w:val="0"/>
              </w:numPr>
              <w:spacing w:before="120"/>
              <w:jc w:val="right"/>
              <w:rPr>
                <w:b/>
                <w:bCs/>
              </w:rPr>
            </w:pPr>
          </w:p>
        </w:tc>
        <w:tc>
          <w:tcPr>
            <w:tcW w:w="6571" w:type="dxa"/>
            <w:vAlign w:val="center"/>
          </w:tcPr>
          <w:p w:rsidR="00677B3E" w:rsidRPr="00D74A89" w:rsidRDefault="00A03535" w:rsidP="003A0170">
            <w:pPr>
              <w:pStyle w:val="COMParaDecision"/>
              <w:numPr>
                <w:ilvl w:val="0"/>
                <w:numId w:val="0"/>
              </w:numPr>
              <w:spacing w:before="120"/>
              <w:jc w:val="left"/>
              <w:rPr>
                <w:b/>
                <w:u w:val="none"/>
              </w:rPr>
            </w:pPr>
            <w:r>
              <w:rPr>
                <w:b/>
                <w:bCs/>
              </w:rPr>
              <w:t xml:space="preserve">Current  text of the </w:t>
            </w:r>
            <w:r w:rsidR="00677B3E" w:rsidRPr="00D74A89">
              <w:rPr>
                <w:b/>
                <w:bCs/>
              </w:rPr>
              <w:t xml:space="preserve">Operational </w:t>
            </w:r>
            <w:r>
              <w:rPr>
                <w:b/>
                <w:bCs/>
              </w:rPr>
              <w:t>D</w:t>
            </w:r>
            <w:r w:rsidR="00677B3E" w:rsidRPr="00D74A89">
              <w:rPr>
                <w:b/>
                <w:bCs/>
              </w:rPr>
              <w:t>irectives</w:t>
            </w:r>
          </w:p>
        </w:tc>
        <w:tc>
          <w:tcPr>
            <w:tcW w:w="850" w:type="dxa"/>
          </w:tcPr>
          <w:p w:rsidR="00677B3E" w:rsidRPr="00886393" w:rsidRDefault="00677B3E" w:rsidP="003A0170">
            <w:pPr>
              <w:pStyle w:val="COMParaDecision"/>
              <w:numPr>
                <w:ilvl w:val="0"/>
                <w:numId w:val="0"/>
              </w:numPr>
              <w:spacing w:before="120"/>
              <w:jc w:val="left"/>
              <w:rPr>
                <w:b/>
                <w:bCs/>
              </w:rPr>
            </w:pPr>
          </w:p>
        </w:tc>
        <w:tc>
          <w:tcPr>
            <w:tcW w:w="6379" w:type="dxa"/>
            <w:vAlign w:val="center"/>
          </w:tcPr>
          <w:p w:rsidR="00677B3E" w:rsidRPr="00886393" w:rsidRDefault="00677B3E" w:rsidP="003A0170">
            <w:pPr>
              <w:pStyle w:val="COMParaDecision"/>
              <w:numPr>
                <w:ilvl w:val="0"/>
                <w:numId w:val="0"/>
              </w:numPr>
              <w:spacing w:before="120"/>
              <w:jc w:val="left"/>
              <w:rPr>
                <w:b/>
                <w:u w:val="none"/>
              </w:rPr>
            </w:pPr>
            <w:r w:rsidRPr="00886393">
              <w:rPr>
                <w:b/>
                <w:bCs/>
              </w:rPr>
              <w:t>Proposed amendments</w:t>
            </w:r>
          </w:p>
        </w:tc>
      </w:tr>
      <w:tr w:rsidR="00677B3E" w:rsidRPr="00886393" w:rsidTr="00677B3E">
        <w:tc>
          <w:tcPr>
            <w:tcW w:w="767" w:type="dxa"/>
          </w:tcPr>
          <w:p w:rsidR="00677B3E" w:rsidRPr="001D287E" w:rsidRDefault="00677B3E" w:rsidP="003A0170">
            <w:pPr>
              <w:pStyle w:val="COMParaDecision"/>
              <w:numPr>
                <w:ilvl w:val="0"/>
                <w:numId w:val="0"/>
              </w:numPr>
              <w:spacing w:before="120"/>
              <w:jc w:val="right"/>
              <w:rPr>
                <w:b/>
                <w:u w:val="none"/>
              </w:rPr>
            </w:pPr>
            <w:r w:rsidRPr="001D287E">
              <w:rPr>
                <w:b/>
                <w:u w:val="none"/>
              </w:rPr>
              <w:t>III</w:t>
            </w:r>
          </w:p>
        </w:tc>
        <w:tc>
          <w:tcPr>
            <w:tcW w:w="6571" w:type="dxa"/>
            <w:vAlign w:val="center"/>
          </w:tcPr>
          <w:p w:rsidR="00677B3E" w:rsidRPr="001D287E" w:rsidRDefault="00677B3E" w:rsidP="003A0170">
            <w:pPr>
              <w:pStyle w:val="COMParaDecision"/>
              <w:numPr>
                <w:ilvl w:val="0"/>
                <w:numId w:val="0"/>
              </w:numPr>
              <w:spacing w:before="120"/>
              <w:jc w:val="left"/>
              <w:rPr>
                <w:b/>
                <w:u w:val="none"/>
              </w:rPr>
            </w:pPr>
            <w:r w:rsidRPr="001D287E">
              <w:rPr>
                <w:b/>
                <w:u w:val="none"/>
              </w:rPr>
              <w:t>Participation in the implementation of the Convention</w:t>
            </w:r>
          </w:p>
        </w:tc>
        <w:tc>
          <w:tcPr>
            <w:tcW w:w="850" w:type="dxa"/>
            <w:vAlign w:val="center"/>
          </w:tcPr>
          <w:p w:rsidR="00677B3E" w:rsidRPr="00D74A89" w:rsidRDefault="00677B3E" w:rsidP="00677B3E">
            <w:pPr>
              <w:pStyle w:val="COMParaDecision"/>
              <w:numPr>
                <w:ilvl w:val="0"/>
                <w:numId w:val="0"/>
              </w:numPr>
              <w:spacing w:before="120"/>
              <w:jc w:val="right"/>
              <w:rPr>
                <w:b/>
                <w:u w:val="none"/>
              </w:rPr>
            </w:pPr>
            <w:r w:rsidRPr="00886393">
              <w:rPr>
                <w:b/>
                <w:u w:val="none"/>
              </w:rPr>
              <w:t>III</w:t>
            </w:r>
          </w:p>
        </w:tc>
        <w:tc>
          <w:tcPr>
            <w:tcW w:w="6379" w:type="dxa"/>
            <w:vAlign w:val="center"/>
          </w:tcPr>
          <w:p w:rsidR="00677B3E" w:rsidRPr="00886393" w:rsidRDefault="00677B3E" w:rsidP="003A0170">
            <w:pPr>
              <w:pStyle w:val="COMParaDecision"/>
              <w:numPr>
                <w:ilvl w:val="0"/>
                <w:numId w:val="0"/>
              </w:numPr>
              <w:spacing w:before="120"/>
              <w:jc w:val="left"/>
              <w:rPr>
                <w:u w:val="none"/>
              </w:rPr>
            </w:pPr>
            <w:r w:rsidRPr="00886393">
              <w:rPr>
                <w:u w:val="none"/>
              </w:rPr>
              <w:t>No change.</w:t>
            </w:r>
          </w:p>
        </w:tc>
      </w:tr>
      <w:tr w:rsidR="00677B3E" w:rsidRPr="00886393" w:rsidTr="00D271A7">
        <w:tc>
          <w:tcPr>
            <w:tcW w:w="767" w:type="dxa"/>
          </w:tcPr>
          <w:p w:rsidR="00677B3E" w:rsidRPr="00D74A89" w:rsidRDefault="00677B3E" w:rsidP="003A0170">
            <w:pPr>
              <w:pStyle w:val="COMParaDecision"/>
              <w:numPr>
                <w:ilvl w:val="0"/>
                <w:numId w:val="0"/>
              </w:numPr>
              <w:spacing w:before="120"/>
              <w:jc w:val="right"/>
              <w:rPr>
                <w:b/>
                <w:u w:val="none"/>
              </w:rPr>
            </w:pPr>
            <w:r w:rsidRPr="00886393">
              <w:rPr>
                <w:b/>
                <w:u w:val="none"/>
              </w:rPr>
              <w:t>III.2</w:t>
            </w:r>
          </w:p>
        </w:tc>
        <w:tc>
          <w:tcPr>
            <w:tcW w:w="6571" w:type="dxa"/>
            <w:vAlign w:val="center"/>
          </w:tcPr>
          <w:p w:rsidR="00677B3E" w:rsidRPr="00886393" w:rsidRDefault="00677B3E" w:rsidP="003A0170">
            <w:pPr>
              <w:pStyle w:val="COMParaDecision"/>
              <w:numPr>
                <w:ilvl w:val="0"/>
                <w:numId w:val="0"/>
              </w:numPr>
              <w:spacing w:before="120"/>
              <w:jc w:val="left"/>
              <w:rPr>
                <w:b/>
                <w:u w:val="none"/>
              </w:rPr>
            </w:pPr>
            <w:r w:rsidRPr="00886393">
              <w:rPr>
                <w:b/>
                <w:u w:val="none"/>
              </w:rPr>
              <w:t>Non-governmental organizations and the Convention</w:t>
            </w:r>
          </w:p>
        </w:tc>
        <w:tc>
          <w:tcPr>
            <w:tcW w:w="850" w:type="dxa"/>
          </w:tcPr>
          <w:p w:rsidR="00677B3E" w:rsidRPr="00886393" w:rsidRDefault="00677B3E" w:rsidP="007442B3">
            <w:pPr>
              <w:pStyle w:val="COMParaDecision"/>
              <w:numPr>
                <w:ilvl w:val="0"/>
                <w:numId w:val="0"/>
              </w:numPr>
              <w:spacing w:before="120"/>
              <w:jc w:val="right"/>
              <w:rPr>
                <w:b/>
                <w:u w:val="none"/>
              </w:rPr>
            </w:pPr>
            <w:r w:rsidRPr="00886393">
              <w:rPr>
                <w:b/>
                <w:u w:val="none"/>
              </w:rPr>
              <w:t>III.2</w:t>
            </w:r>
          </w:p>
        </w:tc>
        <w:tc>
          <w:tcPr>
            <w:tcW w:w="6379" w:type="dxa"/>
            <w:vAlign w:val="center"/>
          </w:tcPr>
          <w:p w:rsidR="00677B3E" w:rsidRPr="00886393" w:rsidRDefault="00677B3E" w:rsidP="003A0170">
            <w:pPr>
              <w:pStyle w:val="COMParaDecision"/>
              <w:numPr>
                <w:ilvl w:val="0"/>
                <w:numId w:val="0"/>
              </w:numPr>
              <w:spacing w:before="120"/>
              <w:jc w:val="left"/>
              <w:rPr>
                <w:u w:val="none"/>
              </w:rPr>
            </w:pPr>
            <w:r w:rsidRPr="00886393">
              <w:rPr>
                <w:u w:val="none"/>
              </w:rPr>
              <w:t>No change.</w:t>
            </w:r>
          </w:p>
        </w:tc>
      </w:tr>
      <w:tr w:rsidR="00677B3E" w:rsidRPr="00886393" w:rsidTr="00D271A7">
        <w:tc>
          <w:tcPr>
            <w:tcW w:w="767" w:type="dxa"/>
          </w:tcPr>
          <w:p w:rsidR="00677B3E" w:rsidRPr="00D74A89" w:rsidRDefault="00677B3E" w:rsidP="003A0170">
            <w:pPr>
              <w:pStyle w:val="COMParaDecision"/>
              <w:numPr>
                <w:ilvl w:val="0"/>
                <w:numId w:val="0"/>
              </w:numPr>
              <w:spacing w:before="120"/>
              <w:jc w:val="right"/>
              <w:rPr>
                <w:u w:val="none"/>
              </w:rPr>
            </w:pPr>
            <w:r w:rsidRPr="00886393">
              <w:rPr>
                <w:u w:val="none"/>
              </w:rPr>
              <w:t>III.2.2</w:t>
            </w:r>
          </w:p>
        </w:tc>
        <w:tc>
          <w:tcPr>
            <w:tcW w:w="6571" w:type="dxa"/>
            <w:vAlign w:val="center"/>
          </w:tcPr>
          <w:p w:rsidR="00677B3E" w:rsidRPr="00886393" w:rsidRDefault="00677B3E" w:rsidP="003A0170">
            <w:pPr>
              <w:pStyle w:val="COMParaDecision"/>
              <w:numPr>
                <w:ilvl w:val="0"/>
                <w:numId w:val="0"/>
              </w:numPr>
              <w:spacing w:before="120"/>
              <w:jc w:val="left"/>
              <w:rPr>
                <w:u w:val="none"/>
              </w:rPr>
            </w:pPr>
            <w:r w:rsidRPr="00886393">
              <w:rPr>
                <w:u w:val="none"/>
              </w:rPr>
              <w:t>Participation of accredited non-governmental organizations</w:t>
            </w:r>
          </w:p>
        </w:tc>
        <w:tc>
          <w:tcPr>
            <w:tcW w:w="850" w:type="dxa"/>
          </w:tcPr>
          <w:p w:rsidR="00677B3E" w:rsidRPr="00886393" w:rsidRDefault="00677B3E" w:rsidP="007442B3">
            <w:pPr>
              <w:pStyle w:val="COMParaDecision"/>
              <w:numPr>
                <w:ilvl w:val="0"/>
                <w:numId w:val="0"/>
              </w:numPr>
              <w:spacing w:before="120"/>
              <w:jc w:val="right"/>
              <w:rPr>
                <w:u w:val="none"/>
              </w:rPr>
            </w:pPr>
            <w:r w:rsidRPr="00886393">
              <w:rPr>
                <w:u w:val="none"/>
              </w:rPr>
              <w:t>III.2.2</w:t>
            </w:r>
          </w:p>
        </w:tc>
        <w:tc>
          <w:tcPr>
            <w:tcW w:w="6379" w:type="dxa"/>
            <w:vAlign w:val="center"/>
          </w:tcPr>
          <w:p w:rsidR="00677B3E" w:rsidRPr="00886393" w:rsidRDefault="00677B3E" w:rsidP="003A0170">
            <w:pPr>
              <w:pStyle w:val="COMParaDecision"/>
              <w:numPr>
                <w:ilvl w:val="0"/>
                <w:numId w:val="0"/>
              </w:numPr>
              <w:spacing w:before="120"/>
              <w:jc w:val="left"/>
              <w:rPr>
                <w:u w:val="none"/>
              </w:rPr>
            </w:pPr>
            <w:r w:rsidRPr="00886393">
              <w:rPr>
                <w:u w:val="none"/>
              </w:rPr>
              <w:t>No change.</w:t>
            </w:r>
          </w:p>
        </w:tc>
      </w:tr>
      <w:tr w:rsidR="00677B3E" w:rsidRPr="000B67B0" w:rsidTr="000E4288">
        <w:tc>
          <w:tcPr>
            <w:tcW w:w="767" w:type="dxa"/>
          </w:tcPr>
          <w:p w:rsidR="00677B3E" w:rsidRPr="00D74A89" w:rsidRDefault="00677B3E" w:rsidP="003A0170">
            <w:pPr>
              <w:pStyle w:val="COMParaDecision"/>
              <w:numPr>
                <w:ilvl w:val="0"/>
                <w:numId w:val="0"/>
              </w:numPr>
              <w:spacing w:before="120"/>
              <w:jc w:val="right"/>
              <w:rPr>
                <w:u w:val="none"/>
              </w:rPr>
            </w:pPr>
            <w:r w:rsidRPr="00886393">
              <w:rPr>
                <w:u w:val="none"/>
              </w:rPr>
              <w:t>98.</w:t>
            </w:r>
          </w:p>
        </w:tc>
        <w:tc>
          <w:tcPr>
            <w:tcW w:w="6571" w:type="dxa"/>
          </w:tcPr>
          <w:p w:rsidR="00677B3E" w:rsidRPr="00886393" w:rsidRDefault="00677B3E" w:rsidP="000E4288">
            <w:pPr>
              <w:pStyle w:val="COMParaDecision"/>
              <w:numPr>
                <w:ilvl w:val="0"/>
                <w:numId w:val="0"/>
              </w:numPr>
              <w:spacing w:before="120"/>
              <w:jc w:val="left"/>
              <w:rPr>
                <w:u w:val="none"/>
              </w:rPr>
            </w:pPr>
            <w:bookmarkStart w:id="1" w:name="OLE_LINK1"/>
            <w:bookmarkStart w:id="2" w:name="OLE_LINK2"/>
            <w:r w:rsidRPr="00886393">
              <w:rPr>
                <w:u w:val="none"/>
              </w:rPr>
              <w:t xml:space="preserve">Requests for accreditation shall be prepared by using the Form ICH-09 (available at </w:t>
            </w:r>
            <w:r w:rsidRPr="00886393">
              <w:rPr>
                <w:b/>
                <w:u w:val="none"/>
                <w:lang w:val="en-US"/>
              </w:rPr>
              <w:t>www.unesco.org/culture/ich</w:t>
            </w:r>
            <w:r w:rsidRPr="00886393">
              <w:rPr>
                <w:u w:val="none"/>
              </w:rPr>
              <w:t xml:space="preserve"> or on request from the Secretariat) and shall include all the information requested and only that information. Requests shall be received by the Secretariat at least four months before an ordinary session of the Committee.</w:t>
            </w:r>
            <w:bookmarkEnd w:id="1"/>
            <w:bookmarkEnd w:id="2"/>
          </w:p>
        </w:tc>
        <w:tc>
          <w:tcPr>
            <w:tcW w:w="850" w:type="dxa"/>
          </w:tcPr>
          <w:p w:rsidR="00677B3E" w:rsidRPr="00886393" w:rsidRDefault="00677B3E" w:rsidP="000E4288">
            <w:pPr>
              <w:pStyle w:val="COMParaDecision"/>
              <w:numPr>
                <w:ilvl w:val="0"/>
                <w:numId w:val="0"/>
              </w:numPr>
              <w:spacing w:before="120"/>
              <w:jc w:val="right"/>
              <w:rPr>
                <w:u w:val="none"/>
              </w:rPr>
            </w:pPr>
            <w:r w:rsidRPr="00886393">
              <w:rPr>
                <w:u w:val="none"/>
              </w:rPr>
              <w:t>98.</w:t>
            </w:r>
          </w:p>
        </w:tc>
        <w:tc>
          <w:tcPr>
            <w:tcW w:w="6379" w:type="dxa"/>
            <w:vAlign w:val="center"/>
          </w:tcPr>
          <w:p w:rsidR="00677B3E" w:rsidRPr="00886393" w:rsidRDefault="00F42210" w:rsidP="00617676">
            <w:pPr>
              <w:pStyle w:val="COMParaDecision"/>
              <w:numPr>
                <w:ilvl w:val="0"/>
                <w:numId w:val="0"/>
              </w:numPr>
              <w:spacing w:before="120"/>
              <w:jc w:val="left"/>
              <w:rPr>
                <w:b/>
                <w:u w:val="none"/>
              </w:rPr>
            </w:pPr>
            <w:r w:rsidRPr="00886393">
              <w:rPr>
                <w:u w:val="none"/>
              </w:rPr>
              <w:t xml:space="preserve">Requests for accreditation shall be prepared by using the Form ICH-09 (available at </w:t>
            </w:r>
            <w:r w:rsidRPr="00886393">
              <w:rPr>
                <w:b/>
                <w:u w:val="none"/>
                <w:lang w:val="en-US"/>
              </w:rPr>
              <w:t>www.unesco.org/culture/ich</w:t>
            </w:r>
            <w:r w:rsidRPr="00886393">
              <w:rPr>
                <w:u w:val="none"/>
              </w:rPr>
              <w:t xml:space="preserve"> or on request from the Secretariat) and shall include all the information requested and only that information. Requests shall be received by the Secretariat </w:t>
            </w:r>
            <w:r w:rsidRPr="00EC3DE6">
              <w:rPr>
                <w:strike/>
                <w:u w:val="none"/>
              </w:rPr>
              <w:t>at least four months before an ordinary session of the Committee</w:t>
            </w:r>
            <w:r w:rsidR="00DA2E76" w:rsidRPr="00886393">
              <w:rPr>
                <w:u w:val="none"/>
              </w:rPr>
              <w:t xml:space="preserve"> </w:t>
            </w:r>
            <w:r w:rsidR="00EC3DE6" w:rsidRPr="00EC3DE6">
              <w:rPr>
                <w:b/>
              </w:rPr>
              <w:t>by 30 April</w:t>
            </w:r>
            <w:r w:rsidR="00EC3DE6" w:rsidRPr="00EC3DE6">
              <w:t xml:space="preserve"> </w:t>
            </w:r>
            <w:r w:rsidR="0042740E">
              <w:rPr>
                <w:b/>
              </w:rPr>
              <w:t>of</w:t>
            </w:r>
            <w:r w:rsidR="0042740E" w:rsidRPr="00886393">
              <w:rPr>
                <w:b/>
              </w:rPr>
              <w:t xml:space="preserve"> </w:t>
            </w:r>
            <w:r w:rsidR="004C3EB6" w:rsidRPr="00886393">
              <w:rPr>
                <w:b/>
              </w:rPr>
              <w:t>odd</w:t>
            </w:r>
            <w:r w:rsidR="00DA2E76" w:rsidRPr="00886393">
              <w:rPr>
                <w:b/>
              </w:rPr>
              <w:t>-numbered years</w:t>
            </w:r>
            <w:r w:rsidR="004B27D8">
              <w:rPr>
                <w:b/>
              </w:rPr>
              <w:t xml:space="preserve"> for examination by the Committee at its ordinary session in </w:t>
            </w:r>
            <w:r w:rsidR="00617676">
              <w:rPr>
                <w:b/>
              </w:rPr>
              <w:t xml:space="preserve">that </w:t>
            </w:r>
            <w:r w:rsidR="004B27D8">
              <w:rPr>
                <w:b/>
              </w:rPr>
              <w:t>same year</w:t>
            </w:r>
          </w:p>
        </w:tc>
      </w:tr>
    </w:tbl>
    <w:p w:rsidR="003A0170" w:rsidRPr="004B27D8" w:rsidRDefault="003A0170" w:rsidP="003A0170">
      <w:pPr>
        <w:pStyle w:val="COMParaDecision"/>
        <w:numPr>
          <w:ilvl w:val="0"/>
          <w:numId w:val="0"/>
        </w:numPr>
        <w:jc w:val="center"/>
        <w:rPr>
          <w:b/>
          <w:u w:val="none"/>
        </w:rPr>
      </w:pPr>
    </w:p>
    <w:sectPr w:rsidR="003A0170" w:rsidRPr="004B27D8" w:rsidSect="00677B3E">
      <w:headerReference w:type="first" r:id="rId12"/>
      <w:pgSz w:w="16838" w:h="11906" w:orient="landscape" w:code="9"/>
      <w:pgMar w:top="1134" w:right="1134" w:bottom="1134" w:left="1418"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79B" w:rsidRDefault="000A379B" w:rsidP="00655736">
      <w:r>
        <w:separator/>
      </w:r>
    </w:p>
  </w:endnote>
  <w:endnote w:type="continuationSeparator" w:id="0">
    <w:p w:rsidR="000A379B" w:rsidRDefault="000A379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79B" w:rsidRDefault="000A379B" w:rsidP="00655736">
      <w:r>
        <w:separator/>
      </w:r>
    </w:p>
  </w:footnote>
  <w:footnote w:type="continuationSeparator" w:id="0">
    <w:p w:rsidR="000A379B" w:rsidRDefault="000A379B"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C23A97" w:rsidRDefault="00D8250F">
    <w:pPr>
      <w:pStyle w:val="Header"/>
      <w:rPr>
        <w:rFonts w:ascii="Arial" w:hAnsi="Arial" w:cs="Arial"/>
        <w:lang w:val="en-GB"/>
      </w:rPr>
    </w:pPr>
    <w:r>
      <w:rPr>
        <w:rFonts w:ascii="Arial" w:hAnsi="Arial" w:cs="Arial"/>
        <w:sz w:val="20"/>
        <w:szCs w:val="20"/>
        <w:lang w:val="en-GB"/>
      </w:rPr>
      <w:t>ITH/15/10</w:t>
    </w:r>
    <w:r w:rsidR="00EC6F8D">
      <w:rPr>
        <w:rFonts w:ascii="Arial" w:hAnsi="Arial" w:cs="Arial"/>
        <w:sz w:val="20"/>
        <w:szCs w:val="20"/>
        <w:lang w:val="en-GB"/>
      </w:rPr>
      <w:t>.COM</w:t>
    </w:r>
    <w:r w:rsidR="00D95C4C" w:rsidRPr="00C23A97">
      <w:rPr>
        <w:rFonts w:ascii="Arial" w:hAnsi="Arial" w:cs="Arial"/>
        <w:sz w:val="20"/>
        <w:szCs w:val="20"/>
        <w:lang w:val="en-GB"/>
      </w:rPr>
      <w:t>/</w:t>
    </w:r>
    <w:r w:rsidR="00A36E8F">
      <w:rPr>
        <w:rFonts w:ascii="Arial" w:hAnsi="Arial" w:cs="Arial"/>
        <w:sz w:val="20"/>
        <w:szCs w:val="20"/>
        <w:lang w:val="en-GB"/>
      </w:rPr>
      <w:t>1</w:t>
    </w:r>
    <w:r w:rsidR="0059427E">
      <w:rPr>
        <w:rFonts w:ascii="Arial" w:hAnsi="Arial" w:cs="Arial"/>
        <w:sz w:val="20"/>
        <w:szCs w:val="20"/>
        <w:lang w:val="en-GB"/>
      </w:rPr>
      <w:t>4</w:t>
    </w:r>
    <w:r w:rsidR="00A36E8F">
      <w:rPr>
        <w:rFonts w:ascii="Arial" w:hAnsi="Arial" w:cs="Arial"/>
        <w:sz w:val="20"/>
        <w:szCs w:val="20"/>
        <w:lang w:val="en-GB"/>
      </w:rPr>
      <w:t>.c</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0B67B0">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63300C" w:rsidRDefault="00D8250F" w:rsidP="0063300C">
    <w:pPr>
      <w:pStyle w:val="Header"/>
      <w:jc w:val="right"/>
      <w:rPr>
        <w:rFonts w:ascii="Arial" w:hAnsi="Arial" w:cs="Arial"/>
        <w:lang w:val="en-GB"/>
      </w:rPr>
    </w:pPr>
    <w:r>
      <w:rPr>
        <w:rFonts w:ascii="Arial" w:hAnsi="Arial" w:cs="Arial"/>
        <w:sz w:val="20"/>
        <w:szCs w:val="20"/>
        <w:lang w:val="en-GB"/>
      </w:rPr>
      <w:t>ITH/15/10</w:t>
    </w:r>
    <w:r w:rsidR="00EC6F8D">
      <w:rPr>
        <w:rFonts w:ascii="Arial" w:hAnsi="Arial" w:cs="Arial"/>
        <w:sz w:val="20"/>
        <w:szCs w:val="20"/>
        <w:lang w:val="en-GB"/>
      </w:rPr>
      <w:t>.COM</w:t>
    </w:r>
    <w:r w:rsidR="004A34A0" w:rsidRPr="0063300C">
      <w:rPr>
        <w:rFonts w:ascii="Arial" w:hAnsi="Arial" w:cs="Arial"/>
        <w:sz w:val="20"/>
        <w:szCs w:val="20"/>
        <w:lang w:val="en-GB"/>
      </w:rPr>
      <w:t>/</w:t>
    </w:r>
    <w:r w:rsidR="003A0170">
      <w:rPr>
        <w:rFonts w:ascii="Arial" w:hAnsi="Arial" w:cs="Arial"/>
        <w:sz w:val="20"/>
        <w:szCs w:val="20"/>
        <w:lang w:val="en-GB"/>
      </w:rPr>
      <w:t>13.c</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0D15E3">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F32C23" w:rsidRDefault="00955877">
    <w:pPr>
      <w:pStyle w:val="Header"/>
      <w:rPr>
        <w:lang w:val="en-GB"/>
      </w:rPr>
    </w:pPr>
    <w:r>
      <w:rPr>
        <w:noProof/>
      </w:rPr>
      <w:drawing>
        <wp:anchor distT="0" distB="0" distL="114300" distR="114300" simplePos="0" relativeHeight="251657728" behindDoc="0" locked="0" layoutInCell="1" allowOverlap="1" wp14:anchorId="34F925BE" wp14:editId="5529C4E9">
          <wp:simplePos x="0" y="0"/>
          <wp:positionH relativeFrom="column">
            <wp:posOffset>-567690</wp:posOffset>
          </wp:positionH>
          <wp:positionV relativeFrom="paragraph">
            <wp:posOffset>3810</wp:posOffset>
          </wp:positionV>
          <wp:extent cx="2228215" cy="1367790"/>
          <wp:effectExtent l="0" t="0" r="635" b="3810"/>
          <wp:wrapNone/>
          <wp:docPr id="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C4C" w:rsidRPr="006412AF" w:rsidRDefault="00D8250F" w:rsidP="00655736">
    <w:pPr>
      <w:pStyle w:val="Header"/>
      <w:spacing w:after="520"/>
      <w:jc w:val="right"/>
      <w:rPr>
        <w:rFonts w:ascii="Arial" w:hAnsi="Arial" w:cs="Arial"/>
        <w:b/>
        <w:sz w:val="44"/>
        <w:szCs w:val="44"/>
        <w:lang w:val="pt-BR"/>
      </w:rPr>
    </w:pPr>
    <w:r w:rsidRPr="006412AF">
      <w:rPr>
        <w:rFonts w:ascii="Arial" w:hAnsi="Arial" w:cs="Arial"/>
        <w:b/>
        <w:sz w:val="44"/>
        <w:szCs w:val="44"/>
        <w:lang w:val="pt-BR"/>
      </w:rPr>
      <w:t>10</w:t>
    </w:r>
    <w:r w:rsidR="00EC6F8D" w:rsidRPr="006412AF">
      <w:rPr>
        <w:rFonts w:ascii="Arial" w:hAnsi="Arial" w:cs="Arial"/>
        <w:b/>
        <w:sz w:val="44"/>
        <w:szCs w:val="44"/>
        <w:lang w:val="pt-BR"/>
      </w:rPr>
      <w:t xml:space="preserve"> COM</w:t>
    </w:r>
  </w:p>
  <w:p w:rsidR="00D95C4C" w:rsidRPr="006412AF" w:rsidRDefault="00D8250F" w:rsidP="00655736">
    <w:pPr>
      <w:jc w:val="right"/>
      <w:rPr>
        <w:rFonts w:ascii="Arial" w:hAnsi="Arial" w:cs="Arial"/>
        <w:b/>
        <w:sz w:val="22"/>
        <w:szCs w:val="22"/>
        <w:lang w:val="pt-BR"/>
      </w:rPr>
    </w:pPr>
    <w:r w:rsidRPr="006412AF">
      <w:rPr>
        <w:rFonts w:ascii="Arial" w:hAnsi="Arial" w:cs="Arial"/>
        <w:b/>
        <w:sz w:val="22"/>
        <w:szCs w:val="22"/>
        <w:lang w:val="pt-BR"/>
      </w:rPr>
      <w:t>ITH/15</w:t>
    </w:r>
    <w:r w:rsidR="00D95C4C" w:rsidRPr="006412AF">
      <w:rPr>
        <w:rFonts w:ascii="Arial" w:hAnsi="Arial" w:cs="Arial"/>
        <w:b/>
        <w:sz w:val="22"/>
        <w:szCs w:val="22"/>
        <w:lang w:val="pt-BR"/>
      </w:rPr>
      <w:t>/</w:t>
    </w:r>
    <w:r w:rsidRPr="006412AF">
      <w:rPr>
        <w:rFonts w:ascii="Arial" w:hAnsi="Arial" w:cs="Arial"/>
        <w:b/>
        <w:sz w:val="22"/>
        <w:szCs w:val="22"/>
        <w:lang w:val="pt-BR"/>
      </w:rPr>
      <w:t>10</w:t>
    </w:r>
    <w:r w:rsidR="00D95C4C" w:rsidRPr="006412AF">
      <w:rPr>
        <w:rFonts w:ascii="Arial" w:hAnsi="Arial" w:cs="Arial"/>
        <w:b/>
        <w:sz w:val="22"/>
        <w:szCs w:val="22"/>
        <w:lang w:val="pt-BR"/>
      </w:rPr>
      <w:t>.</w:t>
    </w:r>
    <w:r w:rsidR="00EC6F8D" w:rsidRPr="006412AF">
      <w:rPr>
        <w:rFonts w:ascii="Arial" w:hAnsi="Arial" w:cs="Arial"/>
        <w:b/>
        <w:sz w:val="22"/>
        <w:szCs w:val="22"/>
        <w:lang w:val="pt-BR"/>
      </w:rPr>
      <w:t>COM</w:t>
    </w:r>
    <w:r w:rsidR="00D95C4C" w:rsidRPr="006412AF">
      <w:rPr>
        <w:rFonts w:ascii="Arial" w:hAnsi="Arial" w:cs="Arial"/>
        <w:b/>
        <w:sz w:val="22"/>
        <w:szCs w:val="22"/>
        <w:lang w:val="pt-BR"/>
      </w:rPr>
      <w:t>/</w:t>
    </w:r>
    <w:r w:rsidR="00FC2801" w:rsidRPr="006412AF">
      <w:rPr>
        <w:rFonts w:ascii="Arial" w:hAnsi="Arial" w:cs="Arial"/>
        <w:b/>
        <w:sz w:val="22"/>
        <w:szCs w:val="22"/>
        <w:lang w:val="pt-BR"/>
      </w:rPr>
      <w:t>1</w:t>
    </w:r>
    <w:r w:rsidR="0059427E">
      <w:rPr>
        <w:rFonts w:ascii="Arial" w:hAnsi="Arial" w:cs="Arial"/>
        <w:b/>
        <w:sz w:val="22"/>
        <w:szCs w:val="22"/>
        <w:lang w:val="pt-BR"/>
      </w:rPr>
      <w:t>4</w:t>
    </w:r>
    <w:r w:rsidR="00FC2801" w:rsidRPr="006412AF">
      <w:rPr>
        <w:rFonts w:ascii="Arial" w:hAnsi="Arial" w:cs="Arial"/>
        <w:b/>
        <w:sz w:val="22"/>
        <w:szCs w:val="22"/>
        <w:lang w:val="pt-BR"/>
      </w:rPr>
      <w:t>.c</w:t>
    </w:r>
  </w:p>
  <w:p w:rsidR="00D95C4C" w:rsidRPr="006412AF" w:rsidRDefault="00D95C4C" w:rsidP="00655736">
    <w:pPr>
      <w:jc w:val="right"/>
      <w:rPr>
        <w:rFonts w:ascii="Arial" w:hAnsi="Arial" w:cs="Arial"/>
        <w:b/>
        <w:sz w:val="22"/>
        <w:szCs w:val="22"/>
        <w:lang w:val="pt-BR"/>
      </w:rPr>
    </w:pPr>
    <w:r w:rsidRPr="006412AF">
      <w:rPr>
        <w:rFonts w:ascii="Arial" w:hAnsi="Arial" w:cs="Arial"/>
        <w:b/>
        <w:sz w:val="22"/>
        <w:szCs w:val="22"/>
        <w:lang w:val="pt-BR"/>
      </w:rPr>
      <w:t xml:space="preserve">Paris, </w:t>
    </w:r>
    <w:r w:rsidR="000B67B0">
      <w:rPr>
        <w:rFonts w:ascii="Arial" w:hAnsi="Arial" w:cs="Arial"/>
        <w:b/>
        <w:sz w:val="22"/>
        <w:szCs w:val="22"/>
        <w:lang w:val="pt-BR"/>
      </w:rPr>
      <w:t>15</w:t>
    </w:r>
    <w:r w:rsidR="000B67B0">
      <w:rPr>
        <w:rFonts w:ascii="Arial" w:hAnsi="Arial" w:cs="Arial"/>
        <w:b/>
        <w:sz w:val="22"/>
        <w:szCs w:val="22"/>
        <w:lang w:val="pt-BR"/>
      </w:rPr>
      <w:t xml:space="preserve"> October</w:t>
    </w:r>
    <w:r w:rsidRPr="006412AF">
      <w:rPr>
        <w:rFonts w:ascii="Arial" w:hAnsi="Arial" w:cs="Arial"/>
        <w:b/>
        <w:sz w:val="22"/>
        <w:szCs w:val="22"/>
        <w:lang w:val="pt-BR"/>
      </w:rPr>
      <w:t xml:space="preserve"> </w:t>
    </w:r>
    <w:r w:rsidR="00D8250F" w:rsidRPr="006412AF">
      <w:rPr>
        <w:rFonts w:ascii="Arial" w:hAnsi="Arial" w:cs="Arial"/>
        <w:b/>
        <w:sz w:val="22"/>
        <w:szCs w:val="22"/>
        <w:lang w:val="pt-BR"/>
      </w:rPr>
      <w:t>2015</w:t>
    </w:r>
  </w:p>
  <w:p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FC2801">
      <w:rPr>
        <w:rFonts w:ascii="Arial" w:hAnsi="Arial" w:cs="Arial"/>
        <w:b/>
        <w:sz w:val="22"/>
        <w:szCs w:val="22"/>
        <w:lang w:val="en-GB"/>
      </w:rPr>
      <w:t>English</w:t>
    </w:r>
  </w:p>
  <w:p w:rsidR="00D95C4C" w:rsidRPr="00F32C23" w:rsidRDefault="00D95C4C">
    <w:pPr>
      <w:pStyle w:val="Header"/>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B3E" w:rsidRPr="00677B3E" w:rsidRDefault="00677B3E" w:rsidP="00677B3E">
    <w:pPr>
      <w:pStyle w:val="Header"/>
      <w:jc w:val="right"/>
      <w:rPr>
        <w:rFonts w:ascii="Arial" w:hAnsi="Arial" w:cs="Arial"/>
        <w:lang w:val="en-GB"/>
      </w:rPr>
    </w:pPr>
    <w:r>
      <w:rPr>
        <w:rFonts w:ascii="Arial" w:hAnsi="Arial" w:cs="Arial"/>
        <w:sz w:val="20"/>
        <w:szCs w:val="20"/>
        <w:lang w:val="en-GB"/>
      </w:rPr>
      <w:t>ITH/15/10.COM</w:t>
    </w:r>
    <w:r w:rsidRPr="00C23A97">
      <w:rPr>
        <w:rFonts w:ascii="Arial" w:hAnsi="Arial" w:cs="Arial"/>
        <w:sz w:val="20"/>
        <w:szCs w:val="20"/>
        <w:lang w:val="en-GB"/>
      </w:rPr>
      <w:t>/</w:t>
    </w:r>
    <w:r>
      <w:rPr>
        <w:rFonts w:ascii="Arial" w:hAnsi="Arial" w:cs="Arial"/>
        <w:sz w:val="20"/>
        <w:szCs w:val="20"/>
        <w:lang w:val="en-GB"/>
      </w:rPr>
      <w:t>1</w:t>
    </w:r>
    <w:r w:rsidR="0059427E">
      <w:rPr>
        <w:rFonts w:ascii="Arial" w:hAnsi="Arial" w:cs="Arial"/>
        <w:sz w:val="20"/>
        <w:szCs w:val="20"/>
        <w:lang w:val="en-GB"/>
      </w:rPr>
      <w:t>4</w:t>
    </w:r>
    <w:r>
      <w:rPr>
        <w:rFonts w:ascii="Arial" w:hAnsi="Arial" w:cs="Arial"/>
        <w:sz w:val="20"/>
        <w:szCs w:val="20"/>
        <w:lang w:val="en-GB"/>
      </w:rPr>
      <w:t>.c</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FE2829">
      <w:rPr>
        <w:rStyle w:val="PageNumber"/>
        <w:rFonts w:ascii="Arial" w:hAnsi="Arial" w:cs="Arial"/>
        <w:noProof/>
        <w:sz w:val="20"/>
        <w:szCs w:val="20"/>
        <w:lang w:val="en-GB"/>
      </w:rPr>
      <w:t>3</w:t>
    </w:r>
    <w:r w:rsidRPr="00C23A97">
      <w:rPr>
        <w:rStyle w:val="PageNumber"/>
        <w:rFonts w:ascii="Arial" w:hAnsi="Arial" w:cs="Arial"/>
        <w:sz w:val="20"/>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1"/>
  </w:num>
  <w:num w:numId="5">
    <w:abstractNumId w:val="10"/>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sol, Christine">
    <w15:presenceInfo w15:providerId="AD" w15:userId="S-1-5-21-1606980848-1958367476-725345543-6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01"/>
    <w:rsid w:val="000048ED"/>
    <w:rsid w:val="00041A66"/>
    <w:rsid w:val="0005176E"/>
    <w:rsid w:val="000765F7"/>
    <w:rsid w:val="00077AB7"/>
    <w:rsid w:val="00081CD8"/>
    <w:rsid w:val="000A379B"/>
    <w:rsid w:val="000A7F0E"/>
    <w:rsid w:val="000B1C8F"/>
    <w:rsid w:val="000B67B0"/>
    <w:rsid w:val="000C0D61"/>
    <w:rsid w:val="000D15E3"/>
    <w:rsid w:val="000E4288"/>
    <w:rsid w:val="000F3A3F"/>
    <w:rsid w:val="00102557"/>
    <w:rsid w:val="00164D56"/>
    <w:rsid w:val="00167B10"/>
    <w:rsid w:val="0017402F"/>
    <w:rsid w:val="00196C1B"/>
    <w:rsid w:val="001A6DDE"/>
    <w:rsid w:val="001B0F73"/>
    <w:rsid w:val="001B4115"/>
    <w:rsid w:val="001C2DB7"/>
    <w:rsid w:val="001D287E"/>
    <w:rsid w:val="001D5C04"/>
    <w:rsid w:val="00222A2D"/>
    <w:rsid w:val="00223029"/>
    <w:rsid w:val="00234745"/>
    <w:rsid w:val="002407AF"/>
    <w:rsid w:val="002838A5"/>
    <w:rsid w:val="00285BB4"/>
    <w:rsid w:val="00291DEA"/>
    <w:rsid w:val="002C09E3"/>
    <w:rsid w:val="002D29A1"/>
    <w:rsid w:val="002F6289"/>
    <w:rsid w:val="003267CF"/>
    <w:rsid w:val="00344B58"/>
    <w:rsid w:val="00345CB4"/>
    <w:rsid w:val="00375D42"/>
    <w:rsid w:val="00390C0D"/>
    <w:rsid w:val="003A0170"/>
    <w:rsid w:val="003A3ECC"/>
    <w:rsid w:val="003D069C"/>
    <w:rsid w:val="003D7646"/>
    <w:rsid w:val="003F113A"/>
    <w:rsid w:val="003F3E63"/>
    <w:rsid w:val="00407480"/>
    <w:rsid w:val="00414643"/>
    <w:rsid w:val="0042740E"/>
    <w:rsid w:val="004421E5"/>
    <w:rsid w:val="00452284"/>
    <w:rsid w:val="00457C8E"/>
    <w:rsid w:val="004856CA"/>
    <w:rsid w:val="0049705E"/>
    <w:rsid w:val="004A34A0"/>
    <w:rsid w:val="004A6B8B"/>
    <w:rsid w:val="004B27D8"/>
    <w:rsid w:val="004C3EB6"/>
    <w:rsid w:val="005008A8"/>
    <w:rsid w:val="00526B7B"/>
    <w:rsid w:val="005308CE"/>
    <w:rsid w:val="0057439C"/>
    <w:rsid w:val="0059427E"/>
    <w:rsid w:val="005B0127"/>
    <w:rsid w:val="005B7A35"/>
    <w:rsid w:val="005C4B73"/>
    <w:rsid w:val="005E1D2B"/>
    <w:rsid w:val="005E1F1D"/>
    <w:rsid w:val="005E7074"/>
    <w:rsid w:val="005F2BAF"/>
    <w:rsid w:val="00600D93"/>
    <w:rsid w:val="00617676"/>
    <w:rsid w:val="0063300C"/>
    <w:rsid w:val="006412AF"/>
    <w:rsid w:val="00652877"/>
    <w:rsid w:val="00655736"/>
    <w:rsid w:val="00663B8D"/>
    <w:rsid w:val="00677B3E"/>
    <w:rsid w:val="00696C8D"/>
    <w:rsid w:val="006A2AC2"/>
    <w:rsid w:val="006A3617"/>
    <w:rsid w:val="006E46E4"/>
    <w:rsid w:val="00717DA5"/>
    <w:rsid w:val="00744484"/>
    <w:rsid w:val="00747566"/>
    <w:rsid w:val="00773188"/>
    <w:rsid w:val="00783782"/>
    <w:rsid w:val="00784B8C"/>
    <w:rsid w:val="007879E1"/>
    <w:rsid w:val="007A40B0"/>
    <w:rsid w:val="007B3BCC"/>
    <w:rsid w:val="007C327C"/>
    <w:rsid w:val="00815921"/>
    <w:rsid w:val="0082096F"/>
    <w:rsid w:val="00823A11"/>
    <w:rsid w:val="00842F31"/>
    <w:rsid w:val="0085405E"/>
    <w:rsid w:val="0085414A"/>
    <w:rsid w:val="0086269D"/>
    <w:rsid w:val="0086543A"/>
    <w:rsid w:val="008724E5"/>
    <w:rsid w:val="00884A9D"/>
    <w:rsid w:val="0088512B"/>
    <w:rsid w:val="00886393"/>
    <w:rsid w:val="008A2B2D"/>
    <w:rsid w:val="008A4E1E"/>
    <w:rsid w:val="008C296C"/>
    <w:rsid w:val="008D4305"/>
    <w:rsid w:val="008E1A85"/>
    <w:rsid w:val="009049BE"/>
    <w:rsid w:val="00915267"/>
    <w:rsid w:val="009163A7"/>
    <w:rsid w:val="00936F32"/>
    <w:rsid w:val="00946D0B"/>
    <w:rsid w:val="00955877"/>
    <w:rsid w:val="009A18CD"/>
    <w:rsid w:val="009D5428"/>
    <w:rsid w:val="00A01AF0"/>
    <w:rsid w:val="00A03535"/>
    <w:rsid w:val="00A12558"/>
    <w:rsid w:val="00A13903"/>
    <w:rsid w:val="00A34ED5"/>
    <w:rsid w:val="00A36E8F"/>
    <w:rsid w:val="00A45DBF"/>
    <w:rsid w:val="00A755A2"/>
    <w:rsid w:val="00A9470A"/>
    <w:rsid w:val="00AA6660"/>
    <w:rsid w:val="00AB2C36"/>
    <w:rsid w:val="00AB6DDE"/>
    <w:rsid w:val="00AB70B6"/>
    <w:rsid w:val="00AD1A86"/>
    <w:rsid w:val="00AE103E"/>
    <w:rsid w:val="00AF0A07"/>
    <w:rsid w:val="00AF21EB"/>
    <w:rsid w:val="00AF3BA9"/>
    <w:rsid w:val="00AF4AEC"/>
    <w:rsid w:val="00AF625E"/>
    <w:rsid w:val="00BB04AF"/>
    <w:rsid w:val="00BD52C9"/>
    <w:rsid w:val="00BE6354"/>
    <w:rsid w:val="00C138D1"/>
    <w:rsid w:val="00C163DB"/>
    <w:rsid w:val="00C23A97"/>
    <w:rsid w:val="00C64855"/>
    <w:rsid w:val="00C70EA7"/>
    <w:rsid w:val="00C7516E"/>
    <w:rsid w:val="00C75770"/>
    <w:rsid w:val="00CA12FD"/>
    <w:rsid w:val="00CA56BB"/>
    <w:rsid w:val="00CC30DD"/>
    <w:rsid w:val="00D00B2B"/>
    <w:rsid w:val="00D24877"/>
    <w:rsid w:val="00D63DC9"/>
    <w:rsid w:val="00D74A89"/>
    <w:rsid w:val="00D8250F"/>
    <w:rsid w:val="00D95C4C"/>
    <w:rsid w:val="00DA2E76"/>
    <w:rsid w:val="00DA36ED"/>
    <w:rsid w:val="00DE34F1"/>
    <w:rsid w:val="00DE6160"/>
    <w:rsid w:val="00DF4942"/>
    <w:rsid w:val="00E627B1"/>
    <w:rsid w:val="00E70169"/>
    <w:rsid w:val="00E9376C"/>
    <w:rsid w:val="00EA0772"/>
    <w:rsid w:val="00EA335E"/>
    <w:rsid w:val="00EA528C"/>
    <w:rsid w:val="00EC3DE6"/>
    <w:rsid w:val="00EC6F8D"/>
    <w:rsid w:val="00EF34E2"/>
    <w:rsid w:val="00F164F4"/>
    <w:rsid w:val="00F1654F"/>
    <w:rsid w:val="00F30DC6"/>
    <w:rsid w:val="00F32C23"/>
    <w:rsid w:val="00F42210"/>
    <w:rsid w:val="00F53DE9"/>
    <w:rsid w:val="00F576CB"/>
    <w:rsid w:val="00F7035D"/>
    <w:rsid w:val="00F71A02"/>
    <w:rsid w:val="00FA0D63"/>
    <w:rsid w:val="00FA40F0"/>
    <w:rsid w:val="00FC1703"/>
    <w:rsid w:val="00FC2801"/>
    <w:rsid w:val="00FD1226"/>
    <w:rsid w:val="00FE2829"/>
    <w:rsid w:val="00FF483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349F-626B-4C9A-99EE-F9F97E96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607</Words>
  <Characters>3343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k.leng</dc:creator>
  <cp:lastModifiedBy>Elena Constantinou</cp:lastModifiedBy>
  <cp:revision>10</cp:revision>
  <cp:lastPrinted>2011-08-06T10:22:00Z</cp:lastPrinted>
  <dcterms:created xsi:type="dcterms:W3CDTF">2015-07-21T13:31:00Z</dcterms:created>
  <dcterms:modified xsi:type="dcterms:W3CDTF">2015-10-15T15:08:00Z</dcterms:modified>
</cp:coreProperties>
</file>