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rsidR="00EC6F8D" w:rsidRPr="00293C60" w:rsidRDefault="00D8250F" w:rsidP="00EC6F8D">
      <w:pPr>
        <w:spacing w:before="840"/>
        <w:jc w:val="center"/>
        <w:rPr>
          <w:rFonts w:ascii="Arial" w:hAnsi="Arial" w:cs="Arial"/>
          <w:b/>
          <w:sz w:val="22"/>
          <w:szCs w:val="22"/>
          <w:lang w:val="en-GB"/>
        </w:rPr>
      </w:pPr>
      <w:r>
        <w:rPr>
          <w:rFonts w:ascii="Arial" w:hAnsi="Arial" w:cs="Arial"/>
          <w:b/>
          <w:sz w:val="22"/>
          <w:szCs w:val="22"/>
          <w:lang w:val="en-GB"/>
        </w:rPr>
        <w:t>Tenth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rsidR="009D5428" w:rsidRDefault="006B0924" w:rsidP="005E7074">
      <w:pPr>
        <w:jc w:val="center"/>
        <w:rPr>
          <w:rFonts w:ascii="Arial" w:hAnsi="Arial" w:cs="Arial"/>
          <w:b/>
          <w:sz w:val="22"/>
          <w:szCs w:val="22"/>
          <w:lang w:val="en-GB"/>
        </w:rPr>
      </w:pPr>
      <w:r>
        <w:rPr>
          <w:rFonts w:ascii="Arial" w:hAnsi="Arial" w:cs="Arial"/>
          <w:b/>
          <w:sz w:val="22"/>
          <w:szCs w:val="22"/>
          <w:lang w:val="en-GB"/>
        </w:rPr>
        <w:t xml:space="preserve">Windhoek, </w:t>
      </w:r>
      <w:r w:rsidR="00D8250F">
        <w:rPr>
          <w:rFonts w:ascii="Arial" w:hAnsi="Arial" w:cs="Arial"/>
          <w:b/>
          <w:sz w:val="22"/>
          <w:szCs w:val="22"/>
          <w:lang w:val="en-GB"/>
        </w:rPr>
        <w:t>Namibia</w:t>
      </w:r>
    </w:p>
    <w:p w:rsidR="00EC6F8D" w:rsidRPr="00293C60" w:rsidRDefault="00D8250F" w:rsidP="00EC6F8D">
      <w:pPr>
        <w:jc w:val="center"/>
        <w:rPr>
          <w:rFonts w:ascii="Arial" w:hAnsi="Arial" w:cs="Arial"/>
          <w:b/>
          <w:sz w:val="22"/>
          <w:szCs w:val="22"/>
          <w:lang w:val="en-GB"/>
        </w:rPr>
      </w:pPr>
      <w:r>
        <w:rPr>
          <w:rFonts w:ascii="Arial" w:hAnsi="Arial" w:cs="Arial"/>
          <w:b/>
          <w:sz w:val="22"/>
          <w:szCs w:val="22"/>
          <w:lang w:val="en-GB"/>
        </w:rPr>
        <w:t>30 November</w:t>
      </w:r>
      <w:r w:rsidR="00EC6F8D" w:rsidRPr="00EC6F8D">
        <w:rPr>
          <w:rFonts w:ascii="Arial" w:hAnsi="Arial" w:cs="Arial"/>
          <w:b/>
          <w:sz w:val="22"/>
          <w:szCs w:val="22"/>
          <w:lang w:val="en-GB"/>
        </w:rPr>
        <w:t xml:space="preserve"> to </w:t>
      </w:r>
      <w:r>
        <w:rPr>
          <w:rFonts w:ascii="Arial" w:hAnsi="Arial" w:cs="Arial"/>
          <w:b/>
          <w:sz w:val="22"/>
          <w:szCs w:val="22"/>
          <w:lang w:val="en-GB"/>
        </w:rPr>
        <w:t>4 December 2015</w:t>
      </w:r>
    </w:p>
    <w:p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6D71D2">
        <w:rPr>
          <w:rFonts w:ascii="Arial" w:hAnsi="Arial" w:cs="Arial"/>
          <w:b/>
          <w:sz w:val="22"/>
          <w:szCs w:val="22"/>
          <w:u w:val="single"/>
          <w:lang w:val="en-GB"/>
        </w:rPr>
        <w:t>14</w:t>
      </w:r>
      <w:r w:rsidR="004B0C17">
        <w:rPr>
          <w:rFonts w:ascii="Arial" w:hAnsi="Arial" w:cs="Arial"/>
          <w:b/>
          <w:sz w:val="22"/>
          <w:szCs w:val="22"/>
          <w:u w:val="single"/>
          <w:lang w:val="en-GB"/>
        </w:rPr>
        <w:t>.b</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rsidR="00EC6F8D" w:rsidRPr="00293C60" w:rsidRDefault="00A30C59" w:rsidP="00EC6F8D">
      <w:pPr>
        <w:pStyle w:val="Sansinterligne2"/>
        <w:spacing w:after="1200"/>
        <w:jc w:val="center"/>
        <w:rPr>
          <w:rFonts w:ascii="Arial" w:hAnsi="Arial" w:cs="Arial"/>
          <w:b/>
          <w:sz w:val="22"/>
          <w:szCs w:val="22"/>
          <w:lang w:val="en-GB"/>
        </w:rPr>
      </w:pPr>
      <w:r w:rsidRPr="00A30C59">
        <w:rPr>
          <w:rFonts w:ascii="Arial" w:hAnsi="Arial" w:cs="Arial"/>
          <w:b/>
          <w:sz w:val="22"/>
          <w:szCs w:val="22"/>
          <w:lang w:val="en-GB"/>
        </w:rPr>
        <w:t>Draft amendments to the Operational Directives on the referral option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B0C17" w:rsidTr="00EC6F8D">
        <w:trPr>
          <w:jc w:val="center"/>
        </w:trPr>
        <w:tc>
          <w:tcPr>
            <w:tcW w:w="5670" w:type="dxa"/>
            <w:vAlign w:val="center"/>
          </w:tcPr>
          <w:p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rsidR="004B0C17" w:rsidRPr="00862644" w:rsidRDefault="002728B0" w:rsidP="004B0C17">
            <w:pPr>
              <w:pStyle w:val="Sansinterligne11"/>
              <w:spacing w:after="240"/>
              <w:jc w:val="both"/>
              <w:rPr>
                <w:rFonts w:ascii="Arial" w:hAnsi="Arial" w:cs="Arial"/>
                <w:sz w:val="22"/>
                <w:szCs w:val="22"/>
                <w:lang w:val="en-GB"/>
              </w:rPr>
            </w:pPr>
            <w:r>
              <w:rPr>
                <w:rFonts w:ascii="Arial" w:hAnsi="Arial" w:cs="Arial"/>
                <w:sz w:val="22"/>
                <w:szCs w:val="22"/>
                <w:lang w:val="en-GB"/>
              </w:rPr>
              <w:t>The General Assembly of States Parties at its third session introduced in the Operational Directives t</w:t>
            </w:r>
            <w:r w:rsidR="00190902" w:rsidRPr="00190902">
              <w:rPr>
                <w:rFonts w:ascii="Arial" w:hAnsi="Arial" w:cs="Arial"/>
                <w:sz w:val="22"/>
                <w:szCs w:val="22"/>
                <w:lang w:val="en-GB"/>
              </w:rPr>
              <w:t xml:space="preserve">he referral </w:t>
            </w:r>
            <w:r w:rsidR="00ED0338" w:rsidRPr="00190902">
              <w:rPr>
                <w:rFonts w:ascii="Arial" w:hAnsi="Arial" w:cs="Arial"/>
                <w:sz w:val="22"/>
                <w:szCs w:val="22"/>
                <w:lang w:val="en-GB"/>
              </w:rPr>
              <w:t>option</w:t>
            </w:r>
            <w:r w:rsidR="00190902" w:rsidRPr="00190902">
              <w:rPr>
                <w:rFonts w:ascii="Arial" w:hAnsi="Arial" w:cs="Arial"/>
                <w:sz w:val="22"/>
                <w:szCs w:val="22"/>
                <w:lang w:val="en-GB"/>
              </w:rPr>
              <w:t xml:space="preserve"> </w:t>
            </w:r>
            <w:r>
              <w:rPr>
                <w:rFonts w:ascii="Arial" w:hAnsi="Arial" w:cs="Arial"/>
                <w:sz w:val="22"/>
                <w:szCs w:val="22"/>
                <w:lang w:val="en-GB"/>
              </w:rPr>
              <w:t>for nominations to the Representative List of the Intangible Cultural Heritage of Humanity (</w:t>
            </w:r>
            <w:r w:rsidR="00190902" w:rsidRPr="00190902">
              <w:rPr>
                <w:rFonts w:ascii="Arial" w:hAnsi="Arial" w:cs="Arial"/>
                <w:sz w:val="22"/>
                <w:szCs w:val="22"/>
                <w:lang w:val="en-GB"/>
              </w:rPr>
              <w:t>June 2010</w:t>
            </w:r>
            <w:r>
              <w:rPr>
                <w:rFonts w:ascii="Arial" w:hAnsi="Arial" w:cs="Arial"/>
                <w:sz w:val="22"/>
                <w:szCs w:val="22"/>
                <w:lang w:val="en-GB"/>
              </w:rPr>
              <w:t>)</w:t>
            </w:r>
            <w:r w:rsidR="00190902" w:rsidRPr="00190902">
              <w:rPr>
                <w:rFonts w:ascii="Arial" w:hAnsi="Arial" w:cs="Arial"/>
                <w:sz w:val="22"/>
                <w:szCs w:val="22"/>
                <w:lang w:val="en-GB"/>
              </w:rPr>
              <w:t xml:space="preserve">. </w:t>
            </w:r>
            <w:r w:rsidR="004B0C17" w:rsidRPr="00862644">
              <w:rPr>
                <w:rFonts w:ascii="Arial" w:hAnsi="Arial" w:cs="Arial"/>
                <w:sz w:val="22"/>
                <w:szCs w:val="22"/>
                <w:lang w:val="en-GB"/>
              </w:rPr>
              <w:t xml:space="preserve">At its </w:t>
            </w:r>
            <w:r w:rsidR="00301BE5">
              <w:rPr>
                <w:rFonts w:ascii="Arial" w:hAnsi="Arial" w:cs="Arial"/>
                <w:sz w:val="22"/>
                <w:szCs w:val="22"/>
                <w:lang w:val="en-GB"/>
              </w:rPr>
              <w:t>ninth</w:t>
            </w:r>
            <w:r w:rsidR="004B0C17" w:rsidRPr="00862644">
              <w:rPr>
                <w:rFonts w:ascii="Arial" w:hAnsi="Arial" w:cs="Arial"/>
                <w:sz w:val="22"/>
                <w:szCs w:val="22"/>
                <w:lang w:val="en-GB"/>
              </w:rPr>
              <w:t xml:space="preserve"> session, the Committee decided </w:t>
            </w:r>
            <w:r w:rsidR="00301BE5">
              <w:rPr>
                <w:rFonts w:ascii="Arial" w:hAnsi="Arial" w:cs="Arial"/>
                <w:sz w:val="22"/>
                <w:szCs w:val="22"/>
                <w:lang w:val="en-GB"/>
              </w:rPr>
              <w:t>that the referral option should be extended</w:t>
            </w:r>
            <w:r w:rsidR="004B0C17" w:rsidRPr="00862644">
              <w:rPr>
                <w:rFonts w:ascii="Arial" w:hAnsi="Arial" w:cs="Arial"/>
                <w:sz w:val="22"/>
                <w:szCs w:val="22"/>
                <w:lang w:val="en-GB"/>
              </w:rPr>
              <w:t xml:space="preserve"> </w:t>
            </w:r>
            <w:r w:rsidR="00301BE5" w:rsidRPr="00301BE5">
              <w:rPr>
                <w:rFonts w:ascii="Arial" w:hAnsi="Arial" w:cs="Arial"/>
                <w:sz w:val="22"/>
                <w:szCs w:val="22"/>
                <w:lang w:val="en-GB"/>
              </w:rPr>
              <w:t xml:space="preserve">to </w:t>
            </w:r>
            <w:r>
              <w:rPr>
                <w:rFonts w:ascii="Arial" w:hAnsi="Arial" w:cs="Arial"/>
                <w:sz w:val="22"/>
                <w:szCs w:val="22"/>
                <w:lang w:val="en-GB"/>
              </w:rPr>
              <w:t xml:space="preserve">nominations to </w:t>
            </w:r>
            <w:r w:rsidR="00301BE5" w:rsidRPr="00301BE5">
              <w:rPr>
                <w:rFonts w:ascii="Arial" w:hAnsi="Arial" w:cs="Arial"/>
                <w:sz w:val="22"/>
                <w:szCs w:val="22"/>
                <w:lang w:val="en-GB"/>
              </w:rPr>
              <w:t>the List of Intangible Cultural Heritage in Need of Urgent Safeguarding</w:t>
            </w:r>
            <w:r w:rsidR="008041D0">
              <w:rPr>
                <w:rFonts w:ascii="Arial" w:hAnsi="Arial" w:cs="Arial"/>
                <w:sz w:val="22"/>
                <w:szCs w:val="22"/>
                <w:lang w:val="en-GB"/>
              </w:rPr>
              <w:t xml:space="preserve"> (Decision 9 COM 13.c)</w:t>
            </w:r>
            <w:r w:rsidR="00BE2B3C">
              <w:rPr>
                <w:rFonts w:ascii="Arial" w:hAnsi="Arial" w:cs="Arial"/>
                <w:sz w:val="22"/>
                <w:szCs w:val="22"/>
                <w:lang w:val="en-GB"/>
              </w:rPr>
              <w:t>. It also</w:t>
            </w:r>
            <w:r w:rsidR="00301BE5">
              <w:rPr>
                <w:rFonts w:ascii="Arial" w:hAnsi="Arial" w:cs="Arial"/>
                <w:sz w:val="22"/>
                <w:szCs w:val="22"/>
                <w:lang w:val="en-GB"/>
              </w:rPr>
              <w:t xml:space="preserve"> </w:t>
            </w:r>
            <w:r w:rsidR="00BE2B3C">
              <w:rPr>
                <w:rFonts w:ascii="Arial" w:hAnsi="Arial" w:cs="Arial"/>
                <w:sz w:val="22"/>
                <w:szCs w:val="22"/>
                <w:lang w:val="en-GB"/>
              </w:rPr>
              <w:t xml:space="preserve">decided to </w:t>
            </w:r>
            <w:r w:rsidR="00301BE5">
              <w:rPr>
                <w:rFonts w:ascii="Arial" w:hAnsi="Arial" w:cs="Arial"/>
                <w:sz w:val="22"/>
                <w:szCs w:val="22"/>
                <w:lang w:val="en-GB"/>
              </w:rPr>
              <w:t>abolish the prohibition</w:t>
            </w:r>
            <w:r w:rsidR="00301BE5" w:rsidRPr="00301BE5">
              <w:rPr>
                <w:rFonts w:ascii="Arial" w:hAnsi="Arial" w:cs="Arial"/>
                <w:sz w:val="22"/>
                <w:szCs w:val="22"/>
                <w:lang w:val="en-GB"/>
              </w:rPr>
              <w:t xml:space="preserve"> </w:t>
            </w:r>
            <w:r w:rsidR="00301BE5">
              <w:rPr>
                <w:rFonts w:ascii="Arial" w:hAnsi="Arial" w:cs="Arial"/>
                <w:sz w:val="22"/>
                <w:szCs w:val="22"/>
                <w:lang w:val="en-GB"/>
              </w:rPr>
              <w:t>of</w:t>
            </w:r>
            <w:r w:rsidR="00301BE5" w:rsidRPr="00301BE5">
              <w:rPr>
                <w:rFonts w:ascii="Arial" w:hAnsi="Arial" w:cs="Arial"/>
                <w:sz w:val="22"/>
                <w:szCs w:val="22"/>
                <w:lang w:val="en-GB"/>
              </w:rPr>
              <w:t xml:space="preserve"> resubmission of a file for the Representative List within four years following a </w:t>
            </w:r>
            <w:r w:rsidR="00ED0338">
              <w:rPr>
                <w:rFonts w:ascii="Arial" w:hAnsi="Arial" w:cs="Arial"/>
                <w:sz w:val="22"/>
                <w:szCs w:val="22"/>
                <w:lang w:val="en-GB"/>
              </w:rPr>
              <w:t>decision not to inscribe.</w:t>
            </w:r>
            <w:r w:rsidR="00301BE5">
              <w:rPr>
                <w:rFonts w:ascii="Arial" w:hAnsi="Arial" w:cs="Arial"/>
                <w:sz w:val="22"/>
                <w:szCs w:val="22"/>
                <w:lang w:val="en-GB"/>
              </w:rPr>
              <w:t xml:space="preserve"> </w:t>
            </w:r>
            <w:r w:rsidR="00301BE5" w:rsidRPr="0027253B">
              <w:rPr>
                <w:rFonts w:ascii="Arial" w:hAnsi="Arial" w:cs="Arial"/>
                <w:sz w:val="22"/>
                <w:szCs w:val="22"/>
                <w:lang w:val="en-GB"/>
              </w:rPr>
              <w:t>The</w:t>
            </w:r>
            <w:r w:rsidR="004B0C17" w:rsidRPr="0027253B">
              <w:rPr>
                <w:rFonts w:ascii="Arial" w:hAnsi="Arial" w:cs="Arial"/>
                <w:sz w:val="22"/>
                <w:szCs w:val="22"/>
                <w:lang w:val="en-GB"/>
              </w:rPr>
              <w:t xml:space="preserve"> present document </w:t>
            </w:r>
            <w:r w:rsidR="00301BE5" w:rsidRPr="00301BE5">
              <w:rPr>
                <w:rFonts w:ascii="Arial" w:hAnsi="Arial" w:cs="Arial"/>
                <w:sz w:val="22"/>
                <w:szCs w:val="22"/>
                <w:lang w:val="en-GB"/>
              </w:rPr>
              <w:t>propose</w:t>
            </w:r>
            <w:r w:rsidR="008041D0">
              <w:rPr>
                <w:rFonts w:ascii="Arial" w:hAnsi="Arial" w:cs="Arial"/>
                <w:sz w:val="22"/>
                <w:szCs w:val="22"/>
                <w:lang w:val="en-GB"/>
              </w:rPr>
              <w:t>s</w:t>
            </w:r>
            <w:r w:rsidR="00301BE5" w:rsidRPr="00301BE5">
              <w:rPr>
                <w:rFonts w:ascii="Arial" w:hAnsi="Arial" w:cs="Arial"/>
                <w:sz w:val="22"/>
                <w:szCs w:val="22"/>
                <w:lang w:val="en-GB"/>
              </w:rPr>
              <w:t xml:space="preserve"> a draft text of amendments to the Operational Directives accordingly</w:t>
            </w:r>
            <w:r w:rsidR="004B0C17" w:rsidRPr="00862644">
              <w:rPr>
                <w:rFonts w:ascii="Arial" w:hAnsi="Arial" w:cs="Arial"/>
                <w:sz w:val="22"/>
                <w:szCs w:val="22"/>
                <w:lang w:val="en-GB"/>
              </w:rPr>
              <w:t>.</w:t>
            </w:r>
          </w:p>
          <w:p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190902">
              <w:rPr>
                <w:rFonts w:ascii="Arial" w:hAnsi="Arial" w:cs="Arial"/>
                <w:bCs/>
                <w:sz w:val="22"/>
                <w:szCs w:val="22"/>
                <w:lang w:val="en-GB"/>
              </w:rPr>
              <w:t>8</w:t>
            </w:r>
          </w:p>
        </w:tc>
      </w:tr>
    </w:tbl>
    <w:p w:rsidR="00BA4072" w:rsidRPr="00274741" w:rsidRDefault="001E645A" w:rsidP="00625CB0">
      <w:pPr>
        <w:pStyle w:val="COMPara"/>
        <w:jc w:val="both"/>
        <w:rPr>
          <w:rFonts w:eastAsia="SimSun"/>
        </w:rPr>
      </w:pPr>
      <w:r w:rsidRPr="00274741">
        <w:rPr>
          <w:rFonts w:eastAsia="SimSun"/>
        </w:rPr>
        <w:lastRenderedPageBreak/>
        <w:t>The</w:t>
      </w:r>
      <w:r w:rsidR="00E46F6D" w:rsidRPr="00274741">
        <w:rPr>
          <w:rFonts w:eastAsia="SimSun"/>
        </w:rPr>
        <w:t xml:space="preserve"> referral option</w:t>
      </w:r>
      <w:r w:rsidRPr="00274741">
        <w:rPr>
          <w:rFonts w:eastAsia="SimSun"/>
        </w:rPr>
        <w:t>,</w:t>
      </w:r>
      <w:r w:rsidR="00CA04C6" w:rsidRPr="00274741">
        <w:rPr>
          <w:rFonts w:eastAsia="SimSun"/>
        </w:rPr>
        <w:t xml:space="preserve"> available </w:t>
      </w:r>
      <w:r w:rsidR="00274741" w:rsidRPr="00274741">
        <w:rPr>
          <w:rFonts w:eastAsia="SimSun"/>
        </w:rPr>
        <w:t xml:space="preserve">until now only </w:t>
      </w:r>
      <w:r w:rsidR="009C64EB" w:rsidRPr="00274741">
        <w:rPr>
          <w:rFonts w:eastAsia="SimSun"/>
        </w:rPr>
        <w:t>for</w:t>
      </w:r>
      <w:r w:rsidR="00274741" w:rsidRPr="00274741">
        <w:rPr>
          <w:rFonts w:eastAsia="SimSun"/>
        </w:rPr>
        <w:t xml:space="preserve"> nominations to the</w:t>
      </w:r>
      <w:r w:rsidR="009C64EB" w:rsidRPr="00274741">
        <w:rPr>
          <w:rFonts w:eastAsia="SimSun"/>
        </w:rPr>
        <w:t xml:space="preserve"> </w:t>
      </w:r>
      <w:r w:rsidR="009C64EB" w:rsidRPr="00274741">
        <w:rPr>
          <w:rFonts w:eastAsia="SimSun"/>
          <w:lang w:eastAsia="zh-CN"/>
        </w:rPr>
        <w:t xml:space="preserve">Representative List of the Intangible Cultural Heritage of </w:t>
      </w:r>
      <w:r w:rsidR="009C64EB" w:rsidRPr="00625CB0">
        <w:rPr>
          <w:rFonts w:eastAsia="SimSun"/>
          <w:lang w:eastAsia="zh-CN"/>
        </w:rPr>
        <w:t>Humanity</w:t>
      </w:r>
      <w:r w:rsidRPr="00625CB0">
        <w:rPr>
          <w:rFonts w:eastAsia="SimSun"/>
          <w:lang w:eastAsia="zh-CN"/>
        </w:rPr>
        <w:t>,</w:t>
      </w:r>
      <w:r w:rsidR="009C64EB" w:rsidRPr="00625CB0">
        <w:rPr>
          <w:rFonts w:eastAsia="SimSun"/>
        </w:rPr>
        <w:t xml:space="preserve"> </w:t>
      </w:r>
      <w:r w:rsidR="00E46F6D" w:rsidRPr="00625CB0">
        <w:rPr>
          <w:rFonts w:eastAsia="SimSun"/>
        </w:rPr>
        <w:t>was introduced to the Operational Directives</w:t>
      </w:r>
      <w:r w:rsidR="009C64EB" w:rsidRPr="00274741">
        <w:rPr>
          <w:rFonts w:eastAsia="SimSun"/>
        </w:rPr>
        <w:t xml:space="preserve"> </w:t>
      </w:r>
      <w:r w:rsidRPr="00274741">
        <w:rPr>
          <w:rFonts w:eastAsia="SimSun"/>
        </w:rPr>
        <w:t xml:space="preserve">by the General Assembly </w:t>
      </w:r>
      <w:r w:rsidR="008041D0">
        <w:rPr>
          <w:rFonts w:eastAsia="SimSun"/>
        </w:rPr>
        <w:t>at</w:t>
      </w:r>
      <w:r w:rsidR="008041D0" w:rsidRPr="00274741">
        <w:rPr>
          <w:rFonts w:eastAsia="SimSun"/>
        </w:rPr>
        <w:t xml:space="preserve"> </w:t>
      </w:r>
      <w:r w:rsidRPr="009C64EB">
        <w:t>its</w:t>
      </w:r>
      <w:r w:rsidRPr="00274741">
        <w:rPr>
          <w:rFonts w:eastAsia="SimSun"/>
        </w:rPr>
        <w:t xml:space="preserve"> third s</w:t>
      </w:r>
      <w:r w:rsidR="00F91168" w:rsidRPr="00274741">
        <w:rPr>
          <w:rFonts w:eastAsia="SimSun"/>
        </w:rPr>
        <w:t>ession in June 2010 (Resolution 3 </w:t>
      </w:r>
      <w:r w:rsidRPr="00274741">
        <w:rPr>
          <w:rFonts w:eastAsia="SimSun"/>
        </w:rPr>
        <w:t xml:space="preserve">GA 5). </w:t>
      </w:r>
      <w:r w:rsidR="00BA4072" w:rsidRPr="00274741">
        <w:rPr>
          <w:rFonts w:eastAsia="SimSun"/>
        </w:rPr>
        <w:t xml:space="preserve">At its fourth session in June 2012, the Assembly requested that the Committee begin a process of reflection on the experience gained in implementing the referral option and report </w:t>
      </w:r>
      <w:r w:rsidR="00274741">
        <w:rPr>
          <w:rFonts w:eastAsia="SimSun"/>
        </w:rPr>
        <w:t>back concerning</w:t>
      </w:r>
      <w:r w:rsidR="00274741" w:rsidRPr="00274741">
        <w:rPr>
          <w:rFonts w:eastAsia="SimSun"/>
        </w:rPr>
        <w:t xml:space="preserve"> </w:t>
      </w:r>
      <w:r w:rsidR="00625CB0">
        <w:rPr>
          <w:rFonts w:eastAsia="SimSun"/>
        </w:rPr>
        <w:t>that process</w:t>
      </w:r>
      <w:r w:rsidR="00F91168" w:rsidRPr="00274741">
        <w:rPr>
          <w:rFonts w:eastAsia="SimSun"/>
        </w:rPr>
        <w:t xml:space="preserve"> (Resolution 4.GA </w:t>
      </w:r>
      <w:r w:rsidR="00BA4072" w:rsidRPr="00274741">
        <w:rPr>
          <w:rFonts w:eastAsia="SimSun"/>
        </w:rPr>
        <w:t xml:space="preserve">5). </w:t>
      </w:r>
      <w:r w:rsidR="00274741">
        <w:rPr>
          <w:rFonts w:eastAsia="SimSun"/>
        </w:rPr>
        <w:t>The Committee began such</w:t>
      </w:r>
      <w:r w:rsidR="00274741" w:rsidRPr="00274741">
        <w:rPr>
          <w:rFonts w:eastAsia="SimSun"/>
        </w:rPr>
        <w:t xml:space="preserve"> </w:t>
      </w:r>
      <w:r w:rsidR="00BA4072" w:rsidRPr="00274741">
        <w:rPr>
          <w:rFonts w:eastAsia="SimSun"/>
        </w:rPr>
        <w:t>a reflection at its seventh session (</w:t>
      </w:r>
      <w:hyperlink r:id="rId9" w:history="1">
        <w:r w:rsidR="00F64FCC">
          <w:rPr>
            <w:rStyle w:val="Hyperlink"/>
            <w:rFonts w:eastAsia="SimSun"/>
          </w:rPr>
          <w:t>d</w:t>
        </w:r>
        <w:r w:rsidR="00BA4072" w:rsidRPr="00F64FCC">
          <w:rPr>
            <w:rStyle w:val="Hyperlink"/>
            <w:rFonts w:eastAsia="SimSun"/>
          </w:rPr>
          <w:t>ocument</w:t>
        </w:r>
        <w:r w:rsidR="00F91168" w:rsidRPr="00F64FCC">
          <w:rPr>
            <w:rStyle w:val="Hyperlink"/>
            <w:rFonts w:eastAsia="SimSun"/>
          </w:rPr>
          <w:t xml:space="preserve"> ITH/12/7.COM </w:t>
        </w:r>
        <w:r w:rsidR="00BA4072" w:rsidRPr="00F64FCC">
          <w:rPr>
            <w:rStyle w:val="Hyperlink"/>
            <w:rFonts w:eastAsia="SimSun"/>
          </w:rPr>
          <w:t>13.a</w:t>
        </w:r>
      </w:hyperlink>
      <w:r w:rsidR="00BA4072" w:rsidRPr="00274741">
        <w:rPr>
          <w:rFonts w:eastAsia="SimSun"/>
        </w:rPr>
        <w:t>)</w:t>
      </w:r>
      <w:r w:rsidR="00274741">
        <w:rPr>
          <w:rFonts w:eastAsia="SimSun"/>
        </w:rPr>
        <w:t>,</w:t>
      </w:r>
      <w:r w:rsidR="00BA4072" w:rsidRPr="00274741">
        <w:rPr>
          <w:rFonts w:eastAsia="SimSun"/>
        </w:rPr>
        <w:t xml:space="preserve"> </w:t>
      </w:r>
      <w:r w:rsidR="008041D0">
        <w:rPr>
          <w:rFonts w:eastAsia="SimSun"/>
        </w:rPr>
        <w:t xml:space="preserve">and </w:t>
      </w:r>
      <w:r w:rsidR="00BA4072" w:rsidRPr="00274741">
        <w:rPr>
          <w:rFonts w:eastAsia="SimSun"/>
        </w:rPr>
        <w:t>continued at its eighth</w:t>
      </w:r>
      <w:r w:rsidR="00F91168" w:rsidRPr="00274741">
        <w:rPr>
          <w:rFonts w:eastAsia="SimSun"/>
        </w:rPr>
        <w:t xml:space="preserve"> (</w:t>
      </w:r>
      <w:hyperlink r:id="rId10" w:history="1">
        <w:r w:rsidR="00F64FCC">
          <w:rPr>
            <w:rStyle w:val="Hyperlink"/>
            <w:rFonts w:eastAsia="SimSun"/>
          </w:rPr>
          <w:t>d</w:t>
        </w:r>
        <w:r w:rsidR="00F91168" w:rsidRPr="00F64FCC">
          <w:rPr>
            <w:rStyle w:val="Hyperlink"/>
            <w:rFonts w:eastAsia="SimSun"/>
          </w:rPr>
          <w:t>ocument ITH/13/8.COM </w:t>
        </w:r>
        <w:r w:rsidR="00BA4072" w:rsidRPr="00F64FCC">
          <w:rPr>
            <w:rStyle w:val="Hyperlink"/>
            <w:rFonts w:eastAsia="SimSun"/>
          </w:rPr>
          <w:t>13.b</w:t>
        </w:r>
      </w:hyperlink>
      <w:r w:rsidR="00BA4072" w:rsidRPr="00274741">
        <w:rPr>
          <w:rFonts w:eastAsia="SimSun"/>
        </w:rPr>
        <w:t xml:space="preserve">) and ninth </w:t>
      </w:r>
      <w:r w:rsidR="00F91168" w:rsidRPr="00274741">
        <w:rPr>
          <w:rFonts w:eastAsia="SimSun"/>
        </w:rPr>
        <w:t>session</w:t>
      </w:r>
      <w:r w:rsidR="008041D0">
        <w:rPr>
          <w:rFonts w:eastAsia="SimSun"/>
        </w:rPr>
        <w:t>s</w:t>
      </w:r>
      <w:r w:rsidR="00F91168" w:rsidRPr="00274741">
        <w:rPr>
          <w:rFonts w:eastAsia="SimSun"/>
        </w:rPr>
        <w:t xml:space="preserve"> (</w:t>
      </w:r>
      <w:hyperlink r:id="rId11" w:history="1">
        <w:r w:rsidR="00F64FCC">
          <w:rPr>
            <w:rStyle w:val="Hyperlink"/>
            <w:rFonts w:eastAsia="SimSun"/>
          </w:rPr>
          <w:t>d</w:t>
        </w:r>
        <w:bookmarkStart w:id="0" w:name="_GoBack"/>
        <w:bookmarkEnd w:id="0"/>
        <w:r w:rsidR="00F91168" w:rsidRPr="00F64FCC">
          <w:rPr>
            <w:rStyle w:val="Hyperlink"/>
            <w:rFonts w:eastAsia="SimSun"/>
          </w:rPr>
          <w:t>ocument ITH/14/9.COM </w:t>
        </w:r>
        <w:r w:rsidR="00BA4072" w:rsidRPr="00F64FCC">
          <w:rPr>
            <w:rStyle w:val="Hyperlink"/>
            <w:rFonts w:eastAsia="SimSun"/>
          </w:rPr>
          <w:t>13.c</w:t>
        </w:r>
      </w:hyperlink>
      <w:r w:rsidR="00BA4072" w:rsidRPr="00274741">
        <w:rPr>
          <w:rFonts w:eastAsia="SimSun"/>
        </w:rPr>
        <w:t>).</w:t>
      </w:r>
    </w:p>
    <w:p w:rsidR="001B77BD" w:rsidRPr="0077319F" w:rsidRDefault="00274741" w:rsidP="001B77BD">
      <w:pPr>
        <w:pStyle w:val="COMPara"/>
        <w:jc w:val="both"/>
      </w:pPr>
      <w:r>
        <w:rPr>
          <w:rFonts w:eastAsia="SimSun"/>
        </w:rPr>
        <w:t>As has been emphasized repeatedly by the evaluation bodies and the Committee itself, nominations for inscription on the Convention’s Lists are evaluated and examined solely on the basis of the information included within the nomination file and its required annexes such as video</w:t>
      </w:r>
      <w:r w:rsidR="00625CB0">
        <w:rPr>
          <w:rFonts w:eastAsia="SimSun"/>
        </w:rPr>
        <w:t xml:space="preserve"> and</w:t>
      </w:r>
      <w:r>
        <w:rPr>
          <w:rFonts w:eastAsia="SimSun"/>
        </w:rPr>
        <w:t xml:space="preserve"> photographs, </w:t>
      </w:r>
      <w:r w:rsidR="00625CB0">
        <w:rPr>
          <w:rFonts w:eastAsia="SimSun"/>
        </w:rPr>
        <w:t xml:space="preserve">together with </w:t>
      </w:r>
      <w:r>
        <w:rPr>
          <w:rFonts w:eastAsia="SimSun"/>
        </w:rPr>
        <w:t xml:space="preserve">evidence of </w:t>
      </w:r>
      <w:r w:rsidR="00BE2B3C">
        <w:rPr>
          <w:rFonts w:eastAsia="SimSun"/>
        </w:rPr>
        <w:t xml:space="preserve">community free, prior and informed </w:t>
      </w:r>
      <w:r>
        <w:rPr>
          <w:rFonts w:eastAsia="SimSun"/>
        </w:rPr>
        <w:t>consent and of inclusion in an inventory</w:t>
      </w:r>
      <w:r w:rsidR="007E3FB6">
        <w:rPr>
          <w:rFonts w:eastAsia="SimSun"/>
        </w:rPr>
        <w:t>; no judgement is made</w:t>
      </w:r>
      <w:r w:rsidR="00625CB0">
        <w:rPr>
          <w:rFonts w:eastAsia="SimSun"/>
        </w:rPr>
        <w:t xml:space="preserve"> by the bodies or the Committee</w:t>
      </w:r>
      <w:r w:rsidR="007E3FB6">
        <w:rPr>
          <w:rFonts w:eastAsia="SimSun"/>
        </w:rPr>
        <w:t xml:space="preserve"> on the element underlying the nomination</w:t>
      </w:r>
      <w:r>
        <w:rPr>
          <w:rFonts w:eastAsia="SimSun"/>
        </w:rPr>
        <w:t xml:space="preserve">. The submitting State is </w:t>
      </w:r>
      <w:r w:rsidR="00625CB0">
        <w:rPr>
          <w:rFonts w:eastAsia="SimSun"/>
        </w:rPr>
        <w:t>requested</w:t>
      </w:r>
      <w:r>
        <w:rPr>
          <w:rFonts w:eastAsia="SimSun"/>
        </w:rPr>
        <w:t xml:space="preserve"> to provide information to demonstrate that the relevant criteria are satisfied. </w:t>
      </w:r>
      <w:r w:rsidR="007E3FB6">
        <w:rPr>
          <w:rFonts w:eastAsia="SimSun"/>
        </w:rPr>
        <w:t>In the vast majority of cases where an element could not be inscribed, therefore, the evaluation bodies and Committee concluded that the information provided was not adequate to demonstrate that the criteria were satisfied.</w:t>
      </w:r>
    </w:p>
    <w:p w:rsidR="00274741" w:rsidRPr="0077319F" w:rsidRDefault="001B77BD" w:rsidP="001B77BD">
      <w:pPr>
        <w:pStyle w:val="COMPara"/>
        <w:jc w:val="both"/>
      </w:pPr>
      <w:r>
        <w:rPr>
          <w:rFonts w:eastAsia="SimSun"/>
        </w:rPr>
        <w:t xml:space="preserve">Nevertheless, files lacking information led to different results for the two Lists. </w:t>
      </w:r>
      <w:r w:rsidR="00625CB0">
        <w:rPr>
          <w:rFonts w:eastAsia="SimSun"/>
        </w:rPr>
        <w:t xml:space="preserve">In the case of nominations to the </w:t>
      </w:r>
      <w:r w:rsidR="00625CB0" w:rsidRPr="00463A39">
        <w:t>List of Intangible Cultural Heritage in Need of Urgent Safeguarding</w:t>
      </w:r>
      <w:r w:rsidR="00625CB0">
        <w:rPr>
          <w:rFonts w:eastAsia="SimSun"/>
        </w:rPr>
        <w:t>, such a conclusion led to a decision not to inscribe, while in the case of nominations to the Representative List</w:t>
      </w:r>
      <w:r w:rsidR="00625CB0" w:rsidRPr="00625CB0">
        <w:t xml:space="preserve"> </w:t>
      </w:r>
      <w:r w:rsidR="00625CB0" w:rsidRPr="00DA76FD">
        <w:t>of the Intangible Cultural Heritage of Humanity</w:t>
      </w:r>
      <w:r w:rsidR="00625CB0">
        <w:rPr>
          <w:rFonts w:eastAsia="SimSun"/>
        </w:rPr>
        <w:t>, similar circumstances could lead either to a decision not to inscribe or to a decision to refer the nomination to the submitting State for additional information.</w:t>
      </w:r>
    </w:p>
    <w:p w:rsidR="008F6BFC" w:rsidRDefault="00DA76FD" w:rsidP="001B77BD">
      <w:pPr>
        <w:pStyle w:val="COMPara"/>
        <w:jc w:val="both"/>
      </w:pPr>
      <w:r w:rsidRPr="00DA76FD">
        <w:t xml:space="preserve">During its </w:t>
      </w:r>
      <w:r>
        <w:t>ninth</w:t>
      </w:r>
      <w:r w:rsidRPr="00DA76FD">
        <w:t xml:space="preserve"> session, the Committee</w:t>
      </w:r>
      <w:r>
        <w:t xml:space="preserve"> considered </w:t>
      </w:r>
      <w:r w:rsidR="002728B0">
        <w:t xml:space="preserve">proposals to </w:t>
      </w:r>
      <w:r w:rsidRPr="00DA76FD">
        <w:t xml:space="preserve">delete the option </w:t>
      </w:r>
      <w:r w:rsidR="00510549">
        <w:t xml:space="preserve">not to inscribe </w:t>
      </w:r>
      <w:r w:rsidR="002728B0">
        <w:t xml:space="preserve">on the Representative List </w:t>
      </w:r>
      <w:r w:rsidR="00510549">
        <w:t xml:space="preserve">and </w:t>
      </w:r>
      <w:r w:rsidR="002728B0">
        <w:t xml:space="preserve">to </w:t>
      </w:r>
      <w:r w:rsidR="00463A39">
        <w:t xml:space="preserve">extend the referral option to the </w:t>
      </w:r>
      <w:r w:rsidR="00463A39" w:rsidRPr="00463A39">
        <w:t>Urgent Safeguarding</w:t>
      </w:r>
      <w:r w:rsidR="00625CB0">
        <w:t xml:space="preserve"> List</w:t>
      </w:r>
      <w:r w:rsidR="004B6B92">
        <w:t>.</w:t>
      </w:r>
      <w:r w:rsidR="00463A39">
        <w:t xml:space="preserve"> </w:t>
      </w:r>
      <w:r w:rsidR="00625CB0">
        <w:t>It was proposed in Document 9.COM 13.</w:t>
      </w:r>
      <w:r w:rsidR="001B77BD">
        <w:t>c</w:t>
      </w:r>
      <w:r w:rsidR="00625CB0">
        <w:t xml:space="preserve"> that in both cases</w:t>
      </w:r>
      <w:r w:rsidRPr="00DA76FD">
        <w:t xml:space="preserve">, the Committee </w:t>
      </w:r>
      <w:r w:rsidR="001E645A">
        <w:t xml:space="preserve">would </w:t>
      </w:r>
      <w:r w:rsidRPr="00DA76FD">
        <w:t>dec</w:t>
      </w:r>
      <w:r w:rsidR="001E645A">
        <w:t>ide</w:t>
      </w:r>
      <w:r w:rsidRPr="00DA76FD">
        <w:t xml:space="preserve"> whether to inscribe an element on the respective List or whether the nomination should be referred to the submitting State</w:t>
      </w:r>
      <w:r w:rsidR="00510549">
        <w:t>.</w:t>
      </w:r>
      <w:r w:rsidR="00510549" w:rsidRPr="00510549">
        <w:t xml:space="preserve"> </w:t>
      </w:r>
      <w:r w:rsidR="001B77BD">
        <w:t xml:space="preserve">Together with the elimination of the option not to inscribe, </w:t>
      </w:r>
      <w:r w:rsidR="00625CB0">
        <w:t>the document proposed</w:t>
      </w:r>
      <w:r w:rsidR="00510549">
        <w:t xml:space="preserve"> the e</w:t>
      </w:r>
      <w:r w:rsidR="00510549" w:rsidRPr="00510549">
        <w:t xml:space="preserve">limination of the four-year waiting period </w:t>
      </w:r>
      <w:r w:rsidR="00625CB0">
        <w:t xml:space="preserve">for </w:t>
      </w:r>
      <w:r w:rsidR="001B77BD">
        <w:t xml:space="preserve">Representative List </w:t>
      </w:r>
      <w:r w:rsidR="00625CB0">
        <w:t xml:space="preserve">nominations </w:t>
      </w:r>
      <w:r w:rsidR="001B77BD">
        <w:t>that received such a decision</w:t>
      </w:r>
      <w:r w:rsidR="00510549" w:rsidRPr="00510549">
        <w:t>.</w:t>
      </w:r>
    </w:p>
    <w:p w:rsidR="001E645A" w:rsidRPr="001B77BD" w:rsidRDefault="00510549" w:rsidP="001B77BD">
      <w:pPr>
        <w:pStyle w:val="COMPara"/>
        <w:jc w:val="both"/>
        <w:rPr>
          <w:rFonts w:eastAsia="SimSun"/>
        </w:rPr>
      </w:pPr>
      <w:r w:rsidRPr="00510549">
        <w:t xml:space="preserve">Given that nominations to both the Representative List and </w:t>
      </w:r>
      <w:r w:rsidR="002728B0">
        <w:t xml:space="preserve">the </w:t>
      </w:r>
      <w:r w:rsidRPr="00510549">
        <w:t>Urgent Safeguarding List are now to be evaluated by a single Evaluation Body, it seem</w:t>
      </w:r>
      <w:r>
        <w:t>ed</w:t>
      </w:r>
      <w:r w:rsidRPr="00510549">
        <w:t xml:space="preserve"> appropriate </w:t>
      </w:r>
      <w:r w:rsidR="001B77BD">
        <w:t xml:space="preserve">to </w:t>
      </w:r>
      <w:r w:rsidR="002728B0">
        <w:t xml:space="preserve">the </w:t>
      </w:r>
      <w:r w:rsidR="001B77BD">
        <w:t xml:space="preserve">Committee </w:t>
      </w:r>
      <w:r w:rsidRPr="00510549">
        <w:t xml:space="preserve">that the procedures for the two </w:t>
      </w:r>
      <w:r w:rsidR="008041D0">
        <w:t xml:space="preserve">Lists </w:t>
      </w:r>
      <w:r w:rsidRPr="00510549">
        <w:t>be aligned.</w:t>
      </w:r>
      <w:r w:rsidR="00BA4072" w:rsidRPr="001B77BD">
        <w:rPr>
          <w:rFonts w:eastAsia="SimSun"/>
        </w:rPr>
        <w:t xml:space="preserve"> The Committee chose</w:t>
      </w:r>
      <w:r w:rsidR="008A1AEB" w:rsidRPr="001B77BD">
        <w:rPr>
          <w:rFonts w:eastAsia="SimSun"/>
        </w:rPr>
        <w:t xml:space="preserve"> however</w:t>
      </w:r>
      <w:r w:rsidR="00BA4072" w:rsidRPr="001B77BD">
        <w:rPr>
          <w:rFonts w:eastAsia="SimSun"/>
        </w:rPr>
        <w:t xml:space="preserve"> to reserve the option</w:t>
      </w:r>
      <w:r w:rsidR="00FD7B41" w:rsidRPr="001B77BD">
        <w:rPr>
          <w:rFonts w:eastAsia="SimSun"/>
        </w:rPr>
        <w:t xml:space="preserve"> not to</w:t>
      </w:r>
      <w:r w:rsidR="008F6BFC" w:rsidRPr="001B77BD">
        <w:rPr>
          <w:rFonts w:eastAsia="SimSun"/>
        </w:rPr>
        <w:t xml:space="preserve"> inscribe for cases where </w:t>
      </w:r>
      <w:r w:rsidR="001B77BD">
        <w:rPr>
          <w:rFonts w:eastAsia="SimSun"/>
        </w:rPr>
        <w:t xml:space="preserve">the nomination provides </w:t>
      </w:r>
      <w:r w:rsidR="00FD7B41" w:rsidRPr="001B77BD">
        <w:rPr>
          <w:rFonts w:eastAsia="SimSun"/>
        </w:rPr>
        <w:t>suffi</w:t>
      </w:r>
      <w:r w:rsidR="008F6BFC" w:rsidRPr="001B77BD">
        <w:rPr>
          <w:rFonts w:eastAsia="SimSun"/>
        </w:rPr>
        <w:t>cient evidence that</w:t>
      </w:r>
      <w:r w:rsidR="001B77BD">
        <w:rPr>
          <w:rFonts w:eastAsia="SimSun"/>
        </w:rPr>
        <w:t xml:space="preserve"> clearly</w:t>
      </w:r>
      <w:r w:rsidR="008F6BFC" w:rsidRPr="001B77BD">
        <w:rPr>
          <w:rFonts w:eastAsia="SimSun"/>
        </w:rPr>
        <w:t xml:space="preserve"> demonstrates</w:t>
      </w:r>
      <w:r w:rsidR="00FD7B41" w:rsidRPr="001B77BD">
        <w:rPr>
          <w:rFonts w:eastAsia="SimSun"/>
        </w:rPr>
        <w:t xml:space="preserve"> that the criterion </w:t>
      </w:r>
      <w:r w:rsidR="001F5564" w:rsidRPr="001B77BD">
        <w:rPr>
          <w:rFonts w:eastAsia="SimSun"/>
        </w:rPr>
        <w:t>is</w:t>
      </w:r>
      <w:r w:rsidR="00FD7B41" w:rsidRPr="001B77BD">
        <w:rPr>
          <w:rFonts w:eastAsia="SimSun"/>
        </w:rPr>
        <w:t xml:space="preserve"> not satisfied.</w:t>
      </w:r>
    </w:p>
    <w:p w:rsidR="00301BE5" w:rsidRPr="008F6BFC" w:rsidRDefault="008A1AEB" w:rsidP="00046E01">
      <w:pPr>
        <w:pStyle w:val="COMPara"/>
        <w:jc w:val="both"/>
        <w:rPr>
          <w:rFonts w:eastAsia="SimSun"/>
        </w:rPr>
      </w:pPr>
      <w:r w:rsidRPr="008F6BFC">
        <w:rPr>
          <w:rFonts w:eastAsia="SimSun"/>
        </w:rPr>
        <w:t>T</w:t>
      </w:r>
      <w:r w:rsidR="00301BE5" w:rsidRPr="008F6BFC">
        <w:rPr>
          <w:rFonts w:eastAsia="SimSun"/>
        </w:rPr>
        <w:t xml:space="preserve">he Committee </w:t>
      </w:r>
      <w:r w:rsidR="001B77BD">
        <w:rPr>
          <w:rFonts w:eastAsia="SimSun"/>
        </w:rPr>
        <w:t xml:space="preserve">accordingly decided </w:t>
      </w:r>
      <w:r w:rsidR="00F91168" w:rsidRPr="008F6BFC">
        <w:rPr>
          <w:rFonts w:eastAsia="SimSun"/>
        </w:rPr>
        <w:t>at its ninth</w:t>
      </w:r>
      <w:r w:rsidRPr="008F6BFC">
        <w:rPr>
          <w:rFonts w:eastAsia="SimSun"/>
        </w:rPr>
        <w:t xml:space="preserve"> session </w:t>
      </w:r>
      <w:r w:rsidR="00301BE5" w:rsidRPr="008F6BFC">
        <w:rPr>
          <w:rFonts w:eastAsia="SimSun"/>
        </w:rPr>
        <w:t xml:space="preserve">that the referral option should be extended to the List of Intangible Cultural Heritage in Need of Urgent Safeguarding and </w:t>
      </w:r>
      <w:r w:rsidR="002728B0">
        <w:rPr>
          <w:rFonts w:eastAsia="SimSun"/>
        </w:rPr>
        <w:t xml:space="preserve">that </w:t>
      </w:r>
      <w:r w:rsidR="001B77BD">
        <w:rPr>
          <w:rFonts w:eastAsia="SimSun"/>
        </w:rPr>
        <w:t>the four year waiting period should be deleted,</w:t>
      </w:r>
      <w:r w:rsidR="008F6BFC" w:rsidRPr="008F6BFC">
        <w:rPr>
          <w:rFonts w:eastAsia="SimSun"/>
        </w:rPr>
        <w:t xml:space="preserve"> </w:t>
      </w:r>
      <w:r w:rsidR="00046E01">
        <w:rPr>
          <w:rFonts w:eastAsia="SimSun"/>
        </w:rPr>
        <w:t>while retaining the possibility not to inscribe an element</w:t>
      </w:r>
      <w:r w:rsidR="002728B0">
        <w:rPr>
          <w:rFonts w:eastAsia="SimSun"/>
        </w:rPr>
        <w:t xml:space="preserve">. Accordingly, </w:t>
      </w:r>
      <w:r w:rsidR="001B77BD">
        <w:rPr>
          <w:rFonts w:eastAsia="SimSun"/>
        </w:rPr>
        <w:t xml:space="preserve">it </w:t>
      </w:r>
      <w:r w:rsidR="008F6BFC" w:rsidRPr="008F6BFC">
        <w:rPr>
          <w:rFonts w:eastAsia="SimSun"/>
        </w:rPr>
        <w:t>requested the Secretariat to propose a draft text of amendments to the Operational Directives accordingly</w:t>
      </w:r>
      <w:r w:rsidR="001B77BD">
        <w:rPr>
          <w:rFonts w:eastAsia="SimSun"/>
        </w:rPr>
        <w:t xml:space="preserve"> </w:t>
      </w:r>
      <w:r w:rsidR="001B77BD" w:rsidRPr="008F6BFC">
        <w:rPr>
          <w:rFonts w:eastAsia="SimSun"/>
        </w:rPr>
        <w:t>(Decision 9.COM 13.c)</w:t>
      </w:r>
      <w:r w:rsidR="00DA76FD" w:rsidRPr="008F6BFC">
        <w:rPr>
          <w:rFonts w:eastAsia="SimSun"/>
        </w:rPr>
        <w:t>.</w:t>
      </w:r>
      <w:r w:rsidR="00356F96" w:rsidRPr="008F6BFC">
        <w:rPr>
          <w:rFonts w:eastAsia="SimSun"/>
        </w:rPr>
        <w:t xml:space="preserve"> </w:t>
      </w:r>
      <w:r w:rsidR="001B77BD">
        <w:rPr>
          <w:rFonts w:eastAsia="SimSun"/>
        </w:rPr>
        <w:t xml:space="preserve">A proposal of such amendments is provided in the Annex to the present document. </w:t>
      </w:r>
      <w:r w:rsidR="00356F96" w:rsidRPr="008F6BFC">
        <w:rPr>
          <w:rFonts w:eastAsia="SimSun"/>
        </w:rPr>
        <w:t>At the same time</w:t>
      </w:r>
      <w:r w:rsidR="001B77BD">
        <w:rPr>
          <w:rFonts w:eastAsia="SimSun"/>
        </w:rPr>
        <w:t>,</w:t>
      </w:r>
      <w:r w:rsidR="00356F96" w:rsidRPr="008F6BFC">
        <w:rPr>
          <w:rFonts w:eastAsia="SimSun"/>
        </w:rPr>
        <w:t xml:space="preserve"> </w:t>
      </w:r>
      <w:r w:rsidR="001B77BD">
        <w:rPr>
          <w:rFonts w:eastAsia="SimSun"/>
        </w:rPr>
        <w:t>the Committee</w:t>
      </w:r>
      <w:r w:rsidR="001B77BD" w:rsidRPr="008F6BFC">
        <w:rPr>
          <w:rFonts w:eastAsia="SimSun"/>
        </w:rPr>
        <w:t xml:space="preserve"> </w:t>
      </w:r>
      <w:r w:rsidR="00356F96" w:rsidRPr="008F6BFC">
        <w:rPr>
          <w:rFonts w:eastAsia="SimSun"/>
        </w:rPr>
        <w:t>emphasized that a decision to refer a nomination to the submitting State should in no way be understood to imply or guarantee that the element will be inscribed in the future.</w:t>
      </w:r>
    </w:p>
    <w:p w:rsidR="006723D4" w:rsidRPr="00DA76FD" w:rsidRDefault="006723D4" w:rsidP="00046E01">
      <w:pPr>
        <w:pStyle w:val="COMPara"/>
        <w:jc w:val="both"/>
      </w:pPr>
      <w:r>
        <w:t>In addition to the revisions specifically requested by the Committee</w:t>
      </w:r>
      <w:r w:rsidR="00046E01">
        <w:t>,</w:t>
      </w:r>
      <w:r>
        <w:t xml:space="preserve"> </w:t>
      </w:r>
      <w:r w:rsidRPr="006723D4">
        <w:t>additional revisions are proposed</w:t>
      </w:r>
      <w:r w:rsidR="00F91168">
        <w:t xml:space="preserve"> to extend the referral o</w:t>
      </w:r>
      <w:r>
        <w:t xml:space="preserve">ption </w:t>
      </w:r>
      <w:r w:rsidR="008F6BFC">
        <w:t xml:space="preserve">to </w:t>
      </w:r>
      <w:r w:rsidR="00046E01">
        <w:t xml:space="preserve">proposals to the Register of Best Safeguarding Practices and to requests for </w:t>
      </w:r>
      <w:r>
        <w:t>international assistance</w:t>
      </w:r>
      <w:r w:rsidR="00772605">
        <w:t>, in the interests of coherency and simplicity</w:t>
      </w:r>
      <w:r>
        <w:t>.</w:t>
      </w:r>
    </w:p>
    <w:p w:rsidR="00D95C4C" w:rsidRPr="00EA528C" w:rsidRDefault="000B1C8F" w:rsidP="0077319F">
      <w:pPr>
        <w:pStyle w:val="COMPara"/>
        <w:keepNext/>
        <w:jc w:val="both"/>
      </w:pPr>
      <w:r w:rsidRPr="000B1C8F">
        <w:lastRenderedPageBreak/>
        <w:t xml:space="preserve">The Committee may wish </w:t>
      </w:r>
      <w:r>
        <w:t>to adopt the following decision</w:t>
      </w:r>
      <w:r w:rsidR="00D95C4C" w:rsidRPr="00EA528C">
        <w:t>:</w:t>
      </w:r>
    </w:p>
    <w:p w:rsidR="00D95C4C" w:rsidRPr="00FD624F" w:rsidRDefault="004A34A0" w:rsidP="00041A66">
      <w:pPr>
        <w:pStyle w:val="COMTitleDecision"/>
        <w:rPr>
          <w:rFonts w:eastAsia="SimSun"/>
        </w:rPr>
      </w:pPr>
      <w:r>
        <w:t xml:space="preserve">DRAFT </w:t>
      </w:r>
      <w:r w:rsidR="00D8250F">
        <w:t>DECISION 10</w:t>
      </w:r>
      <w:r w:rsidR="00EC6F8D">
        <w:t>.COM</w:t>
      </w:r>
      <w:r w:rsidR="00D95C4C" w:rsidRPr="00FD624F">
        <w:t xml:space="preserve"> </w:t>
      </w:r>
      <w:r w:rsidR="006D71D2">
        <w:t>14</w:t>
      </w:r>
      <w:r w:rsidR="006723D4">
        <w:t>.b</w:t>
      </w:r>
    </w:p>
    <w:p w:rsidR="00D95C4C" w:rsidRPr="00285BB4" w:rsidRDefault="00285BB4" w:rsidP="00285BB4">
      <w:pPr>
        <w:pStyle w:val="COMPreambulaDecisions"/>
        <w:rPr>
          <w:rFonts w:eastAsia="SimSun"/>
        </w:rPr>
      </w:pPr>
      <w:r w:rsidRPr="00285BB4">
        <w:t>The Committee,</w:t>
      </w:r>
    </w:p>
    <w:p w:rsidR="0057439C" w:rsidRPr="00345CB4" w:rsidRDefault="00D95C4C" w:rsidP="00345CB4">
      <w:pPr>
        <w:pStyle w:val="COMParaDecision"/>
      </w:pPr>
      <w:r w:rsidRPr="00345CB4">
        <w:t>Having examined</w:t>
      </w:r>
      <w:r w:rsidRPr="00F32C23">
        <w:rPr>
          <w:u w:val="none"/>
        </w:rPr>
        <w:t xml:space="preserve"> doc</w:t>
      </w:r>
      <w:r w:rsidR="00D8250F">
        <w:rPr>
          <w:u w:val="none"/>
        </w:rPr>
        <w:t>ument ITH/15/10</w:t>
      </w:r>
      <w:r w:rsidR="00EC6F8D" w:rsidRPr="00F32C23">
        <w:rPr>
          <w:u w:val="none"/>
        </w:rPr>
        <w:t>.COM</w:t>
      </w:r>
      <w:r w:rsidR="004A34A0" w:rsidRPr="00F32C23">
        <w:rPr>
          <w:u w:val="none"/>
        </w:rPr>
        <w:t>/</w:t>
      </w:r>
      <w:r w:rsidR="006D71D2">
        <w:rPr>
          <w:u w:val="none"/>
        </w:rPr>
        <w:t>14</w:t>
      </w:r>
      <w:r w:rsidR="006723D4">
        <w:rPr>
          <w:u w:val="none"/>
        </w:rPr>
        <w:t>.b</w:t>
      </w:r>
      <w:r w:rsidRPr="00F32C23">
        <w:rPr>
          <w:u w:val="none"/>
        </w:rPr>
        <w:t>,</w:t>
      </w:r>
    </w:p>
    <w:p w:rsidR="00333DB2" w:rsidRPr="00356F96" w:rsidRDefault="00333DB2" w:rsidP="00772605">
      <w:pPr>
        <w:pStyle w:val="COMParaDecision"/>
        <w:rPr>
          <w:u w:val="none"/>
        </w:rPr>
      </w:pPr>
      <w:r w:rsidRPr="00356F96">
        <w:t>Recalling</w:t>
      </w:r>
      <w:r w:rsidRPr="0077319F">
        <w:rPr>
          <w:u w:val="none"/>
        </w:rPr>
        <w:t xml:space="preserve"> </w:t>
      </w:r>
      <w:r w:rsidR="00BD364E">
        <w:rPr>
          <w:u w:val="none"/>
        </w:rPr>
        <w:t>Resolution 4.GA</w:t>
      </w:r>
      <w:r w:rsidR="00BD364E" w:rsidRPr="00356F96">
        <w:rPr>
          <w:u w:val="none"/>
        </w:rPr>
        <w:t> </w:t>
      </w:r>
      <w:r w:rsidR="00BD364E">
        <w:rPr>
          <w:u w:val="none"/>
        </w:rPr>
        <w:t>5 and Decisions 7.COM</w:t>
      </w:r>
      <w:r w:rsidR="00BD364E" w:rsidRPr="00356F96">
        <w:rPr>
          <w:u w:val="none"/>
        </w:rPr>
        <w:t> </w:t>
      </w:r>
      <w:r w:rsidR="00BD364E">
        <w:rPr>
          <w:u w:val="none"/>
        </w:rPr>
        <w:t>13.a, 8.COM</w:t>
      </w:r>
      <w:r w:rsidR="00BD364E" w:rsidRPr="00356F96">
        <w:rPr>
          <w:u w:val="none"/>
        </w:rPr>
        <w:t> </w:t>
      </w:r>
      <w:r w:rsidR="00356F96" w:rsidRPr="00356F96">
        <w:rPr>
          <w:u w:val="none"/>
        </w:rPr>
        <w:t>13.b and 9.COM 13.c</w:t>
      </w:r>
      <w:r w:rsidRPr="00356F96">
        <w:rPr>
          <w:u w:val="none"/>
        </w:rPr>
        <w:t>,</w:t>
      </w:r>
    </w:p>
    <w:p w:rsidR="00D8250F" w:rsidRDefault="00333DB2" w:rsidP="00046E01">
      <w:pPr>
        <w:pStyle w:val="COMParaDecision"/>
        <w:rPr>
          <w:u w:val="none"/>
        </w:rPr>
      </w:pPr>
      <w:r w:rsidRPr="00356F96">
        <w:t>Recommends</w:t>
      </w:r>
      <w:r w:rsidRPr="0077319F">
        <w:rPr>
          <w:u w:val="none"/>
        </w:rPr>
        <w:t xml:space="preserve"> </w:t>
      </w:r>
      <w:r w:rsidRPr="00356F96">
        <w:rPr>
          <w:u w:val="none"/>
        </w:rPr>
        <w:t>to the General Assembly to approve the amendments to the Operational Directive</w:t>
      </w:r>
      <w:r w:rsidR="00356F96">
        <w:rPr>
          <w:u w:val="none"/>
        </w:rPr>
        <w:t>s, as annexed to this decision.</w:t>
      </w:r>
    </w:p>
    <w:p w:rsidR="00F91168" w:rsidRDefault="00F91168" w:rsidP="00F91168">
      <w:pPr>
        <w:pStyle w:val="COMParaDecision"/>
        <w:numPr>
          <w:ilvl w:val="0"/>
          <w:numId w:val="0"/>
        </w:numPr>
        <w:ind w:left="1134"/>
        <w:rPr>
          <w:u w:val="none"/>
        </w:rPr>
        <w:sectPr w:rsidR="00F91168"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pPr>
    </w:p>
    <w:tbl>
      <w:tblPr>
        <w:tblW w:w="15454" w:type="dxa"/>
        <w:tblInd w:w="-602" w:type="dxa"/>
        <w:tblLayout w:type="fixed"/>
        <w:tblCellMar>
          <w:top w:w="57" w:type="dxa"/>
          <w:bottom w:w="57" w:type="dxa"/>
        </w:tblCellMar>
        <w:tblLook w:val="04A0" w:firstRow="1" w:lastRow="0" w:firstColumn="1" w:lastColumn="0" w:noHBand="0" w:noVBand="1"/>
      </w:tblPr>
      <w:tblGrid>
        <w:gridCol w:w="1083"/>
        <w:gridCol w:w="6860"/>
        <w:gridCol w:w="850"/>
        <w:gridCol w:w="6661"/>
      </w:tblGrid>
      <w:tr w:rsidR="00F91168" w:rsidRPr="00A96E77" w:rsidTr="003B4CA8">
        <w:trPr>
          <w:cantSplit/>
        </w:trPr>
        <w:tc>
          <w:tcPr>
            <w:tcW w:w="1083" w:type="dxa"/>
            <w:shd w:val="clear" w:color="auto" w:fill="auto"/>
          </w:tcPr>
          <w:p w:rsidR="00F91168" w:rsidRPr="009D2FCA" w:rsidRDefault="00F91168" w:rsidP="003B4CA8">
            <w:pPr>
              <w:spacing w:before="120" w:after="120"/>
              <w:jc w:val="center"/>
              <w:rPr>
                <w:rFonts w:ascii="Arial" w:hAnsi="Arial" w:cs="Arial"/>
                <w:b/>
                <w:bCs/>
                <w:sz w:val="22"/>
                <w:szCs w:val="22"/>
                <w:lang w:val="en-GB"/>
              </w:rPr>
            </w:pPr>
          </w:p>
        </w:tc>
        <w:tc>
          <w:tcPr>
            <w:tcW w:w="6860" w:type="dxa"/>
            <w:shd w:val="clear" w:color="auto" w:fill="auto"/>
          </w:tcPr>
          <w:p w:rsidR="00F91168" w:rsidRPr="009D2FCA" w:rsidRDefault="008041D0" w:rsidP="00D73A13">
            <w:pPr>
              <w:spacing w:before="120" w:after="120"/>
              <w:jc w:val="both"/>
              <w:rPr>
                <w:rFonts w:ascii="Arial" w:hAnsi="Arial" w:cs="Arial"/>
                <w:b/>
                <w:bCs/>
                <w:sz w:val="22"/>
                <w:szCs w:val="22"/>
                <w:lang w:val="en-GB"/>
              </w:rPr>
            </w:pPr>
            <w:r>
              <w:rPr>
                <w:rFonts w:ascii="Arial" w:hAnsi="Arial" w:cs="Arial"/>
                <w:b/>
                <w:bCs/>
                <w:sz w:val="22"/>
                <w:szCs w:val="22"/>
                <w:u w:val="single"/>
                <w:lang w:val="en-GB"/>
              </w:rPr>
              <w:t xml:space="preserve">Current text of the </w:t>
            </w:r>
            <w:r w:rsidR="00F91168" w:rsidRPr="009D2FCA">
              <w:rPr>
                <w:rFonts w:ascii="Arial" w:hAnsi="Arial" w:cs="Arial"/>
                <w:b/>
                <w:bCs/>
                <w:sz w:val="22"/>
                <w:szCs w:val="22"/>
                <w:u w:val="single"/>
                <w:lang w:val="en-GB"/>
              </w:rPr>
              <w:t xml:space="preserve">Operational </w:t>
            </w:r>
            <w:r>
              <w:rPr>
                <w:rFonts w:ascii="Arial" w:hAnsi="Arial" w:cs="Arial"/>
                <w:b/>
                <w:bCs/>
                <w:sz w:val="22"/>
                <w:szCs w:val="22"/>
                <w:u w:val="single"/>
                <w:lang w:val="en-GB"/>
              </w:rPr>
              <w:t>D</w:t>
            </w:r>
            <w:r w:rsidR="00F91168" w:rsidRPr="009D2FCA">
              <w:rPr>
                <w:rFonts w:ascii="Arial" w:hAnsi="Arial" w:cs="Arial"/>
                <w:b/>
                <w:bCs/>
                <w:sz w:val="22"/>
                <w:szCs w:val="22"/>
                <w:u w:val="single"/>
                <w:lang w:val="en-GB"/>
              </w:rPr>
              <w:t>irectives</w:t>
            </w:r>
          </w:p>
        </w:tc>
        <w:tc>
          <w:tcPr>
            <w:tcW w:w="850" w:type="dxa"/>
          </w:tcPr>
          <w:p w:rsidR="00F91168" w:rsidRPr="009D2FCA" w:rsidRDefault="00F91168" w:rsidP="00D73A13">
            <w:pPr>
              <w:spacing w:before="120" w:after="120"/>
              <w:jc w:val="right"/>
              <w:rPr>
                <w:rFonts w:ascii="Arial" w:hAnsi="Arial" w:cs="Arial"/>
                <w:b/>
                <w:bCs/>
                <w:sz w:val="22"/>
                <w:szCs w:val="22"/>
                <w:lang w:val="en-GB"/>
              </w:rPr>
            </w:pPr>
          </w:p>
        </w:tc>
        <w:tc>
          <w:tcPr>
            <w:tcW w:w="6661" w:type="dxa"/>
          </w:tcPr>
          <w:p w:rsidR="00F91168" w:rsidRPr="00DD7D44" w:rsidRDefault="00F91168" w:rsidP="00AF37D2">
            <w:pPr>
              <w:spacing w:before="120" w:after="120"/>
              <w:jc w:val="both"/>
              <w:rPr>
                <w:rFonts w:ascii="Arial" w:hAnsi="Arial" w:cs="Arial"/>
                <w:sz w:val="22"/>
                <w:szCs w:val="22"/>
                <w:lang w:val="en-GB"/>
              </w:rPr>
            </w:pPr>
            <w:r w:rsidRPr="009D2FCA">
              <w:rPr>
                <w:rFonts w:ascii="Arial" w:hAnsi="Arial" w:cs="Arial"/>
                <w:b/>
                <w:bCs/>
                <w:sz w:val="22"/>
                <w:szCs w:val="22"/>
                <w:u w:val="single"/>
                <w:lang w:val="en-GB"/>
              </w:rPr>
              <w:t>Proposed amendments</w:t>
            </w:r>
            <w:r w:rsidR="008041D0">
              <w:rPr>
                <w:rFonts w:ascii="Arial" w:hAnsi="Arial" w:cs="Arial"/>
                <w:b/>
                <w:bCs/>
                <w:sz w:val="22"/>
                <w:szCs w:val="22"/>
                <w:u w:val="single"/>
                <w:lang w:val="en-GB"/>
              </w:rPr>
              <w:t xml:space="preserve"> </w:t>
            </w:r>
          </w:p>
        </w:tc>
      </w:tr>
      <w:tr w:rsidR="00256FDD" w:rsidRPr="00A6726D" w:rsidTr="003B4CA8">
        <w:trPr>
          <w:cantSplit/>
        </w:trPr>
        <w:tc>
          <w:tcPr>
            <w:tcW w:w="1083" w:type="dxa"/>
            <w:shd w:val="clear" w:color="auto" w:fill="auto"/>
          </w:tcPr>
          <w:p w:rsidR="00256FDD" w:rsidRPr="00256FDD" w:rsidRDefault="00256FDD" w:rsidP="00D73A13">
            <w:pPr>
              <w:spacing w:before="120" w:after="120"/>
              <w:jc w:val="right"/>
              <w:rPr>
                <w:rFonts w:ascii="Arial" w:hAnsi="Arial" w:cs="Arial"/>
                <w:sz w:val="22"/>
                <w:szCs w:val="22"/>
                <w:lang w:val="en-GB"/>
              </w:rPr>
            </w:pPr>
            <w:r w:rsidRPr="00256FDD">
              <w:rPr>
                <w:rFonts w:ascii="Arial" w:hAnsi="Arial" w:cs="Arial"/>
                <w:sz w:val="22"/>
                <w:szCs w:val="22"/>
                <w:lang w:val="en-GB"/>
              </w:rPr>
              <w:t>30</w:t>
            </w:r>
            <w:r>
              <w:rPr>
                <w:rFonts w:ascii="Arial" w:hAnsi="Arial" w:cs="Arial"/>
                <w:sz w:val="22"/>
                <w:szCs w:val="22"/>
                <w:lang w:val="en-GB"/>
              </w:rPr>
              <w:t>.</w:t>
            </w:r>
          </w:p>
        </w:tc>
        <w:tc>
          <w:tcPr>
            <w:tcW w:w="6860" w:type="dxa"/>
            <w:shd w:val="clear" w:color="auto" w:fill="auto"/>
          </w:tcPr>
          <w:p w:rsidR="00256FDD" w:rsidRPr="00256FDD" w:rsidRDefault="00256FDD" w:rsidP="00256FDD">
            <w:pPr>
              <w:spacing w:before="120" w:after="120"/>
              <w:jc w:val="both"/>
              <w:rPr>
                <w:rFonts w:ascii="Arial" w:hAnsi="Arial" w:cs="Arial"/>
                <w:sz w:val="22"/>
                <w:szCs w:val="22"/>
                <w:lang w:val="en-GB"/>
              </w:rPr>
            </w:pPr>
            <w:r w:rsidRPr="00256FDD">
              <w:rPr>
                <w:rFonts w:ascii="Arial" w:hAnsi="Arial" w:cs="Arial"/>
                <w:sz w:val="22"/>
                <w:szCs w:val="22"/>
                <w:lang w:val="en-GB"/>
              </w:rPr>
              <w:t>The Evaluation Body shall submit to the Committee an evaluation report that includes a recommendation:</w:t>
            </w:r>
          </w:p>
          <w:p w:rsidR="00256FDD" w:rsidRPr="00256FDD" w:rsidRDefault="00256FDD" w:rsidP="00190902">
            <w:pPr>
              <w:numPr>
                <w:ilvl w:val="0"/>
                <w:numId w:val="7"/>
              </w:numPr>
              <w:spacing w:before="120" w:after="120"/>
              <w:jc w:val="both"/>
              <w:rPr>
                <w:rFonts w:ascii="Arial" w:hAnsi="Arial" w:cs="Arial"/>
                <w:sz w:val="22"/>
                <w:szCs w:val="22"/>
                <w:lang w:val="en-GB"/>
              </w:rPr>
            </w:pPr>
            <w:r w:rsidRPr="00256FDD">
              <w:rPr>
                <w:rFonts w:ascii="Arial" w:hAnsi="Arial" w:cs="Arial"/>
                <w:sz w:val="22"/>
                <w:szCs w:val="22"/>
                <w:lang w:val="en-GB"/>
              </w:rPr>
              <w:t>to inscribe or not to inscribe the nominated element on the List of Intangible Cultural Heritage in Need of Urgent Safeguarding;</w:t>
            </w:r>
          </w:p>
          <w:p w:rsidR="00256FDD" w:rsidRPr="00256FDD" w:rsidRDefault="00256FDD" w:rsidP="00190902">
            <w:pPr>
              <w:numPr>
                <w:ilvl w:val="0"/>
                <w:numId w:val="7"/>
              </w:numPr>
              <w:spacing w:before="120" w:after="120"/>
              <w:jc w:val="both"/>
              <w:rPr>
                <w:rFonts w:ascii="Arial" w:hAnsi="Arial" w:cs="Arial"/>
                <w:sz w:val="22"/>
                <w:szCs w:val="22"/>
                <w:lang w:val="en-GB"/>
              </w:rPr>
            </w:pPr>
            <w:r w:rsidRPr="00256FDD">
              <w:rPr>
                <w:rFonts w:ascii="Arial" w:hAnsi="Arial" w:cs="Arial"/>
                <w:sz w:val="22"/>
                <w:szCs w:val="22"/>
                <w:lang w:val="en-GB"/>
              </w:rPr>
              <w:t>to inscribe or not to inscribe the nominated element on the Representative List of the Intangible Cultural Heritage of Humanity, or to refer the nomination to the submitting State(s) for additional information;</w:t>
            </w:r>
          </w:p>
          <w:p w:rsidR="00256FDD" w:rsidRPr="00256FDD" w:rsidRDefault="00256FDD" w:rsidP="00190902">
            <w:pPr>
              <w:numPr>
                <w:ilvl w:val="0"/>
                <w:numId w:val="7"/>
              </w:numPr>
              <w:spacing w:before="120" w:after="120"/>
              <w:jc w:val="both"/>
              <w:rPr>
                <w:rFonts w:ascii="Arial" w:hAnsi="Arial" w:cs="Arial"/>
                <w:sz w:val="22"/>
                <w:szCs w:val="22"/>
                <w:lang w:val="en-GB"/>
              </w:rPr>
            </w:pPr>
            <w:r w:rsidRPr="00256FDD">
              <w:rPr>
                <w:rFonts w:ascii="Arial" w:hAnsi="Arial" w:cs="Arial"/>
                <w:sz w:val="22"/>
                <w:szCs w:val="22"/>
                <w:lang w:val="en-GB"/>
              </w:rPr>
              <w:t>to select or not to select the proposed programme, project or activity; or</w:t>
            </w:r>
          </w:p>
          <w:p w:rsidR="00256FDD" w:rsidRPr="00256FDD" w:rsidRDefault="00256FDD" w:rsidP="00190902">
            <w:pPr>
              <w:numPr>
                <w:ilvl w:val="0"/>
                <w:numId w:val="7"/>
              </w:numPr>
              <w:spacing w:before="120" w:after="120"/>
              <w:jc w:val="both"/>
              <w:rPr>
                <w:rFonts w:ascii="Arial" w:hAnsi="Arial" w:cs="Arial"/>
                <w:sz w:val="22"/>
                <w:szCs w:val="22"/>
                <w:lang w:val="en-GB"/>
              </w:rPr>
            </w:pPr>
            <w:proofErr w:type="gramStart"/>
            <w:r w:rsidRPr="00256FDD">
              <w:rPr>
                <w:rFonts w:ascii="Arial" w:hAnsi="Arial" w:cs="Arial"/>
                <w:sz w:val="22"/>
                <w:szCs w:val="22"/>
                <w:lang w:val="en-GB"/>
              </w:rPr>
              <w:t>to</w:t>
            </w:r>
            <w:proofErr w:type="gramEnd"/>
            <w:r w:rsidRPr="00256FDD">
              <w:rPr>
                <w:rFonts w:ascii="Arial" w:hAnsi="Arial" w:cs="Arial"/>
                <w:sz w:val="22"/>
                <w:szCs w:val="22"/>
                <w:lang w:val="en-GB"/>
              </w:rPr>
              <w:t xml:space="preserve"> approve or not to approve the international assistance request.</w:t>
            </w:r>
          </w:p>
        </w:tc>
        <w:tc>
          <w:tcPr>
            <w:tcW w:w="850" w:type="dxa"/>
          </w:tcPr>
          <w:p w:rsidR="00256FDD" w:rsidRPr="00772605" w:rsidRDefault="00046E01" w:rsidP="00D73A13">
            <w:pPr>
              <w:spacing w:before="120" w:after="120"/>
              <w:jc w:val="right"/>
              <w:rPr>
                <w:rFonts w:ascii="Arial" w:hAnsi="Arial" w:cs="Arial"/>
                <w:sz w:val="22"/>
                <w:szCs w:val="22"/>
                <w:lang w:val="en-GB"/>
              </w:rPr>
            </w:pPr>
            <w:r w:rsidRPr="00772605">
              <w:rPr>
                <w:rFonts w:ascii="Arial" w:hAnsi="Arial" w:cs="Arial"/>
                <w:sz w:val="22"/>
                <w:szCs w:val="22"/>
                <w:lang w:val="en-GB"/>
              </w:rPr>
              <w:t>30.</w:t>
            </w:r>
          </w:p>
        </w:tc>
        <w:tc>
          <w:tcPr>
            <w:tcW w:w="6661" w:type="dxa"/>
          </w:tcPr>
          <w:p w:rsidR="00256FDD" w:rsidRPr="00256FDD" w:rsidRDefault="00256FDD" w:rsidP="00256FDD">
            <w:pPr>
              <w:spacing w:before="120" w:after="120"/>
              <w:jc w:val="both"/>
              <w:rPr>
                <w:rFonts w:ascii="Arial" w:hAnsi="Arial" w:cs="Arial"/>
                <w:sz w:val="22"/>
                <w:szCs w:val="22"/>
                <w:lang w:val="en-GB"/>
              </w:rPr>
            </w:pPr>
            <w:r w:rsidRPr="00256FDD">
              <w:rPr>
                <w:rFonts w:ascii="Arial" w:hAnsi="Arial" w:cs="Arial"/>
                <w:sz w:val="22"/>
                <w:szCs w:val="22"/>
                <w:lang w:val="en-GB"/>
              </w:rPr>
              <w:t>The Evaluation Body shall submit to the Committee an evaluation report that includes a recommendation:</w:t>
            </w:r>
          </w:p>
          <w:p w:rsidR="00AF37D2" w:rsidRPr="00AF37D2" w:rsidRDefault="00AF37D2" w:rsidP="00AF37D2">
            <w:pPr>
              <w:numPr>
                <w:ilvl w:val="0"/>
                <w:numId w:val="7"/>
              </w:numPr>
              <w:spacing w:before="120" w:after="120"/>
              <w:jc w:val="both"/>
              <w:rPr>
                <w:rFonts w:ascii="Arial" w:hAnsi="Arial" w:cs="Arial"/>
                <w:strike/>
                <w:sz w:val="22"/>
                <w:szCs w:val="22"/>
                <w:lang w:val="en-GB"/>
              </w:rPr>
            </w:pPr>
            <w:r w:rsidRPr="00AF37D2">
              <w:rPr>
                <w:rFonts w:ascii="Arial" w:hAnsi="Arial" w:cs="Arial"/>
                <w:strike/>
                <w:sz w:val="22"/>
                <w:szCs w:val="22"/>
                <w:lang w:val="en-GB"/>
              </w:rPr>
              <w:t>to inscribe or not to inscribe the nominated element on the List of Intangible Cultural Heritage in Need of Urgent Safeguarding;</w:t>
            </w:r>
          </w:p>
          <w:p w:rsidR="00AF37D2" w:rsidRPr="00AF37D2" w:rsidRDefault="00AF37D2" w:rsidP="00AF37D2">
            <w:pPr>
              <w:numPr>
                <w:ilvl w:val="0"/>
                <w:numId w:val="7"/>
              </w:numPr>
              <w:spacing w:before="120" w:after="120"/>
              <w:jc w:val="both"/>
              <w:rPr>
                <w:rFonts w:ascii="Arial" w:hAnsi="Arial" w:cs="Arial"/>
                <w:strike/>
                <w:sz w:val="22"/>
                <w:szCs w:val="22"/>
                <w:lang w:val="en-GB"/>
              </w:rPr>
            </w:pPr>
            <w:r w:rsidRPr="00AF37D2">
              <w:rPr>
                <w:rFonts w:ascii="Arial" w:hAnsi="Arial" w:cs="Arial"/>
                <w:strike/>
                <w:sz w:val="22"/>
                <w:szCs w:val="22"/>
                <w:lang w:val="en-GB"/>
              </w:rPr>
              <w:t>to inscribe or not to inscribe the nominated element on the Representative List of the Intangible Cultural Heritage of Humanity, or to refer the nomination to the submitting State(s) for additional information;</w:t>
            </w:r>
          </w:p>
          <w:p w:rsidR="00256FDD" w:rsidRPr="00256FDD" w:rsidRDefault="00256FDD" w:rsidP="00772605">
            <w:pPr>
              <w:numPr>
                <w:ilvl w:val="0"/>
                <w:numId w:val="7"/>
              </w:numPr>
              <w:jc w:val="both"/>
              <w:rPr>
                <w:rFonts w:ascii="Arial" w:hAnsi="Arial" w:cs="Arial"/>
                <w:strike/>
                <w:sz w:val="22"/>
                <w:szCs w:val="22"/>
                <w:lang w:val="en-GB"/>
              </w:rPr>
            </w:pPr>
            <w:r w:rsidRPr="00AF37D2">
              <w:rPr>
                <w:rFonts w:ascii="Arial" w:hAnsi="Arial" w:cs="Arial"/>
                <w:b/>
                <w:sz w:val="22"/>
                <w:szCs w:val="22"/>
                <w:u w:val="single"/>
                <w:lang w:val="en-GB"/>
              </w:rPr>
              <w:t>to inscribe or not to inscribe the nominated element on the List of Intangible Cultural Heritage in Need of Urgent Safeguarding</w:t>
            </w:r>
            <w:r w:rsidR="00046E01" w:rsidRPr="00AF37D2">
              <w:rPr>
                <w:rFonts w:ascii="Arial" w:hAnsi="Arial" w:cs="Arial"/>
                <w:b/>
                <w:sz w:val="22"/>
                <w:szCs w:val="22"/>
                <w:u w:val="single"/>
                <w:lang w:val="en-GB"/>
              </w:rPr>
              <w:t xml:space="preserve"> </w:t>
            </w:r>
            <w:r w:rsidR="00772605" w:rsidRPr="00AF37D2">
              <w:rPr>
                <w:rFonts w:ascii="Arial" w:hAnsi="Arial" w:cs="Arial"/>
                <w:b/>
                <w:bCs/>
                <w:sz w:val="22"/>
                <w:szCs w:val="22"/>
                <w:u w:val="single"/>
                <w:lang w:val="en-GB"/>
              </w:rPr>
              <w:t>or</w:t>
            </w:r>
            <w:r w:rsidR="00772605" w:rsidRPr="00AF37D2">
              <w:rPr>
                <w:rFonts w:ascii="Arial" w:hAnsi="Arial" w:cs="Arial"/>
                <w:b/>
                <w:sz w:val="22"/>
                <w:szCs w:val="22"/>
                <w:u w:val="single"/>
                <w:lang w:val="en-GB"/>
              </w:rPr>
              <w:t xml:space="preserve"> </w:t>
            </w:r>
            <w:r w:rsidR="00360AA0" w:rsidRPr="00AF37D2">
              <w:rPr>
                <w:rFonts w:ascii="Arial" w:hAnsi="Arial" w:cs="Arial"/>
                <w:b/>
                <w:sz w:val="22"/>
                <w:szCs w:val="22"/>
                <w:u w:val="single"/>
                <w:lang w:val="en-GB"/>
              </w:rPr>
              <w:t xml:space="preserve">the </w:t>
            </w:r>
            <w:r w:rsidRPr="00AF37D2">
              <w:rPr>
                <w:rFonts w:ascii="Arial" w:hAnsi="Arial" w:cs="Arial"/>
                <w:b/>
                <w:sz w:val="22"/>
                <w:szCs w:val="22"/>
                <w:u w:val="single"/>
                <w:lang w:val="en-GB"/>
              </w:rPr>
              <w:t>Representative List of the Intangible Cultural Heritage of Humanity, or to refer the nomination to the submitting State(s) for additional information</w:t>
            </w:r>
            <w:r w:rsidRPr="00772605">
              <w:rPr>
                <w:rFonts w:ascii="Arial" w:hAnsi="Arial" w:cs="Arial"/>
                <w:sz w:val="22"/>
                <w:szCs w:val="22"/>
                <w:lang w:val="en-GB"/>
              </w:rPr>
              <w:t>;</w:t>
            </w:r>
          </w:p>
          <w:p w:rsidR="00256FDD" w:rsidRPr="00256FDD" w:rsidRDefault="00256FDD" w:rsidP="00190902">
            <w:pPr>
              <w:numPr>
                <w:ilvl w:val="0"/>
                <w:numId w:val="7"/>
              </w:numPr>
              <w:spacing w:before="120" w:after="120"/>
              <w:jc w:val="both"/>
              <w:rPr>
                <w:rFonts w:ascii="Arial" w:hAnsi="Arial" w:cs="Arial"/>
                <w:b/>
                <w:bCs/>
                <w:sz w:val="22"/>
                <w:szCs w:val="22"/>
                <w:u w:val="single"/>
                <w:lang w:val="en-GB"/>
              </w:rPr>
            </w:pPr>
            <w:r w:rsidRPr="00256FDD">
              <w:rPr>
                <w:rFonts w:ascii="Arial" w:hAnsi="Arial" w:cs="Arial"/>
                <w:sz w:val="22"/>
                <w:szCs w:val="22"/>
                <w:lang w:val="en-GB"/>
              </w:rPr>
              <w:t>to select or not to select the proposed programme, project or activity</w:t>
            </w:r>
            <w:r>
              <w:rPr>
                <w:rFonts w:ascii="Arial" w:hAnsi="Arial" w:cs="Arial"/>
                <w:sz w:val="22"/>
                <w:szCs w:val="22"/>
                <w:lang w:val="en-GB"/>
              </w:rPr>
              <w:t xml:space="preserve">, </w:t>
            </w:r>
            <w:r w:rsidRPr="00256FDD">
              <w:rPr>
                <w:rFonts w:ascii="Arial" w:hAnsi="Arial" w:cs="Arial"/>
                <w:b/>
                <w:bCs/>
                <w:sz w:val="22"/>
                <w:szCs w:val="22"/>
                <w:u w:val="single"/>
                <w:lang w:val="en-GB"/>
              </w:rPr>
              <w:t>or to refer the proposal to the submitting State(s) for additional information; or</w:t>
            </w:r>
          </w:p>
          <w:p w:rsidR="00256FDD" w:rsidRPr="00256FDD" w:rsidRDefault="00256FDD" w:rsidP="00BD47A7">
            <w:pPr>
              <w:numPr>
                <w:ilvl w:val="0"/>
                <w:numId w:val="7"/>
              </w:numPr>
              <w:jc w:val="both"/>
              <w:rPr>
                <w:rFonts w:ascii="Arial" w:hAnsi="Arial" w:cs="Arial"/>
                <w:sz w:val="22"/>
                <w:szCs w:val="22"/>
                <w:lang w:val="en-GB"/>
              </w:rPr>
            </w:pPr>
            <w:proofErr w:type="gramStart"/>
            <w:r w:rsidRPr="00256FDD">
              <w:rPr>
                <w:rFonts w:ascii="Arial" w:hAnsi="Arial" w:cs="Arial"/>
                <w:sz w:val="22"/>
                <w:szCs w:val="22"/>
                <w:lang w:val="en-GB"/>
              </w:rPr>
              <w:t>to</w:t>
            </w:r>
            <w:proofErr w:type="gramEnd"/>
            <w:r w:rsidRPr="00256FDD">
              <w:rPr>
                <w:rFonts w:ascii="Arial" w:hAnsi="Arial" w:cs="Arial"/>
                <w:sz w:val="22"/>
                <w:szCs w:val="22"/>
                <w:lang w:val="en-GB"/>
              </w:rPr>
              <w:t xml:space="preserve"> approve or not to approve the </w:t>
            </w:r>
            <w:r w:rsidR="00BD47A7">
              <w:rPr>
                <w:rFonts w:ascii="Arial" w:hAnsi="Arial" w:cs="Arial"/>
                <w:sz w:val="22"/>
                <w:szCs w:val="22"/>
                <w:lang w:val="en-GB"/>
              </w:rPr>
              <w:t>I</w:t>
            </w:r>
            <w:r w:rsidR="00BD47A7" w:rsidRPr="00256FDD">
              <w:rPr>
                <w:rFonts w:ascii="Arial" w:hAnsi="Arial" w:cs="Arial"/>
                <w:sz w:val="22"/>
                <w:szCs w:val="22"/>
                <w:lang w:val="en-GB"/>
              </w:rPr>
              <w:t xml:space="preserve">nternational </w:t>
            </w:r>
            <w:r w:rsidR="00BD47A7">
              <w:rPr>
                <w:rFonts w:ascii="Arial" w:hAnsi="Arial" w:cs="Arial"/>
                <w:sz w:val="22"/>
                <w:szCs w:val="22"/>
                <w:lang w:val="en-GB"/>
              </w:rPr>
              <w:t>A</w:t>
            </w:r>
            <w:r w:rsidR="00BD47A7" w:rsidRPr="00256FDD">
              <w:rPr>
                <w:rFonts w:ascii="Arial" w:hAnsi="Arial" w:cs="Arial"/>
                <w:sz w:val="22"/>
                <w:szCs w:val="22"/>
                <w:lang w:val="en-GB"/>
              </w:rPr>
              <w:t xml:space="preserve">ssistance </w:t>
            </w:r>
            <w:r w:rsidRPr="00256FDD">
              <w:rPr>
                <w:rFonts w:ascii="Arial" w:hAnsi="Arial" w:cs="Arial"/>
                <w:sz w:val="22"/>
                <w:szCs w:val="22"/>
                <w:lang w:val="en-GB"/>
              </w:rPr>
              <w:t>request</w:t>
            </w:r>
            <w:r>
              <w:rPr>
                <w:rFonts w:ascii="Arial" w:hAnsi="Arial" w:cs="Arial"/>
                <w:sz w:val="22"/>
                <w:szCs w:val="22"/>
                <w:lang w:val="en-GB"/>
              </w:rPr>
              <w:t xml:space="preserve">, </w:t>
            </w:r>
            <w:r w:rsidRPr="00256FDD">
              <w:rPr>
                <w:rFonts w:ascii="Arial" w:hAnsi="Arial" w:cs="Arial"/>
                <w:b/>
                <w:bCs/>
                <w:sz w:val="22"/>
                <w:szCs w:val="22"/>
                <w:u w:val="single"/>
                <w:lang w:val="en-GB"/>
              </w:rPr>
              <w:t>or to refer the request to the submitting Stat</w:t>
            </w:r>
            <w:r>
              <w:rPr>
                <w:rFonts w:ascii="Arial" w:hAnsi="Arial" w:cs="Arial"/>
                <w:b/>
                <w:bCs/>
                <w:sz w:val="22"/>
                <w:szCs w:val="22"/>
                <w:u w:val="single"/>
                <w:lang w:val="en-GB"/>
              </w:rPr>
              <w:t>e(s) for additional information</w:t>
            </w:r>
            <w:r w:rsidRPr="00256FDD">
              <w:rPr>
                <w:rFonts w:ascii="Arial" w:hAnsi="Arial" w:cs="Arial"/>
                <w:b/>
                <w:bCs/>
                <w:sz w:val="22"/>
                <w:szCs w:val="22"/>
                <w:u w:val="single"/>
                <w:lang w:val="en-GB"/>
              </w:rPr>
              <w:t>.</w:t>
            </w:r>
          </w:p>
        </w:tc>
      </w:tr>
      <w:tr w:rsidR="00046E01" w:rsidRPr="008F6BFC" w:rsidTr="003B4CA8">
        <w:trPr>
          <w:cantSplit/>
        </w:trPr>
        <w:tc>
          <w:tcPr>
            <w:tcW w:w="1083" w:type="dxa"/>
            <w:shd w:val="clear" w:color="auto" w:fill="auto"/>
          </w:tcPr>
          <w:p w:rsidR="00046E01" w:rsidRPr="00256FDD" w:rsidRDefault="00046E01" w:rsidP="00D73A13">
            <w:pPr>
              <w:spacing w:before="120" w:after="120"/>
              <w:jc w:val="right"/>
              <w:rPr>
                <w:rFonts w:ascii="Arial" w:hAnsi="Arial" w:cs="Arial"/>
                <w:sz w:val="22"/>
                <w:szCs w:val="22"/>
                <w:lang w:val="en-GB"/>
              </w:rPr>
            </w:pPr>
          </w:p>
        </w:tc>
        <w:tc>
          <w:tcPr>
            <w:tcW w:w="6860" w:type="dxa"/>
            <w:shd w:val="clear" w:color="auto" w:fill="auto"/>
          </w:tcPr>
          <w:p w:rsidR="00046E01" w:rsidRPr="00256FDD" w:rsidRDefault="00046E01" w:rsidP="00256FDD">
            <w:pPr>
              <w:spacing w:before="120" w:after="120"/>
              <w:jc w:val="both"/>
              <w:rPr>
                <w:rFonts w:ascii="Arial" w:hAnsi="Arial" w:cs="Arial"/>
                <w:sz w:val="22"/>
                <w:szCs w:val="22"/>
                <w:lang w:val="en-GB"/>
              </w:rPr>
            </w:pPr>
          </w:p>
        </w:tc>
        <w:tc>
          <w:tcPr>
            <w:tcW w:w="850" w:type="dxa"/>
          </w:tcPr>
          <w:p w:rsidR="00046E01" w:rsidRPr="0077319F" w:rsidRDefault="00BD47A7" w:rsidP="00BD47A7">
            <w:pPr>
              <w:spacing w:before="120" w:after="120"/>
              <w:jc w:val="right"/>
              <w:rPr>
                <w:rFonts w:ascii="Arial" w:hAnsi="Arial" w:cs="Arial"/>
                <w:sz w:val="22"/>
                <w:szCs w:val="22"/>
                <w:lang w:val="en-GB"/>
              </w:rPr>
            </w:pPr>
            <w:r w:rsidRPr="0077319F">
              <w:rPr>
                <w:rFonts w:ascii="Arial" w:hAnsi="Arial" w:cs="Arial"/>
                <w:sz w:val="22"/>
                <w:szCs w:val="22"/>
                <w:lang w:val="en-GB"/>
              </w:rPr>
              <w:t>[</w:t>
            </w:r>
            <w:r w:rsidR="00046E01" w:rsidRPr="0077319F">
              <w:rPr>
                <w:rFonts w:ascii="Arial" w:hAnsi="Arial" w:cs="Arial"/>
                <w:sz w:val="22"/>
                <w:szCs w:val="22"/>
                <w:lang w:val="en-GB"/>
              </w:rPr>
              <w:t xml:space="preserve">31 </w:t>
            </w:r>
            <w:r w:rsidRPr="0077319F">
              <w:rPr>
                <w:rFonts w:ascii="Arial" w:hAnsi="Arial" w:cs="Arial"/>
                <w:sz w:val="22"/>
                <w:szCs w:val="22"/>
                <w:lang w:val="en-GB"/>
              </w:rPr>
              <w:t xml:space="preserve">to </w:t>
            </w:r>
            <w:r w:rsidR="00046E01" w:rsidRPr="0077319F">
              <w:rPr>
                <w:rFonts w:ascii="Arial" w:hAnsi="Arial" w:cs="Arial"/>
                <w:sz w:val="22"/>
                <w:szCs w:val="22"/>
                <w:lang w:val="en-GB"/>
              </w:rPr>
              <w:t>34</w:t>
            </w:r>
            <w:r w:rsidRPr="0077319F">
              <w:rPr>
                <w:rFonts w:ascii="Arial" w:hAnsi="Arial" w:cs="Arial"/>
                <w:sz w:val="22"/>
                <w:szCs w:val="22"/>
                <w:lang w:val="en-GB"/>
              </w:rPr>
              <w:t>]</w:t>
            </w:r>
          </w:p>
        </w:tc>
        <w:tc>
          <w:tcPr>
            <w:tcW w:w="6661" w:type="dxa"/>
          </w:tcPr>
          <w:p w:rsidR="00046E01" w:rsidRPr="00256FDD" w:rsidRDefault="00046E01" w:rsidP="00256FDD">
            <w:pPr>
              <w:spacing w:before="120" w:after="120"/>
              <w:jc w:val="both"/>
              <w:rPr>
                <w:rFonts w:ascii="Arial" w:hAnsi="Arial" w:cs="Arial"/>
                <w:sz w:val="22"/>
                <w:szCs w:val="22"/>
                <w:lang w:val="en-GB"/>
              </w:rPr>
            </w:pPr>
            <w:r>
              <w:rPr>
                <w:rFonts w:ascii="Arial" w:hAnsi="Arial" w:cs="Arial"/>
                <w:sz w:val="22"/>
                <w:szCs w:val="22"/>
                <w:lang w:val="en-GB"/>
              </w:rPr>
              <w:t>[no change]</w:t>
            </w:r>
          </w:p>
        </w:tc>
      </w:tr>
      <w:tr w:rsidR="00F91168" w:rsidRPr="00A6726D" w:rsidTr="003B4CA8">
        <w:trPr>
          <w:cantSplit/>
        </w:trPr>
        <w:tc>
          <w:tcPr>
            <w:tcW w:w="1083" w:type="dxa"/>
            <w:shd w:val="clear" w:color="auto" w:fill="auto"/>
          </w:tcPr>
          <w:p w:rsidR="00F91168" w:rsidRPr="00A1056C" w:rsidRDefault="00256FDD" w:rsidP="00D73A13">
            <w:pPr>
              <w:spacing w:before="120" w:after="120"/>
              <w:jc w:val="right"/>
              <w:rPr>
                <w:rFonts w:ascii="Arial" w:hAnsi="Arial" w:cs="Arial"/>
                <w:sz w:val="22"/>
                <w:szCs w:val="22"/>
                <w:lang w:val="en-GB"/>
              </w:rPr>
            </w:pPr>
            <w:r>
              <w:rPr>
                <w:rFonts w:ascii="Arial" w:hAnsi="Arial" w:cs="Arial"/>
                <w:sz w:val="22"/>
                <w:szCs w:val="22"/>
                <w:lang w:val="en-GB"/>
              </w:rPr>
              <w:lastRenderedPageBreak/>
              <w:t>35</w:t>
            </w:r>
            <w:r w:rsidR="00F91168" w:rsidRPr="00A1056C">
              <w:rPr>
                <w:rFonts w:ascii="Arial" w:hAnsi="Arial" w:cs="Arial"/>
                <w:sz w:val="22"/>
                <w:szCs w:val="22"/>
                <w:lang w:val="en-GB"/>
              </w:rPr>
              <w:t>.</w:t>
            </w:r>
          </w:p>
        </w:tc>
        <w:tc>
          <w:tcPr>
            <w:tcW w:w="6860" w:type="dxa"/>
            <w:shd w:val="clear" w:color="auto" w:fill="auto"/>
          </w:tcPr>
          <w:p w:rsidR="00F91168" w:rsidRPr="00710CE9" w:rsidRDefault="00256FDD" w:rsidP="00256FDD">
            <w:pPr>
              <w:spacing w:before="120" w:after="120"/>
              <w:jc w:val="both"/>
              <w:rPr>
                <w:rFonts w:ascii="Arial" w:hAnsi="Arial" w:cs="Arial"/>
                <w:sz w:val="22"/>
                <w:szCs w:val="22"/>
                <w:lang w:val="en-GB"/>
              </w:rPr>
            </w:pPr>
            <w:r w:rsidRPr="00256FDD">
              <w:rPr>
                <w:rFonts w:ascii="Arial" w:hAnsi="Arial" w:cs="Arial"/>
                <w:sz w:val="22"/>
                <w:szCs w:val="22"/>
                <w:lang w:val="en-GB"/>
              </w:rPr>
              <w:t>After examination, the Committee decides whether or not an element shall be inscribed on the List of Intangible Cultural Heritage in Need of Urgent Safeguarding, whether or not an element shall be inscribed on the Representative List of the Intangible Cultural Heritage of Humanity or whether the nomination shall be referred to the submitting State for further information, whether or not a programme, project or activity shall be selected as best safeguarding practice, or whether or not an International Assistance request greater than US$25,000 shall be approved.</w:t>
            </w:r>
          </w:p>
        </w:tc>
        <w:tc>
          <w:tcPr>
            <w:tcW w:w="850" w:type="dxa"/>
          </w:tcPr>
          <w:p w:rsidR="00F91168" w:rsidRPr="00BA4171" w:rsidRDefault="00046E01" w:rsidP="00D73A13">
            <w:pPr>
              <w:spacing w:before="120" w:after="120"/>
              <w:jc w:val="right"/>
              <w:rPr>
                <w:rFonts w:ascii="Arial" w:hAnsi="Arial" w:cs="Arial"/>
                <w:sz w:val="22"/>
                <w:szCs w:val="22"/>
                <w:lang w:val="en-GB"/>
              </w:rPr>
            </w:pPr>
            <w:r>
              <w:rPr>
                <w:rFonts w:ascii="Arial" w:hAnsi="Arial" w:cs="Arial"/>
                <w:sz w:val="22"/>
                <w:szCs w:val="22"/>
                <w:lang w:val="en-GB"/>
              </w:rPr>
              <w:t>35</w:t>
            </w:r>
            <w:r w:rsidR="00F91168" w:rsidRPr="00BA4171">
              <w:rPr>
                <w:rFonts w:ascii="Arial" w:hAnsi="Arial" w:cs="Arial"/>
                <w:sz w:val="22"/>
                <w:szCs w:val="22"/>
                <w:lang w:val="en-GB"/>
              </w:rPr>
              <w:t>.</w:t>
            </w:r>
          </w:p>
        </w:tc>
        <w:tc>
          <w:tcPr>
            <w:tcW w:w="6661" w:type="dxa"/>
          </w:tcPr>
          <w:p w:rsidR="00256FDD" w:rsidRDefault="00256FDD" w:rsidP="00D73A13">
            <w:pPr>
              <w:spacing w:before="120" w:after="120"/>
              <w:jc w:val="both"/>
              <w:rPr>
                <w:rFonts w:ascii="Arial" w:hAnsi="Arial" w:cs="Arial"/>
                <w:sz w:val="22"/>
                <w:szCs w:val="22"/>
                <w:lang w:val="en-GB"/>
              </w:rPr>
            </w:pPr>
            <w:r w:rsidRPr="00256FDD">
              <w:rPr>
                <w:rFonts w:ascii="Arial" w:hAnsi="Arial" w:cs="Arial"/>
                <w:sz w:val="22"/>
                <w:szCs w:val="22"/>
                <w:lang w:val="en-GB"/>
              </w:rPr>
              <w:t>After examination, the Committee decides</w:t>
            </w:r>
            <w:r w:rsidR="004433EE" w:rsidRPr="004433EE">
              <w:rPr>
                <w:rFonts w:ascii="Arial" w:hAnsi="Arial" w:cs="Arial"/>
                <w:b/>
                <w:sz w:val="22"/>
                <w:szCs w:val="22"/>
                <w:u w:val="single"/>
                <w:lang w:val="en-GB"/>
              </w:rPr>
              <w:t>:</w:t>
            </w:r>
          </w:p>
          <w:p w:rsidR="004433EE" w:rsidRPr="00BD47A7" w:rsidRDefault="00256FDD" w:rsidP="00BD47A7">
            <w:pPr>
              <w:numPr>
                <w:ilvl w:val="0"/>
                <w:numId w:val="7"/>
              </w:numPr>
              <w:jc w:val="both"/>
              <w:rPr>
                <w:rFonts w:ascii="Arial" w:hAnsi="Arial" w:cs="Arial"/>
                <w:b/>
                <w:strike/>
                <w:sz w:val="22"/>
                <w:szCs w:val="22"/>
                <w:u w:val="single"/>
                <w:lang w:val="en-GB"/>
              </w:rPr>
            </w:pPr>
            <w:r w:rsidRPr="00BD47A7">
              <w:rPr>
                <w:rFonts w:ascii="Arial" w:hAnsi="Arial" w:cs="Arial"/>
                <w:sz w:val="22"/>
                <w:szCs w:val="22"/>
                <w:lang w:val="en-GB"/>
              </w:rPr>
              <w:t>whether or not an element shall be inscribed on the List of Intangible Cultural Heritage in Need of Urgent Safeguarding</w:t>
            </w:r>
            <w:r w:rsidR="00BD47A7" w:rsidRPr="0077319F">
              <w:rPr>
                <w:rFonts w:ascii="Arial" w:hAnsi="Arial" w:cs="Arial"/>
                <w:strike/>
                <w:sz w:val="22"/>
                <w:szCs w:val="22"/>
                <w:lang w:val="en-GB"/>
              </w:rPr>
              <w:t>,</w:t>
            </w:r>
            <w:r w:rsidR="00BD47A7">
              <w:rPr>
                <w:rFonts w:ascii="Arial" w:hAnsi="Arial" w:cs="Arial"/>
                <w:strike/>
                <w:sz w:val="22"/>
                <w:szCs w:val="22"/>
                <w:lang w:val="en-GB"/>
              </w:rPr>
              <w:t xml:space="preserve"> </w:t>
            </w:r>
            <w:r w:rsidR="004433EE" w:rsidRPr="00BD47A7">
              <w:rPr>
                <w:rFonts w:ascii="Arial" w:hAnsi="Arial" w:cs="Arial"/>
                <w:strike/>
                <w:sz w:val="22"/>
                <w:szCs w:val="22"/>
                <w:lang w:val="en-GB"/>
              </w:rPr>
              <w:t>whether or not an element shall be inscribed</w:t>
            </w:r>
            <w:r w:rsidR="004433EE" w:rsidRPr="0077319F">
              <w:rPr>
                <w:rFonts w:ascii="Arial" w:hAnsi="Arial" w:cs="Arial"/>
                <w:sz w:val="22"/>
                <w:szCs w:val="22"/>
                <w:lang w:val="en-GB"/>
              </w:rPr>
              <w:t xml:space="preserve"> </w:t>
            </w:r>
            <w:r w:rsidR="00BD47A7" w:rsidRPr="0077319F">
              <w:rPr>
                <w:rFonts w:ascii="Arial" w:hAnsi="Arial" w:cs="Arial"/>
                <w:b/>
                <w:bCs/>
                <w:sz w:val="22"/>
                <w:szCs w:val="22"/>
                <w:u w:val="single"/>
                <w:lang w:val="en-GB"/>
              </w:rPr>
              <w:t xml:space="preserve">or </w:t>
            </w:r>
            <w:r w:rsidR="004433EE" w:rsidRPr="0077319F">
              <w:rPr>
                <w:rFonts w:ascii="Arial" w:hAnsi="Arial" w:cs="Arial"/>
                <w:sz w:val="22"/>
                <w:szCs w:val="22"/>
                <w:lang w:val="en-GB"/>
              </w:rPr>
              <w:t xml:space="preserve">on the Representative List of the Intangible Cultural Heritage of Humanity or whether the nomination shall be referred to the submitting State for </w:t>
            </w:r>
            <w:r w:rsidR="004433EE" w:rsidRPr="00BD47A7">
              <w:rPr>
                <w:rFonts w:ascii="Arial" w:hAnsi="Arial" w:cs="Arial"/>
                <w:strike/>
                <w:sz w:val="22"/>
                <w:szCs w:val="22"/>
                <w:lang w:val="en-GB"/>
              </w:rPr>
              <w:t>further</w:t>
            </w:r>
            <w:r w:rsidR="004433EE" w:rsidRPr="0077319F">
              <w:rPr>
                <w:rFonts w:ascii="Arial" w:hAnsi="Arial" w:cs="Arial"/>
                <w:sz w:val="22"/>
                <w:szCs w:val="22"/>
                <w:lang w:val="en-GB"/>
              </w:rPr>
              <w:t xml:space="preserve"> </w:t>
            </w:r>
            <w:r w:rsidR="00BD47A7" w:rsidRPr="0077319F">
              <w:rPr>
                <w:rFonts w:ascii="Arial" w:hAnsi="Arial" w:cs="Arial"/>
                <w:b/>
                <w:bCs/>
                <w:sz w:val="22"/>
                <w:szCs w:val="22"/>
                <w:u w:val="single"/>
                <w:lang w:val="en-GB"/>
              </w:rPr>
              <w:t>additional</w:t>
            </w:r>
            <w:r w:rsidR="00BD47A7" w:rsidRPr="00BD47A7">
              <w:rPr>
                <w:rFonts w:ascii="Arial" w:hAnsi="Arial" w:cs="Arial"/>
                <w:sz w:val="22"/>
                <w:szCs w:val="22"/>
                <w:u w:val="single"/>
                <w:lang w:val="en-GB"/>
              </w:rPr>
              <w:t xml:space="preserve"> </w:t>
            </w:r>
            <w:r w:rsidR="004433EE" w:rsidRPr="0077319F">
              <w:rPr>
                <w:rFonts w:ascii="Arial" w:hAnsi="Arial" w:cs="Arial"/>
                <w:sz w:val="22"/>
                <w:szCs w:val="22"/>
                <w:lang w:val="en-GB"/>
              </w:rPr>
              <w:t>information,</w:t>
            </w:r>
          </w:p>
          <w:p w:rsidR="004433EE" w:rsidRPr="004433EE" w:rsidRDefault="00256FDD" w:rsidP="0077319F">
            <w:pPr>
              <w:numPr>
                <w:ilvl w:val="0"/>
                <w:numId w:val="7"/>
              </w:numPr>
              <w:jc w:val="both"/>
              <w:rPr>
                <w:rFonts w:ascii="Arial" w:hAnsi="Arial" w:cs="Arial"/>
                <w:b/>
                <w:sz w:val="22"/>
                <w:szCs w:val="22"/>
                <w:u w:val="single"/>
                <w:lang w:val="en-GB"/>
              </w:rPr>
            </w:pPr>
            <w:r w:rsidRPr="00256FDD">
              <w:rPr>
                <w:rFonts w:ascii="Arial" w:hAnsi="Arial" w:cs="Arial"/>
                <w:sz w:val="22"/>
                <w:szCs w:val="22"/>
                <w:lang w:val="en-GB"/>
              </w:rPr>
              <w:t xml:space="preserve">whether or not a programme, project or activity shall be selected as </w:t>
            </w:r>
            <w:r w:rsidR="00046E01">
              <w:rPr>
                <w:rFonts w:ascii="Arial" w:hAnsi="Arial" w:cs="Arial"/>
                <w:sz w:val="22"/>
                <w:szCs w:val="22"/>
                <w:lang w:val="en-GB"/>
              </w:rPr>
              <w:t xml:space="preserve">a </w:t>
            </w:r>
            <w:r w:rsidRPr="00256FDD">
              <w:rPr>
                <w:rFonts w:ascii="Arial" w:hAnsi="Arial" w:cs="Arial"/>
                <w:sz w:val="22"/>
                <w:szCs w:val="22"/>
                <w:lang w:val="en-GB"/>
              </w:rPr>
              <w:t>best safeguarding practice,</w:t>
            </w:r>
            <w:r w:rsidR="004433EE" w:rsidRPr="00256FDD">
              <w:rPr>
                <w:rFonts w:ascii="Arial" w:hAnsi="Arial" w:cs="Arial"/>
                <w:sz w:val="22"/>
                <w:szCs w:val="22"/>
                <w:lang w:val="en-GB"/>
              </w:rPr>
              <w:t xml:space="preserve"> </w:t>
            </w:r>
            <w:r w:rsidR="004433EE" w:rsidRPr="004433EE">
              <w:rPr>
                <w:rFonts w:ascii="Arial" w:hAnsi="Arial" w:cs="Arial"/>
                <w:b/>
                <w:sz w:val="22"/>
                <w:szCs w:val="22"/>
                <w:u w:val="single"/>
                <w:lang w:val="en-GB"/>
              </w:rPr>
              <w:t xml:space="preserve">or whether the proposal shall be referred to the submitting State for </w:t>
            </w:r>
            <w:r w:rsidR="00046E01">
              <w:rPr>
                <w:rFonts w:ascii="Arial" w:hAnsi="Arial" w:cs="Arial"/>
                <w:b/>
                <w:sz w:val="22"/>
                <w:szCs w:val="22"/>
                <w:u w:val="single"/>
                <w:lang w:val="en-GB"/>
              </w:rPr>
              <w:t>additional</w:t>
            </w:r>
            <w:r w:rsidR="00046E01" w:rsidRPr="004433EE">
              <w:rPr>
                <w:rFonts w:ascii="Arial" w:hAnsi="Arial" w:cs="Arial"/>
                <w:b/>
                <w:sz w:val="22"/>
                <w:szCs w:val="22"/>
                <w:u w:val="single"/>
                <w:lang w:val="en-GB"/>
              </w:rPr>
              <w:t xml:space="preserve"> </w:t>
            </w:r>
            <w:r w:rsidR="004433EE" w:rsidRPr="004433EE">
              <w:rPr>
                <w:rFonts w:ascii="Arial" w:hAnsi="Arial" w:cs="Arial"/>
                <w:b/>
                <w:sz w:val="22"/>
                <w:szCs w:val="22"/>
                <w:u w:val="single"/>
                <w:lang w:val="en-GB"/>
              </w:rPr>
              <w:t>information;</w:t>
            </w:r>
          </w:p>
          <w:p w:rsidR="00F91168" w:rsidRPr="004433EE" w:rsidRDefault="00256FDD" w:rsidP="0077319F">
            <w:pPr>
              <w:numPr>
                <w:ilvl w:val="0"/>
                <w:numId w:val="7"/>
              </w:numPr>
              <w:jc w:val="both"/>
              <w:rPr>
                <w:rFonts w:ascii="Arial" w:hAnsi="Arial" w:cs="Arial"/>
                <w:sz w:val="22"/>
                <w:szCs w:val="22"/>
                <w:lang w:val="en-GB"/>
              </w:rPr>
            </w:pPr>
            <w:proofErr w:type="gramStart"/>
            <w:r w:rsidRPr="00256FDD">
              <w:rPr>
                <w:rFonts w:ascii="Arial" w:hAnsi="Arial" w:cs="Arial"/>
                <w:sz w:val="22"/>
                <w:szCs w:val="22"/>
                <w:lang w:val="en-GB"/>
              </w:rPr>
              <w:t>or</w:t>
            </w:r>
            <w:proofErr w:type="gramEnd"/>
            <w:r w:rsidRPr="00256FDD">
              <w:rPr>
                <w:rFonts w:ascii="Arial" w:hAnsi="Arial" w:cs="Arial"/>
                <w:sz w:val="22"/>
                <w:szCs w:val="22"/>
                <w:lang w:val="en-GB"/>
              </w:rPr>
              <w:t xml:space="preserve"> whether or not an International Assistance request greater than US$25,000 shall be approved</w:t>
            </w:r>
            <w:r w:rsidR="004433EE">
              <w:rPr>
                <w:rFonts w:ascii="Arial" w:hAnsi="Arial" w:cs="Arial"/>
                <w:sz w:val="22"/>
                <w:szCs w:val="22"/>
                <w:lang w:val="en-GB"/>
              </w:rPr>
              <w:t>,</w:t>
            </w:r>
            <w:r w:rsidR="004433EE" w:rsidRPr="004433EE">
              <w:rPr>
                <w:lang w:val="en-US"/>
              </w:rPr>
              <w:t xml:space="preserve"> </w:t>
            </w:r>
            <w:r w:rsidR="004433EE" w:rsidRPr="004433EE">
              <w:rPr>
                <w:rFonts w:ascii="Arial" w:hAnsi="Arial" w:cs="Arial"/>
                <w:b/>
                <w:sz w:val="22"/>
                <w:szCs w:val="22"/>
                <w:u w:val="single"/>
                <w:lang w:val="en-GB"/>
              </w:rPr>
              <w:t xml:space="preserve">or whether the proposal shall be referred to the submitting State for </w:t>
            </w:r>
            <w:r w:rsidR="00046E01">
              <w:rPr>
                <w:rFonts w:ascii="Arial" w:hAnsi="Arial" w:cs="Arial"/>
                <w:b/>
                <w:sz w:val="22"/>
                <w:szCs w:val="22"/>
                <w:u w:val="single"/>
                <w:lang w:val="en-GB"/>
              </w:rPr>
              <w:t>additional</w:t>
            </w:r>
            <w:r w:rsidR="00046E01" w:rsidRPr="004433EE">
              <w:rPr>
                <w:rFonts w:ascii="Arial" w:hAnsi="Arial" w:cs="Arial"/>
                <w:b/>
                <w:sz w:val="22"/>
                <w:szCs w:val="22"/>
                <w:u w:val="single"/>
                <w:lang w:val="en-GB"/>
              </w:rPr>
              <w:t xml:space="preserve"> </w:t>
            </w:r>
            <w:r w:rsidR="004433EE" w:rsidRPr="004433EE">
              <w:rPr>
                <w:rFonts w:ascii="Arial" w:hAnsi="Arial" w:cs="Arial"/>
                <w:b/>
                <w:sz w:val="22"/>
                <w:szCs w:val="22"/>
                <w:u w:val="single"/>
                <w:lang w:val="en-GB"/>
              </w:rPr>
              <w:t>information.</w:t>
            </w:r>
          </w:p>
        </w:tc>
      </w:tr>
      <w:tr w:rsidR="00F91168" w:rsidRPr="00A6726D" w:rsidTr="003B4CA8">
        <w:trPr>
          <w:cantSplit/>
        </w:trPr>
        <w:tc>
          <w:tcPr>
            <w:tcW w:w="1083" w:type="dxa"/>
            <w:shd w:val="clear" w:color="auto" w:fill="auto"/>
          </w:tcPr>
          <w:p w:rsidR="00F91168" w:rsidRPr="00A1056C" w:rsidRDefault="004433EE" w:rsidP="00D73A13">
            <w:pPr>
              <w:spacing w:before="120" w:after="120"/>
              <w:jc w:val="right"/>
              <w:rPr>
                <w:rFonts w:ascii="Arial" w:hAnsi="Arial" w:cs="Arial"/>
                <w:sz w:val="22"/>
                <w:szCs w:val="22"/>
                <w:lang w:val="en-GB"/>
              </w:rPr>
            </w:pPr>
            <w:r>
              <w:rPr>
                <w:rFonts w:ascii="Arial" w:hAnsi="Arial" w:cs="Arial"/>
                <w:sz w:val="22"/>
                <w:szCs w:val="22"/>
                <w:lang w:val="en-GB"/>
              </w:rPr>
              <w:t>36</w:t>
            </w:r>
            <w:r w:rsidR="00F91168" w:rsidRPr="00A1056C">
              <w:rPr>
                <w:rFonts w:ascii="Arial" w:hAnsi="Arial" w:cs="Arial"/>
                <w:sz w:val="22"/>
                <w:szCs w:val="22"/>
                <w:lang w:val="en-GB"/>
              </w:rPr>
              <w:t>.</w:t>
            </w:r>
          </w:p>
        </w:tc>
        <w:tc>
          <w:tcPr>
            <w:tcW w:w="6860" w:type="dxa"/>
            <w:shd w:val="clear" w:color="auto" w:fill="auto"/>
          </w:tcPr>
          <w:p w:rsidR="00F91168" w:rsidRPr="00710CE9" w:rsidRDefault="004433EE" w:rsidP="00D73A13">
            <w:pPr>
              <w:spacing w:before="120" w:after="120"/>
              <w:jc w:val="both"/>
              <w:rPr>
                <w:rFonts w:ascii="Arial" w:hAnsi="Arial" w:cs="Arial"/>
                <w:sz w:val="22"/>
                <w:szCs w:val="22"/>
                <w:lang w:val="en-GB"/>
              </w:rPr>
            </w:pPr>
            <w:r w:rsidRPr="004433EE">
              <w:rPr>
                <w:rFonts w:ascii="Arial" w:hAnsi="Arial" w:cs="Arial"/>
                <w:sz w:val="22"/>
                <w:szCs w:val="22"/>
                <w:lang w:val="en-GB"/>
              </w:rPr>
              <w:t>Nominations for the Representative List of the Intangible Cultural Heritage of Humanity that the Committee decides to refer to the submitting State for additional information may be resubmitted to the Committee for examination during a following cycle, after having been updated and supplemented.</w:t>
            </w:r>
          </w:p>
        </w:tc>
        <w:tc>
          <w:tcPr>
            <w:tcW w:w="850" w:type="dxa"/>
          </w:tcPr>
          <w:p w:rsidR="00F91168" w:rsidRPr="00BA4171" w:rsidRDefault="004433EE" w:rsidP="00D73A13">
            <w:pPr>
              <w:spacing w:before="120" w:after="120"/>
              <w:jc w:val="right"/>
              <w:rPr>
                <w:rFonts w:ascii="Arial" w:hAnsi="Arial" w:cs="Arial"/>
                <w:sz w:val="22"/>
                <w:szCs w:val="22"/>
                <w:lang w:val="en-GB"/>
              </w:rPr>
            </w:pPr>
            <w:r>
              <w:rPr>
                <w:rFonts w:ascii="Arial" w:hAnsi="Arial" w:cs="Arial"/>
                <w:sz w:val="22"/>
                <w:szCs w:val="22"/>
                <w:lang w:val="en-GB"/>
              </w:rPr>
              <w:t>36</w:t>
            </w:r>
            <w:r w:rsidR="00F91168" w:rsidRPr="00BA4171">
              <w:rPr>
                <w:rFonts w:ascii="Arial" w:hAnsi="Arial" w:cs="Arial"/>
                <w:sz w:val="22"/>
                <w:szCs w:val="22"/>
                <w:lang w:val="en-GB"/>
              </w:rPr>
              <w:t>.</w:t>
            </w:r>
          </w:p>
        </w:tc>
        <w:tc>
          <w:tcPr>
            <w:tcW w:w="6661" w:type="dxa"/>
          </w:tcPr>
          <w:p w:rsidR="00F91168" w:rsidRPr="00BA4171" w:rsidRDefault="004433EE" w:rsidP="008041D0">
            <w:pPr>
              <w:spacing w:before="120" w:after="120"/>
              <w:jc w:val="both"/>
              <w:rPr>
                <w:rFonts w:ascii="Arial" w:hAnsi="Arial" w:cs="Arial"/>
                <w:sz w:val="22"/>
                <w:szCs w:val="22"/>
                <w:lang w:val="en-GB"/>
              </w:rPr>
            </w:pPr>
            <w:r w:rsidRPr="004433EE">
              <w:rPr>
                <w:rFonts w:ascii="Arial" w:hAnsi="Arial" w:cs="Arial"/>
                <w:sz w:val="22"/>
                <w:szCs w:val="22"/>
                <w:lang w:val="en-GB"/>
              </w:rPr>
              <w:t>Nominations</w:t>
            </w:r>
            <w:r>
              <w:rPr>
                <w:rFonts w:ascii="Arial" w:hAnsi="Arial" w:cs="Arial"/>
                <w:sz w:val="22"/>
                <w:szCs w:val="22"/>
                <w:lang w:val="en-GB"/>
              </w:rPr>
              <w:t xml:space="preserve"> </w:t>
            </w:r>
            <w:r w:rsidRPr="004433EE">
              <w:rPr>
                <w:rFonts w:ascii="Arial" w:hAnsi="Arial" w:cs="Arial"/>
                <w:strike/>
                <w:sz w:val="22"/>
                <w:szCs w:val="22"/>
                <w:lang w:val="en-GB"/>
              </w:rPr>
              <w:t>for the Representative List of the Intangible Cultural Heritage of Humanity</w:t>
            </w:r>
            <w:r w:rsidR="00772605">
              <w:rPr>
                <w:b/>
                <w:bCs/>
                <w:u w:val="single"/>
                <w:lang w:val="en-US"/>
              </w:rPr>
              <w:t xml:space="preserve">, </w:t>
            </w:r>
            <w:r w:rsidR="00772605" w:rsidRPr="00CA4077">
              <w:rPr>
                <w:rFonts w:ascii="Arial" w:hAnsi="Arial" w:cs="Arial"/>
                <w:b/>
                <w:sz w:val="22"/>
                <w:szCs w:val="22"/>
                <w:u w:val="single"/>
                <w:lang w:val="en-GB"/>
              </w:rPr>
              <w:t>proposals or requests</w:t>
            </w:r>
            <w:r w:rsidR="00772605" w:rsidRPr="0077319F">
              <w:rPr>
                <w:lang w:val="en-US"/>
              </w:rPr>
              <w:t xml:space="preserve"> </w:t>
            </w:r>
            <w:r w:rsidRPr="004433EE">
              <w:rPr>
                <w:rFonts w:ascii="Arial" w:hAnsi="Arial" w:cs="Arial"/>
                <w:sz w:val="22"/>
                <w:szCs w:val="22"/>
                <w:lang w:val="en-GB"/>
              </w:rPr>
              <w:t xml:space="preserve">that the Committee decides </w:t>
            </w:r>
            <w:r w:rsidR="00360AA0" w:rsidRPr="00360AA0">
              <w:rPr>
                <w:rFonts w:ascii="Arial" w:hAnsi="Arial" w:cs="Arial"/>
                <w:b/>
                <w:sz w:val="22"/>
                <w:szCs w:val="22"/>
                <w:u w:val="single"/>
                <w:lang w:val="en-GB"/>
              </w:rPr>
              <w:t>not to inscribe</w:t>
            </w:r>
            <w:r w:rsidR="008041D0">
              <w:rPr>
                <w:rFonts w:ascii="Arial" w:hAnsi="Arial" w:cs="Arial"/>
                <w:b/>
                <w:sz w:val="22"/>
                <w:szCs w:val="22"/>
                <w:u w:val="single"/>
                <w:lang w:val="en-GB"/>
              </w:rPr>
              <w:t>, select, or approve,</w:t>
            </w:r>
            <w:r w:rsidR="00360AA0" w:rsidRPr="00360AA0">
              <w:rPr>
                <w:rFonts w:ascii="Arial" w:hAnsi="Arial" w:cs="Arial"/>
                <w:b/>
                <w:sz w:val="22"/>
                <w:szCs w:val="22"/>
                <w:u w:val="single"/>
                <w:lang w:val="en-GB"/>
              </w:rPr>
              <w:t xml:space="preserve"> or</w:t>
            </w:r>
            <w:r w:rsidR="00360AA0">
              <w:rPr>
                <w:rFonts w:ascii="Arial" w:hAnsi="Arial" w:cs="Arial"/>
                <w:sz w:val="22"/>
                <w:szCs w:val="22"/>
                <w:lang w:val="en-GB"/>
              </w:rPr>
              <w:t xml:space="preserve"> </w:t>
            </w:r>
            <w:r w:rsidRPr="004433EE">
              <w:rPr>
                <w:rFonts w:ascii="Arial" w:hAnsi="Arial" w:cs="Arial"/>
                <w:sz w:val="22"/>
                <w:szCs w:val="22"/>
                <w:lang w:val="en-GB"/>
              </w:rPr>
              <w:t>to refer to the submitting State for additional information</w:t>
            </w:r>
            <w:r w:rsidR="008041D0">
              <w:rPr>
                <w:rFonts w:ascii="Arial" w:hAnsi="Arial" w:cs="Arial"/>
                <w:sz w:val="22"/>
                <w:szCs w:val="22"/>
                <w:lang w:val="en-GB"/>
              </w:rPr>
              <w:t>,</w:t>
            </w:r>
            <w:r w:rsidRPr="004433EE">
              <w:rPr>
                <w:rFonts w:ascii="Arial" w:hAnsi="Arial" w:cs="Arial"/>
                <w:sz w:val="22"/>
                <w:szCs w:val="22"/>
                <w:lang w:val="en-GB"/>
              </w:rPr>
              <w:t xml:space="preserve"> may be resubmitted to the Committee for examination during a following cycle, after having been updated and supplemented</w:t>
            </w:r>
            <w:r w:rsidR="00CA4077">
              <w:rPr>
                <w:rFonts w:ascii="Arial" w:hAnsi="Arial" w:cs="Arial"/>
                <w:sz w:val="22"/>
                <w:szCs w:val="22"/>
                <w:lang w:val="en-GB"/>
              </w:rPr>
              <w:t>.</w:t>
            </w:r>
          </w:p>
        </w:tc>
      </w:tr>
      <w:tr w:rsidR="00F91168" w:rsidRPr="00A6726D" w:rsidTr="003B4CA8">
        <w:trPr>
          <w:cantSplit/>
        </w:trPr>
        <w:tc>
          <w:tcPr>
            <w:tcW w:w="1083" w:type="dxa"/>
            <w:shd w:val="clear" w:color="auto" w:fill="auto"/>
          </w:tcPr>
          <w:p w:rsidR="00F91168" w:rsidRPr="00B36C17" w:rsidRDefault="004433EE" w:rsidP="00D73A13">
            <w:pPr>
              <w:spacing w:before="120" w:after="120"/>
              <w:jc w:val="right"/>
              <w:rPr>
                <w:rFonts w:ascii="Arial" w:hAnsi="Arial" w:cs="Arial"/>
                <w:sz w:val="22"/>
                <w:szCs w:val="22"/>
                <w:lang w:val="en-GB"/>
              </w:rPr>
            </w:pPr>
            <w:r w:rsidRPr="004433EE">
              <w:rPr>
                <w:rFonts w:ascii="Arial" w:hAnsi="Arial" w:cs="Arial"/>
                <w:sz w:val="22"/>
                <w:szCs w:val="22"/>
                <w:lang w:val="en-GB"/>
              </w:rPr>
              <w:t>37.</w:t>
            </w:r>
          </w:p>
        </w:tc>
        <w:tc>
          <w:tcPr>
            <w:tcW w:w="6860" w:type="dxa"/>
            <w:shd w:val="clear" w:color="auto" w:fill="auto"/>
          </w:tcPr>
          <w:p w:rsidR="00F91168" w:rsidRPr="004433EE" w:rsidRDefault="004433EE" w:rsidP="00D73A13">
            <w:pPr>
              <w:spacing w:before="120" w:after="120"/>
              <w:jc w:val="both"/>
              <w:rPr>
                <w:rFonts w:ascii="Arial" w:hAnsi="Arial" w:cs="Arial"/>
                <w:sz w:val="22"/>
                <w:szCs w:val="22"/>
                <w:lang w:val="en-GB"/>
              </w:rPr>
            </w:pPr>
            <w:r w:rsidRPr="004433EE">
              <w:rPr>
                <w:rFonts w:ascii="Arial" w:hAnsi="Arial" w:cs="Arial"/>
                <w:sz w:val="22"/>
                <w:szCs w:val="22"/>
                <w:lang w:val="en-GB"/>
              </w:rPr>
              <w:t>If the Committee decides that an element should not be inscribed on the Representative List of the Intangible Cultural Heritage of Humanity, the nomination may not be resubmitted to the Committee for inscription on this List, before four years have passed.</w:t>
            </w:r>
          </w:p>
        </w:tc>
        <w:tc>
          <w:tcPr>
            <w:tcW w:w="850" w:type="dxa"/>
          </w:tcPr>
          <w:p w:rsidR="00F91168" w:rsidRPr="00B36C17" w:rsidRDefault="004433EE" w:rsidP="00D73A13">
            <w:pPr>
              <w:spacing w:before="120" w:after="120"/>
              <w:jc w:val="right"/>
              <w:rPr>
                <w:rFonts w:ascii="Arial" w:hAnsi="Arial" w:cs="Arial"/>
                <w:sz w:val="22"/>
                <w:szCs w:val="22"/>
                <w:lang w:val="en-GB"/>
              </w:rPr>
            </w:pPr>
            <w:r w:rsidRPr="004433EE">
              <w:rPr>
                <w:rFonts w:ascii="Arial" w:hAnsi="Arial" w:cs="Arial"/>
                <w:sz w:val="22"/>
                <w:szCs w:val="22"/>
                <w:lang w:val="en-GB"/>
              </w:rPr>
              <w:t>37</w:t>
            </w:r>
            <w:r>
              <w:rPr>
                <w:rFonts w:ascii="Arial" w:hAnsi="Arial" w:cs="Arial"/>
                <w:sz w:val="22"/>
                <w:szCs w:val="22"/>
                <w:lang w:val="en-GB"/>
              </w:rPr>
              <w:t>.</w:t>
            </w:r>
          </w:p>
        </w:tc>
        <w:tc>
          <w:tcPr>
            <w:tcW w:w="6661" w:type="dxa"/>
          </w:tcPr>
          <w:p w:rsidR="00F91168" w:rsidRDefault="004433EE" w:rsidP="00D73A13">
            <w:pPr>
              <w:spacing w:before="120" w:after="120"/>
              <w:jc w:val="both"/>
              <w:rPr>
                <w:rFonts w:ascii="Arial" w:hAnsi="Arial" w:cs="Arial"/>
                <w:strike/>
                <w:sz w:val="22"/>
                <w:szCs w:val="22"/>
                <w:lang w:val="en-GB"/>
              </w:rPr>
            </w:pPr>
            <w:r w:rsidRPr="004433EE">
              <w:rPr>
                <w:rFonts w:ascii="Arial" w:hAnsi="Arial" w:cs="Arial"/>
                <w:strike/>
                <w:sz w:val="22"/>
                <w:szCs w:val="22"/>
                <w:lang w:val="en-GB"/>
              </w:rPr>
              <w:t>If the Committee decides that an element should not be inscribed on the Representative List of the Intangible Cultural Heritage of Humanity, the nomination may not be resubmitted to the Committee for inscription on this List, before four years have passed.</w:t>
            </w:r>
          </w:p>
          <w:p w:rsidR="004433EE" w:rsidRPr="00190902" w:rsidRDefault="00190902" w:rsidP="00046E01">
            <w:pPr>
              <w:spacing w:before="120" w:after="120"/>
              <w:jc w:val="both"/>
              <w:rPr>
                <w:rFonts w:ascii="Arial" w:hAnsi="Arial" w:cs="Arial"/>
                <w:b/>
                <w:sz w:val="22"/>
                <w:szCs w:val="22"/>
                <w:u w:val="single"/>
                <w:lang w:val="en-GB"/>
              </w:rPr>
            </w:pPr>
            <w:r>
              <w:rPr>
                <w:rFonts w:ascii="Arial" w:hAnsi="Arial" w:cs="Arial"/>
                <w:b/>
                <w:sz w:val="22"/>
                <w:szCs w:val="22"/>
                <w:u w:val="single"/>
                <w:lang w:val="en-GB"/>
              </w:rPr>
              <w:t>A</w:t>
            </w:r>
            <w:r w:rsidRPr="00190902">
              <w:rPr>
                <w:rFonts w:ascii="Arial" w:hAnsi="Arial" w:cs="Arial"/>
                <w:b/>
                <w:sz w:val="22"/>
                <w:szCs w:val="22"/>
                <w:u w:val="single"/>
                <w:lang w:val="en-GB"/>
              </w:rPr>
              <w:t xml:space="preserve"> decision by the Committee to refer a nomination</w:t>
            </w:r>
            <w:r>
              <w:rPr>
                <w:rFonts w:ascii="Arial" w:hAnsi="Arial" w:cs="Arial"/>
                <w:b/>
                <w:sz w:val="22"/>
                <w:szCs w:val="22"/>
                <w:u w:val="single"/>
                <w:lang w:val="en-GB"/>
              </w:rPr>
              <w:t>, proposal or request</w:t>
            </w:r>
            <w:r w:rsidRPr="00190902">
              <w:rPr>
                <w:rFonts w:ascii="Arial" w:hAnsi="Arial" w:cs="Arial"/>
                <w:b/>
                <w:sz w:val="22"/>
                <w:szCs w:val="22"/>
                <w:u w:val="single"/>
                <w:lang w:val="en-GB"/>
              </w:rPr>
              <w:t xml:space="preserve"> to the submitting State</w:t>
            </w:r>
            <w:r w:rsidR="00046E01">
              <w:rPr>
                <w:rFonts w:ascii="Arial" w:hAnsi="Arial" w:cs="Arial"/>
                <w:b/>
                <w:sz w:val="22"/>
                <w:szCs w:val="22"/>
                <w:u w:val="single"/>
                <w:lang w:val="en-GB"/>
              </w:rPr>
              <w:t xml:space="preserve"> for additional information</w:t>
            </w:r>
            <w:r w:rsidRPr="00190902">
              <w:rPr>
                <w:rFonts w:ascii="Arial" w:hAnsi="Arial" w:cs="Arial"/>
                <w:b/>
                <w:sz w:val="22"/>
                <w:szCs w:val="22"/>
                <w:u w:val="single"/>
                <w:lang w:val="en-GB"/>
              </w:rPr>
              <w:t xml:space="preserve"> </w:t>
            </w:r>
            <w:r>
              <w:rPr>
                <w:rFonts w:ascii="Arial" w:hAnsi="Arial" w:cs="Arial"/>
                <w:b/>
                <w:sz w:val="22"/>
                <w:szCs w:val="22"/>
                <w:u w:val="single"/>
                <w:lang w:val="en-GB"/>
              </w:rPr>
              <w:t xml:space="preserve">does not </w:t>
            </w:r>
            <w:r w:rsidRPr="00190902">
              <w:rPr>
                <w:rFonts w:ascii="Arial" w:hAnsi="Arial" w:cs="Arial"/>
                <w:b/>
                <w:sz w:val="22"/>
                <w:szCs w:val="22"/>
                <w:u w:val="single"/>
                <w:lang w:val="en-GB"/>
              </w:rPr>
              <w:t xml:space="preserve">imply or guarantee that the element </w:t>
            </w:r>
            <w:r>
              <w:rPr>
                <w:rFonts w:ascii="Arial" w:hAnsi="Arial" w:cs="Arial"/>
                <w:b/>
                <w:sz w:val="22"/>
                <w:szCs w:val="22"/>
                <w:u w:val="single"/>
                <w:lang w:val="en-GB"/>
              </w:rPr>
              <w:t>will be inscribed</w:t>
            </w:r>
            <w:r w:rsidR="00046E01">
              <w:rPr>
                <w:rFonts w:ascii="Arial" w:hAnsi="Arial" w:cs="Arial"/>
                <w:b/>
                <w:sz w:val="22"/>
                <w:szCs w:val="22"/>
                <w:u w:val="single"/>
                <w:lang w:val="en-GB"/>
              </w:rPr>
              <w:t>, the proposal selected or the request approved</w:t>
            </w:r>
            <w:r>
              <w:rPr>
                <w:rFonts w:ascii="Arial" w:hAnsi="Arial" w:cs="Arial"/>
                <w:b/>
                <w:sz w:val="22"/>
                <w:szCs w:val="22"/>
                <w:u w:val="single"/>
                <w:lang w:val="en-GB"/>
              </w:rPr>
              <w:t xml:space="preserve"> in the future.</w:t>
            </w:r>
            <w:r w:rsidRPr="00190902">
              <w:rPr>
                <w:rFonts w:ascii="Arial" w:hAnsi="Arial" w:cs="Arial"/>
                <w:b/>
                <w:sz w:val="22"/>
                <w:szCs w:val="22"/>
                <w:u w:val="single"/>
                <w:lang w:val="en-GB"/>
              </w:rPr>
              <w:t xml:space="preserve"> </w:t>
            </w:r>
            <w:r>
              <w:rPr>
                <w:rFonts w:ascii="Arial" w:hAnsi="Arial" w:cs="Arial"/>
                <w:b/>
                <w:sz w:val="22"/>
                <w:szCs w:val="22"/>
                <w:u w:val="single"/>
                <w:lang w:val="en-GB"/>
              </w:rPr>
              <w:t>A</w:t>
            </w:r>
            <w:r w:rsidRPr="00190902">
              <w:rPr>
                <w:rFonts w:ascii="Arial" w:hAnsi="Arial" w:cs="Arial"/>
                <w:b/>
                <w:sz w:val="22"/>
                <w:szCs w:val="22"/>
                <w:u w:val="single"/>
                <w:lang w:val="en-GB"/>
              </w:rPr>
              <w:t>ny subsequent resubmission must</w:t>
            </w:r>
            <w:r w:rsidR="00046E01" w:rsidRPr="00190902">
              <w:rPr>
                <w:rFonts w:ascii="Arial" w:hAnsi="Arial" w:cs="Arial"/>
                <w:b/>
                <w:sz w:val="22"/>
                <w:szCs w:val="22"/>
                <w:u w:val="single"/>
                <w:lang w:val="en-GB"/>
              </w:rPr>
              <w:t xml:space="preserve"> fully</w:t>
            </w:r>
            <w:r w:rsidRPr="00190902">
              <w:rPr>
                <w:rFonts w:ascii="Arial" w:hAnsi="Arial" w:cs="Arial"/>
                <w:b/>
                <w:sz w:val="22"/>
                <w:szCs w:val="22"/>
                <w:u w:val="single"/>
                <w:lang w:val="en-GB"/>
              </w:rPr>
              <w:t xml:space="preserve"> demonstrate that the criteria for inscription</w:t>
            </w:r>
            <w:r w:rsidR="00046E01">
              <w:rPr>
                <w:rFonts w:ascii="Arial" w:hAnsi="Arial" w:cs="Arial"/>
                <w:b/>
                <w:sz w:val="22"/>
                <w:szCs w:val="22"/>
                <w:u w:val="single"/>
                <w:lang w:val="en-GB"/>
              </w:rPr>
              <w:t>, selection or approval</w:t>
            </w:r>
            <w:r w:rsidRPr="00190902">
              <w:rPr>
                <w:rFonts w:ascii="Arial" w:hAnsi="Arial" w:cs="Arial"/>
                <w:b/>
                <w:sz w:val="22"/>
                <w:szCs w:val="22"/>
                <w:u w:val="single"/>
                <w:lang w:val="en-GB"/>
              </w:rPr>
              <w:t xml:space="preserve"> are satisfied.</w:t>
            </w:r>
          </w:p>
        </w:tc>
      </w:tr>
    </w:tbl>
    <w:p w:rsidR="00F91168" w:rsidRPr="00356F96" w:rsidRDefault="00F91168" w:rsidP="0086447E">
      <w:pPr>
        <w:pStyle w:val="COMParaDecision"/>
        <w:numPr>
          <w:ilvl w:val="0"/>
          <w:numId w:val="0"/>
        </w:numPr>
        <w:spacing w:line="40" w:lineRule="exact"/>
        <w:rPr>
          <w:u w:val="none"/>
        </w:rPr>
      </w:pPr>
    </w:p>
    <w:sectPr w:rsidR="00F91168" w:rsidRPr="00356F96" w:rsidSect="00F91168">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B4" w:rsidRDefault="00E601B4" w:rsidP="00655736">
      <w:r>
        <w:separator/>
      </w:r>
    </w:p>
  </w:endnote>
  <w:endnote w:type="continuationSeparator" w:id="0">
    <w:p w:rsidR="00E601B4" w:rsidRDefault="00E601B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B4" w:rsidRDefault="00E601B4" w:rsidP="00655736">
      <w:r>
        <w:separator/>
      </w:r>
    </w:p>
  </w:footnote>
  <w:footnote w:type="continuationSeparator" w:id="0">
    <w:p w:rsidR="00E601B4" w:rsidRDefault="00E601B4"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C23A97" w:rsidRDefault="00D8250F">
    <w:pPr>
      <w:pStyle w:val="Header"/>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D95C4C" w:rsidRPr="00C23A97">
      <w:rPr>
        <w:rFonts w:ascii="Arial" w:hAnsi="Arial" w:cs="Arial"/>
        <w:sz w:val="20"/>
        <w:szCs w:val="20"/>
        <w:lang w:val="en-GB"/>
      </w:rPr>
      <w:t>/</w:t>
    </w:r>
    <w:r w:rsidR="006D71D2">
      <w:rPr>
        <w:rFonts w:ascii="Arial" w:hAnsi="Arial" w:cs="Arial"/>
        <w:sz w:val="20"/>
        <w:szCs w:val="20"/>
        <w:lang w:val="en-GB"/>
      </w:rPr>
      <w:t>14</w:t>
    </w:r>
    <w:r w:rsidR="00301BE5">
      <w:rPr>
        <w:rFonts w:ascii="Arial" w:hAnsi="Arial" w:cs="Arial"/>
        <w:sz w:val="20"/>
        <w:szCs w:val="20"/>
        <w:lang w:val="en-GB"/>
      </w:rPr>
      <w:t>.b</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F64FCC">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63300C" w:rsidRDefault="00D8250F" w:rsidP="0063300C">
    <w:pPr>
      <w:pStyle w:val="Header"/>
      <w:jc w:val="right"/>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4A34A0" w:rsidRPr="0063300C">
      <w:rPr>
        <w:rFonts w:ascii="Arial" w:hAnsi="Arial" w:cs="Arial"/>
        <w:sz w:val="20"/>
        <w:szCs w:val="20"/>
        <w:lang w:val="en-GB"/>
      </w:rPr>
      <w:t>/</w:t>
    </w:r>
    <w:r w:rsidR="006D71D2">
      <w:rPr>
        <w:rFonts w:ascii="Arial" w:hAnsi="Arial" w:cs="Arial"/>
        <w:sz w:val="20"/>
        <w:szCs w:val="20"/>
        <w:lang w:val="en-GB"/>
      </w:rPr>
      <w:t>14</w:t>
    </w:r>
    <w:r w:rsidR="00DA76FD">
      <w:rPr>
        <w:rFonts w:ascii="Arial" w:hAnsi="Arial" w:cs="Arial"/>
        <w:sz w:val="20"/>
        <w:szCs w:val="20"/>
        <w:lang w:val="en-GB"/>
      </w:rPr>
      <w:t>.b</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F64FCC">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F32C23" w:rsidRDefault="00955877">
    <w:pPr>
      <w:pStyle w:val="Header"/>
      <w:rPr>
        <w:lang w:val="en-GB"/>
      </w:rPr>
    </w:pPr>
    <w:r>
      <w:rPr>
        <w:noProof/>
      </w:rPr>
      <w:drawing>
        <wp:anchor distT="0" distB="0" distL="114300" distR="114300" simplePos="0" relativeHeight="251657728" behindDoc="0" locked="0" layoutInCell="1" allowOverlap="1" wp14:anchorId="4019E8AA" wp14:editId="3CFF9E98">
          <wp:simplePos x="0" y="0"/>
          <wp:positionH relativeFrom="column">
            <wp:posOffset>-567690</wp:posOffset>
          </wp:positionH>
          <wp:positionV relativeFrom="paragraph">
            <wp:posOffset>3810</wp:posOffset>
          </wp:positionV>
          <wp:extent cx="2228215" cy="1367790"/>
          <wp:effectExtent l="0" t="0" r="635" b="3810"/>
          <wp:wrapNone/>
          <wp:docPr id="2"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AF37D2" w:rsidRDefault="00D8250F" w:rsidP="00655736">
    <w:pPr>
      <w:pStyle w:val="Header"/>
      <w:spacing w:after="520"/>
      <w:jc w:val="right"/>
      <w:rPr>
        <w:rFonts w:ascii="Arial" w:hAnsi="Arial" w:cs="Arial"/>
        <w:b/>
        <w:sz w:val="44"/>
        <w:szCs w:val="44"/>
        <w:lang w:val="pt-BR"/>
      </w:rPr>
    </w:pPr>
    <w:r w:rsidRPr="00AF37D2">
      <w:rPr>
        <w:rFonts w:ascii="Arial" w:hAnsi="Arial" w:cs="Arial"/>
        <w:b/>
        <w:sz w:val="44"/>
        <w:szCs w:val="44"/>
        <w:lang w:val="pt-BR"/>
      </w:rPr>
      <w:t>10</w:t>
    </w:r>
    <w:r w:rsidR="00EC6F8D" w:rsidRPr="00AF37D2">
      <w:rPr>
        <w:rFonts w:ascii="Arial" w:hAnsi="Arial" w:cs="Arial"/>
        <w:b/>
        <w:sz w:val="44"/>
        <w:szCs w:val="44"/>
        <w:lang w:val="pt-BR"/>
      </w:rPr>
      <w:t xml:space="preserve"> COM</w:t>
    </w:r>
  </w:p>
  <w:p w:rsidR="00D95C4C" w:rsidRPr="00AF37D2" w:rsidRDefault="00D8250F" w:rsidP="00655736">
    <w:pPr>
      <w:jc w:val="right"/>
      <w:rPr>
        <w:rFonts w:ascii="Arial" w:hAnsi="Arial" w:cs="Arial"/>
        <w:b/>
        <w:sz w:val="22"/>
        <w:szCs w:val="22"/>
        <w:lang w:val="pt-BR"/>
      </w:rPr>
    </w:pPr>
    <w:r w:rsidRPr="00AF37D2">
      <w:rPr>
        <w:rFonts w:ascii="Arial" w:hAnsi="Arial" w:cs="Arial"/>
        <w:b/>
        <w:sz w:val="22"/>
        <w:szCs w:val="22"/>
        <w:lang w:val="pt-BR"/>
      </w:rPr>
      <w:t>ITH/15</w:t>
    </w:r>
    <w:r w:rsidR="00D95C4C" w:rsidRPr="00AF37D2">
      <w:rPr>
        <w:rFonts w:ascii="Arial" w:hAnsi="Arial" w:cs="Arial"/>
        <w:b/>
        <w:sz w:val="22"/>
        <w:szCs w:val="22"/>
        <w:lang w:val="pt-BR"/>
      </w:rPr>
      <w:t>/</w:t>
    </w:r>
    <w:r w:rsidRPr="00AF37D2">
      <w:rPr>
        <w:rFonts w:ascii="Arial" w:hAnsi="Arial" w:cs="Arial"/>
        <w:b/>
        <w:sz w:val="22"/>
        <w:szCs w:val="22"/>
        <w:lang w:val="pt-BR"/>
      </w:rPr>
      <w:t>10</w:t>
    </w:r>
    <w:r w:rsidR="00D95C4C" w:rsidRPr="00AF37D2">
      <w:rPr>
        <w:rFonts w:ascii="Arial" w:hAnsi="Arial" w:cs="Arial"/>
        <w:b/>
        <w:sz w:val="22"/>
        <w:szCs w:val="22"/>
        <w:lang w:val="pt-BR"/>
      </w:rPr>
      <w:t>.</w:t>
    </w:r>
    <w:r w:rsidR="00EC6F8D" w:rsidRPr="00AF37D2">
      <w:rPr>
        <w:rFonts w:ascii="Arial" w:hAnsi="Arial" w:cs="Arial"/>
        <w:b/>
        <w:sz w:val="22"/>
        <w:szCs w:val="22"/>
        <w:lang w:val="pt-BR"/>
      </w:rPr>
      <w:t>COM</w:t>
    </w:r>
    <w:r w:rsidR="00D95C4C" w:rsidRPr="00AF37D2">
      <w:rPr>
        <w:rFonts w:ascii="Arial" w:hAnsi="Arial" w:cs="Arial"/>
        <w:b/>
        <w:sz w:val="22"/>
        <w:szCs w:val="22"/>
        <w:lang w:val="pt-BR"/>
      </w:rPr>
      <w:t>/</w:t>
    </w:r>
    <w:r w:rsidR="004B0C17" w:rsidRPr="00AF37D2">
      <w:rPr>
        <w:rFonts w:ascii="Arial" w:hAnsi="Arial" w:cs="Arial"/>
        <w:b/>
        <w:sz w:val="22"/>
        <w:szCs w:val="22"/>
        <w:lang w:val="pt-BR"/>
      </w:rPr>
      <w:t>1</w:t>
    </w:r>
    <w:r w:rsidR="006D71D2">
      <w:rPr>
        <w:rFonts w:ascii="Arial" w:hAnsi="Arial" w:cs="Arial"/>
        <w:b/>
        <w:sz w:val="22"/>
        <w:szCs w:val="22"/>
        <w:lang w:val="pt-BR"/>
      </w:rPr>
      <w:t>4</w:t>
    </w:r>
    <w:r w:rsidR="004B0C17" w:rsidRPr="00AF37D2">
      <w:rPr>
        <w:rFonts w:ascii="Arial" w:hAnsi="Arial" w:cs="Arial"/>
        <w:b/>
        <w:sz w:val="22"/>
        <w:szCs w:val="22"/>
        <w:lang w:val="pt-BR"/>
      </w:rPr>
      <w:t>.b</w:t>
    </w:r>
  </w:p>
  <w:p w:rsidR="00D95C4C" w:rsidRPr="00AF37D2" w:rsidRDefault="00D95C4C" w:rsidP="00655736">
    <w:pPr>
      <w:jc w:val="right"/>
      <w:rPr>
        <w:rFonts w:ascii="Arial" w:hAnsi="Arial" w:cs="Arial"/>
        <w:b/>
        <w:sz w:val="22"/>
        <w:szCs w:val="22"/>
        <w:lang w:val="pt-BR"/>
      </w:rPr>
    </w:pPr>
    <w:r w:rsidRPr="00AF37D2">
      <w:rPr>
        <w:rFonts w:ascii="Arial" w:hAnsi="Arial" w:cs="Arial"/>
        <w:b/>
        <w:sz w:val="22"/>
        <w:szCs w:val="22"/>
        <w:lang w:val="pt-BR"/>
      </w:rPr>
      <w:t xml:space="preserve">Paris, </w:t>
    </w:r>
    <w:r w:rsidR="00A6726D">
      <w:rPr>
        <w:rFonts w:ascii="Arial" w:hAnsi="Arial" w:cs="Arial"/>
        <w:b/>
        <w:sz w:val="22"/>
        <w:szCs w:val="22"/>
        <w:lang w:val="pt-BR"/>
      </w:rPr>
      <w:t>15 October</w:t>
    </w:r>
    <w:r w:rsidRPr="00AF37D2">
      <w:rPr>
        <w:rFonts w:ascii="Arial" w:hAnsi="Arial" w:cs="Arial"/>
        <w:b/>
        <w:sz w:val="22"/>
        <w:szCs w:val="22"/>
        <w:lang w:val="pt-BR"/>
      </w:rPr>
      <w:t xml:space="preserve"> </w:t>
    </w:r>
    <w:r w:rsidR="00D8250F" w:rsidRPr="00AF37D2">
      <w:rPr>
        <w:rFonts w:ascii="Arial" w:hAnsi="Arial" w:cs="Arial"/>
        <w:b/>
        <w:sz w:val="22"/>
        <w:szCs w:val="22"/>
        <w:lang w:val="pt-BR"/>
      </w:rPr>
      <w:t>2015</w:t>
    </w:r>
  </w:p>
  <w:p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4B0C17">
      <w:rPr>
        <w:rFonts w:ascii="Arial" w:hAnsi="Arial" w:cs="Arial"/>
        <w:b/>
        <w:sz w:val="22"/>
        <w:szCs w:val="22"/>
        <w:lang w:val="en-GB"/>
      </w:rPr>
      <w:t>English</w:t>
    </w:r>
  </w:p>
  <w:p w:rsidR="00D95C4C" w:rsidRPr="00F32C23" w:rsidRDefault="00D95C4C">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8A23A05"/>
    <w:multiLevelType w:val="hybridMultilevel"/>
    <w:tmpl w:val="36E0795A"/>
    <w:lvl w:ilvl="0" w:tplc="6108C9E2">
      <w:start w:val="3"/>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FC448E1"/>
    <w:multiLevelType w:val="hybridMultilevel"/>
    <w:tmpl w:val="69FE8C82"/>
    <w:lvl w:ilvl="0" w:tplc="42E600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D4424F"/>
    <w:multiLevelType w:val="hybridMultilevel"/>
    <w:tmpl w:val="04906AFC"/>
    <w:lvl w:ilvl="0" w:tplc="666E1074">
      <w:start w:val="1"/>
      <w:numFmt w:val="lowerRoman"/>
      <w:lvlText w:val="%1."/>
      <w:lvlJc w:val="righ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F07BFE"/>
    <w:multiLevelType w:val="hybridMultilevel"/>
    <w:tmpl w:val="7E1464F0"/>
    <w:lvl w:ilvl="0" w:tplc="DE529A8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num w:numId="1">
    <w:abstractNumId w:val="0"/>
  </w:num>
  <w:num w:numId="2">
    <w:abstractNumId w:val="4"/>
  </w:num>
  <w:num w:numId="3">
    <w:abstractNumId w:val="5"/>
  </w:num>
  <w:num w:numId="4">
    <w:abstractNumId w:val="6"/>
  </w:num>
  <w:num w:numId="5">
    <w:abstractNumId w:val="7"/>
  </w:num>
  <w:num w:numId="6">
    <w:abstractNumId w:val="3"/>
  </w:num>
  <w:num w:numId="7">
    <w:abstractNumId w:val="2"/>
  </w:num>
  <w:num w:numId="8">
    <w:abstractNumId w:val="1"/>
  </w:num>
  <w:num w:numId="9">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_duvelle">
    <w15:presenceInfo w15:providerId="None" w15:userId="c_duve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0"/>
    <w:rsid w:val="000048ED"/>
    <w:rsid w:val="00041A66"/>
    <w:rsid w:val="00046E01"/>
    <w:rsid w:val="0005176E"/>
    <w:rsid w:val="000765F7"/>
    <w:rsid w:val="00077AB7"/>
    <w:rsid w:val="00080D9E"/>
    <w:rsid w:val="00081CD8"/>
    <w:rsid w:val="000A7F0E"/>
    <w:rsid w:val="000B1C8F"/>
    <w:rsid w:val="000C0D61"/>
    <w:rsid w:val="000F3A3F"/>
    <w:rsid w:val="00102557"/>
    <w:rsid w:val="001076B6"/>
    <w:rsid w:val="00164D56"/>
    <w:rsid w:val="00167B10"/>
    <w:rsid w:val="0017402F"/>
    <w:rsid w:val="00190902"/>
    <w:rsid w:val="0019385E"/>
    <w:rsid w:val="00196C1B"/>
    <w:rsid w:val="001B0F73"/>
    <w:rsid w:val="001B77BD"/>
    <w:rsid w:val="001C2DB7"/>
    <w:rsid w:val="001D5C04"/>
    <w:rsid w:val="001E645A"/>
    <w:rsid w:val="001F5564"/>
    <w:rsid w:val="00222A2D"/>
    <w:rsid w:val="00223029"/>
    <w:rsid w:val="00234745"/>
    <w:rsid w:val="002407AF"/>
    <w:rsid w:val="0024609E"/>
    <w:rsid w:val="00256FDD"/>
    <w:rsid w:val="002728B0"/>
    <w:rsid w:val="00274741"/>
    <w:rsid w:val="002838A5"/>
    <w:rsid w:val="00285BB4"/>
    <w:rsid w:val="002B3C1E"/>
    <w:rsid w:val="002B7C3E"/>
    <w:rsid w:val="002C09E3"/>
    <w:rsid w:val="00301BE5"/>
    <w:rsid w:val="00333DB2"/>
    <w:rsid w:val="00344B58"/>
    <w:rsid w:val="00345CB4"/>
    <w:rsid w:val="00353565"/>
    <w:rsid w:val="00356F96"/>
    <w:rsid w:val="00360AA0"/>
    <w:rsid w:val="00375D42"/>
    <w:rsid w:val="00385CD5"/>
    <w:rsid w:val="003B4CA8"/>
    <w:rsid w:val="003C4B40"/>
    <w:rsid w:val="003D069C"/>
    <w:rsid w:val="003D7646"/>
    <w:rsid w:val="003F113A"/>
    <w:rsid w:val="003F3E63"/>
    <w:rsid w:val="00407480"/>
    <w:rsid w:val="00414643"/>
    <w:rsid w:val="00424CA7"/>
    <w:rsid w:val="004361F8"/>
    <w:rsid w:val="004421E5"/>
    <w:rsid w:val="004433EE"/>
    <w:rsid w:val="00443FFA"/>
    <w:rsid w:val="00452284"/>
    <w:rsid w:val="00457C8E"/>
    <w:rsid w:val="00463A39"/>
    <w:rsid w:val="0047768D"/>
    <w:rsid w:val="004856CA"/>
    <w:rsid w:val="0049705E"/>
    <w:rsid w:val="004A34A0"/>
    <w:rsid w:val="004B0C17"/>
    <w:rsid w:val="004B6B92"/>
    <w:rsid w:val="004C1F2C"/>
    <w:rsid w:val="005008A8"/>
    <w:rsid w:val="00510549"/>
    <w:rsid w:val="00526B7B"/>
    <w:rsid w:val="005308CE"/>
    <w:rsid w:val="0057439C"/>
    <w:rsid w:val="005B0127"/>
    <w:rsid w:val="005B7A35"/>
    <w:rsid w:val="005C4B73"/>
    <w:rsid w:val="005E1D2B"/>
    <w:rsid w:val="005E7074"/>
    <w:rsid w:val="005F1849"/>
    <w:rsid w:val="005F2BAF"/>
    <w:rsid w:val="00600D93"/>
    <w:rsid w:val="00625CB0"/>
    <w:rsid w:val="0063300C"/>
    <w:rsid w:val="00655736"/>
    <w:rsid w:val="00663B8D"/>
    <w:rsid w:val="006723D4"/>
    <w:rsid w:val="00696C8D"/>
    <w:rsid w:val="006A2AC2"/>
    <w:rsid w:val="006A3617"/>
    <w:rsid w:val="006B0924"/>
    <w:rsid w:val="006D71D2"/>
    <w:rsid w:val="006E46E4"/>
    <w:rsid w:val="00717DA5"/>
    <w:rsid w:val="00744484"/>
    <w:rsid w:val="00747566"/>
    <w:rsid w:val="00772605"/>
    <w:rsid w:val="00773188"/>
    <w:rsid w:val="0077319F"/>
    <w:rsid w:val="00783782"/>
    <w:rsid w:val="00784B8C"/>
    <w:rsid w:val="007879E1"/>
    <w:rsid w:val="007A71B9"/>
    <w:rsid w:val="007E3FB6"/>
    <w:rsid w:val="008041D0"/>
    <w:rsid w:val="00823A11"/>
    <w:rsid w:val="0085405E"/>
    <w:rsid w:val="0085414A"/>
    <w:rsid w:val="00857EBD"/>
    <w:rsid w:val="0086269D"/>
    <w:rsid w:val="0086447E"/>
    <w:rsid w:val="0086543A"/>
    <w:rsid w:val="008724E5"/>
    <w:rsid w:val="00884A9D"/>
    <w:rsid w:val="0088512B"/>
    <w:rsid w:val="008A1AEB"/>
    <w:rsid w:val="008A2B2D"/>
    <w:rsid w:val="008A4E1E"/>
    <w:rsid w:val="008B7DE6"/>
    <w:rsid w:val="008C296C"/>
    <w:rsid w:val="008D4305"/>
    <w:rsid w:val="008D5335"/>
    <w:rsid w:val="008E1A85"/>
    <w:rsid w:val="008F6BFC"/>
    <w:rsid w:val="009163A7"/>
    <w:rsid w:val="00946D0B"/>
    <w:rsid w:val="00955877"/>
    <w:rsid w:val="009A18CD"/>
    <w:rsid w:val="009C64EB"/>
    <w:rsid w:val="009D2B8B"/>
    <w:rsid w:val="009D3C18"/>
    <w:rsid w:val="009D5428"/>
    <w:rsid w:val="00A12558"/>
    <w:rsid w:val="00A13903"/>
    <w:rsid w:val="00A25B1A"/>
    <w:rsid w:val="00A30C59"/>
    <w:rsid w:val="00A34ED5"/>
    <w:rsid w:val="00A443D9"/>
    <w:rsid w:val="00A45DBF"/>
    <w:rsid w:val="00A6726D"/>
    <w:rsid w:val="00A755A2"/>
    <w:rsid w:val="00A96E77"/>
    <w:rsid w:val="00AA6660"/>
    <w:rsid w:val="00AB2C36"/>
    <w:rsid w:val="00AB6DDE"/>
    <w:rsid w:val="00AB70B6"/>
    <w:rsid w:val="00AD1A86"/>
    <w:rsid w:val="00AE103E"/>
    <w:rsid w:val="00AF0A07"/>
    <w:rsid w:val="00AF37D2"/>
    <w:rsid w:val="00AF4AEC"/>
    <w:rsid w:val="00AF625E"/>
    <w:rsid w:val="00AF6DB0"/>
    <w:rsid w:val="00BA4072"/>
    <w:rsid w:val="00BB04AF"/>
    <w:rsid w:val="00BD364E"/>
    <w:rsid w:val="00BD47A7"/>
    <w:rsid w:val="00BD52C9"/>
    <w:rsid w:val="00BE2B3C"/>
    <w:rsid w:val="00BE6354"/>
    <w:rsid w:val="00BF0A39"/>
    <w:rsid w:val="00C138D1"/>
    <w:rsid w:val="00C23A97"/>
    <w:rsid w:val="00C460B1"/>
    <w:rsid w:val="00C64855"/>
    <w:rsid w:val="00C70EA7"/>
    <w:rsid w:val="00C7516E"/>
    <w:rsid w:val="00C75770"/>
    <w:rsid w:val="00C947E7"/>
    <w:rsid w:val="00CA04C6"/>
    <w:rsid w:val="00CA4077"/>
    <w:rsid w:val="00CA56BB"/>
    <w:rsid w:val="00D00B2B"/>
    <w:rsid w:val="00D24877"/>
    <w:rsid w:val="00D33A43"/>
    <w:rsid w:val="00D8250F"/>
    <w:rsid w:val="00D95C4C"/>
    <w:rsid w:val="00DA2701"/>
    <w:rsid w:val="00DA36ED"/>
    <w:rsid w:val="00DA76FD"/>
    <w:rsid w:val="00DE34F1"/>
    <w:rsid w:val="00DE6160"/>
    <w:rsid w:val="00DF4942"/>
    <w:rsid w:val="00DF61FC"/>
    <w:rsid w:val="00E17087"/>
    <w:rsid w:val="00E17CB5"/>
    <w:rsid w:val="00E46F6D"/>
    <w:rsid w:val="00E601B4"/>
    <w:rsid w:val="00E627B1"/>
    <w:rsid w:val="00E70169"/>
    <w:rsid w:val="00E92847"/>
    <w:rsid w:val="00E9376C"/>
    <w:rsid w:val="00EA335E"/>
    <w:rsid w:val="00EA528C"/>
    <w:rsid w:val="00EA797A"/>
    <w:rsid w:val="00EC52D4"/>
    <w:rsid w:val="00EC6F8D"/>
    <w:rsid w:val="00ED0338"/>
    <w:rsid w:val="00EF34E2"/>
    <w:rsid w:val="00F30DC6"/>
    <w:rsid w:val="00F32C23"/>
    <w:rsid w:val="00F53DE9"/>
    <w:rsid w:val="00F576CB"/>
    <w:rsid w:val="00F64FCC"/>
    <w:rsid w:val="00F7035D"/>
    <w:rsid w:val="00F71A02"/>
    <w:rsid w:val="00F91168"/>
    <w:rsid w:val="00FA0D63"/>
    <w:rsid w:val="00FD1226"/>
    <w:rsid w:val="00FD7B41"/>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274741"/>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Sansinterligne11">
    <w:name w:val="Sans interligne11"/>
    <w:uiPriority w:val="1"/>
    <w:qFormat/>
    <w:rsid w:val="004B0C17"/>
    <w:rPr>
      <w:rFonts w:ascii="Times New Roman" w:eastAsia="Times New Roman" w:hAnsi="Times New Roman"/>
      <w:sz w:val="24"/>
      <w:szCs w:val="24"/>
    </w:rPr>
  </w:style>
  <w:style w:type="character" w:styleId="Hyperlink">
    <w:name w:val="Hyperlink"/>
    <w:uiPriority w:val="99"/>
    <w:unhideWhenUsed/>
    <w:rsid w:val="00F91168"/>
    <w:rPr>
      <w:color w:val="0000FF"/>
      <w:u w:val="single"/>
    </w:rPr>
  </w:style>
  <w:style w:type="paragraph" w:customStyle="1" w:styleId="U1">
    <w:name w:val="U.1"/>
    <w:basedOn w:val="Normal"/>
    <w:qFormat/>
    <w:rsid w:val="00F91168"/>
    <w:pPr>
      <w:widowControl w:val="0"/>
      <w:tabs>
        <w:tab w:val="left" w:pos="1701"/>
      </w:tabs>
      <w:autoSpaceDE w:val="0"/>
      <w:autoSpaceDN w:val="0"/>
      <w:adjustRightInd w:val="0"/>
      <w:spacing w:after="120"/>
      <w:ind w:left="1701" w:hanging="567"/>
    </w:pPr>
    <w:rPr>
      <w:rFonts w:ascii="Arial" w:eastAsia="SimSun" w:hAnsi="Arial" w:cs="Arial"/>
      <w:sz w:val="22"/>
      <w:szCs w:val="22"/>
      <w:lang w:val="en-US"/>
    </w:rPr>
  </w:style>
  <w:style w:type="paragraph" w:customStyle="1" w:styleId="i">
    <w:name w:val="(i)"/>
    <w:basedOn w:val="Normal"/>
    <w:link w:val="iChar"/>
    <w:autoRedefine/>
    <w:qFormat/>
    <w:rsid w:val="00F91168"/>
    <w:pPr>
      <w:numPr>
        <w:numId w:val="5"/>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F91168"/>
    <w:rPr>
      <w:rFonts w:ascii="Arial" w:hAnsi="Arial" w:cs="Arial"/>
      <w:w w:val="90"/>
      <w:sz w:val="22"/>
      <w:szCs w:val="22"/>
      <w:lang w:val="en-US"/>
    </w:rPr>
  </w:style>
  <w:style w:type="paragraph" w:styleId="Revision">
    <w:name w:val="Revision"/>
    <w:hidden/>
    <w:uiPriority w:val="99"/>
    <w:semiHidden/>
    <w:rsid w:val="0077260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274741"/>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Sansinterligne11">
    <w:name w:val="Sans interligne11"/>
    <w:uiPriority w:val="1"/>
    <w:qFormat/>
    <w:rsid w:val="004B0C17"/>
    <w:rPr>
      <w:rFonts w:ascii="Times New Roman" w:eastAsia="Times New Roman" w:hAnsi="Times New Roman"/>
      <w:sz w:val="24"/>
      <w:szCs w:val="24"/>
    </w:rPr>
  </w:style>
  <w:style w:type="character" w:styleId="Hyperlink">
    <w:name w:val="Hyperlink"/>
    <w:uiPriority w:val="99"/>
    <w:unhideWhenUsed/>
    <w:rsid w:val="00F91168"/>
    <w:rPr>
      <w:color w:val="0000FF"/>
      <w:u w:val="single"/>
    </w:rPr>
  </w:style>
  <w:style w:type="paragraph" w:customStyle="1" w:styleId="U1">
    <w:name w:val="U.1"/>
    <w:basedOn w:val="Normal"/>
    <w:qFormat/>
    <w:rsid w:val="00F91168"/>
    <w:pPr>
      <w:widowControl w:val="0"/>
      <w:tabs>
        <w:tab w:val="left" w:pos="1701"/>
      </w:tabs>
      <w:autoSpaceDE w:val="0"/>
      <w:autoSpaceDN w:val="0"/>
      <w:adjustRightInd w:val="0"/>
      <w:spacing w:after="120"/>
      <w:ind w:left="1701" w:hanging="567"/>
    </w:pPr>
    <w:rPr>
      <w:rFonts w:ascii="Arial" w:eastAsia="SimSun" w:hAnsi="Arial" w:cs="Arial"/>
      <w:sz w:val="22"/>
      <w:szCs w:val="22"/>
      <w:lang w:val="en-US"/>
    </w:rPr>
  </w:style>
  <w:style w:type="paragraph" w:customStyle="1" w:styleId="i">
    <w:name w:val="(i)"/>
    <w:basedOn w:val="Normal"/>
    <w:link w:val="iChar"/>
    <w:autoRedefine/>
    <w:qFormat/>
    <w:rsid w:val="00F91168"/>
    <w:pPr>
      <w:numPr>
        <w:numId w:val="5"/>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F91168"/>
    <w:rPr>
      <w:rFonts w:ascii="Arial" w:hAnsi="Arial" w:cs="Arial"/>
      <w:w w:val="90"/>
      <w:sz w:val="22"/>
      <w:szCs w:val="22"/>
      <w:lang w:val="en-US"/>
    </w:rPr>
  </w:style>
  <w:style w:type="paragraph" w:styleId="Revision">
    <w:name w:val="Revision"/>
    <w:hidden/>
    <w:uiPriority w:val="99"/>
    <w:semiHidden/>
    <w:rsid w:val="007726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doc/src/ITH-14-9.COM-13.c-EN.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esco.org/culture/ich/doc/src/ITH-13-8.COM-13.b-EN.doc" TargetMode="External"/><Relationship Id="rId4" Type="http://schemas.microsoft.com/office/2007/relationships/stylesWithEffects" Target="stylesWithEffects.xml"/><Relationship Id="rId9" Type="http://schemas.openxmlformats.org/officeDocument/2006/relationships/hyperlink" Target="http://www.unesco.org/culture/ich/doc/src/ITH-12-7.COM-13.a-EN.do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A5EC-A116-4892-A5D1-625A85C3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1589</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Constantinou</dc:creator>
  <cp:lastModifiedBy>Elena Constantinou</cp:lastModifiedBy>
  <cp:revision>9</cp:revision>
  <cp:lastPrinted>2015-06-25T08:31:00Z</cp:lastPrinted>
  <dcterms:created xsi:type="dcterms:W3CDTF">2015-07-07T14:49:00Z</dcterms:created>
  <dcterms:modified xsi:type="dcterms:W3CDTF">2015-10-15T14:56:00Z</dcterms:modified>
</cp:coreProperties>
</file>